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経費精算規程（雛形）</w:t>
      </w:r>
    </w:p>
    <w:bookmarkStart w:id="50" w:name="経費精算規程"/>
    <w:p>
      <w:pPr>
        <w:pStyle w:val="Heading1"/>
      </w:pPr>
      <w:r>
        <w:t xml:space="preserve">経費精算規程</w:t>
      </w:r>
    </w:p>
    <w:bookmarkStart w:id="23" w:name="第1章-総則"/>
    <w:p>
      <w:pPr>
        <w:pStyle w:val="Heading2"/>
      </w:pPr>
      <w:r>
        <w:t xml:space="preserve">第1章 総則</w:t>
      </w:r>
    </w:p>
    <w:bookmarkStart w:id="20" w:name="第1条目的"/>
    <w:p>
      <w:pPr>
        <w:pStyle w:val="Heading3"/>
      </w:pPr>
      <w:r>
        <w:t xml:space="preserve">第1条（目的）</w:t>
      </w:r>
    </w:p>
    <w:p>
      <w:pPr>
        <w:pStyle w:val="FirstParagraph"/>
      </w:pPr>
      <w:r>
        <w:t xml:space="preserve">本規程は、株式会社〇〇（以下「会社」という）の業務遂行に伴う経費の精算手続き、基準及び管理に関する事項を定めるものである。</w:t>
      </w:r>
    </w:p>
    <w:bookmarkEnd w:id="20"/>
    <w:bookmarkStart w:id="21" w:name="第2条適用範囲"/>
    <w:p>
      <w:pPr>
        <w:pStyle w:val="Heading3"/>
      </w:pPr>
      <w:r>
        <w:t xml:space="preserve">第2条（適用範囲）</w:t>
      </w:r>
    </w:p>
    <w:p>
      <w:pPr>
        <w:pStyle w:val="FirstParagraph"/>
      </w:pPr>
      <w:r>
        <w:t xml:space="preserve">本規程は、会社に雇用される全ての従業員に適用する。ただし、取締役、監査役については、別に定める規定によるものとする。</w:t>
      </w:r>
    </w:p>
    <w:bookmarkEnd w:id="21"/>
    <w:bookmarkStart w:id="22" w:name="第3条経費の定義"/>
    <w:p>
      <w:pPr>
        <w:pStyle w:val="Heading3"/>
      </w:pPr>
      <w:r>
        <w:t xml:space="preserve">第3条（経費の定義）</w:t>
      </w:r>
    </w:p>
    <w:p>
      <w:pPr>
        <w:pStyle w:val="FirstParagraph"/>
      </w:pPr>
      <w:r>
        <w:t xml:space="preserve">本規程において「経費」とは、会社の業務遂行に必要かつ合理的であると認められる支出をいう。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第2章-経費の区分"/>
    <w:p>
      <w:pPr>
        <w:pStyle w:val="Heading2"/>
      </w:pPr>
      <w:r>
        <w:t xml:space="preserve">第2章 経費の区分</w:t>
      </w:r>
    </w:p>
    <w:bookmarkStart w:id="24" w:name="第4条経費の種類"/>
    <w:p>
      <w:pPr>
        <w:pStyle w:val="Heading3"/>
      </w:pPr>
      <w:r>
        <w:t xml:space="preserve">第4条（経費の種類）</w:t>
      </w:r>
    </w:p>
    <w:p>
      <w:pPr>
        <w:pStyle w:val="FirstParagraph"/>
      </w:pPr>
      <w:r>
        <w:t xml:space="preserve">経費は、次の通り区分する。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交通費</w:t>
      </w:r>
      <w:r>
        <w:t xml:space="preserve">: 業務上の移動に要する費用</w:t>
      </w:r>
    </w:p>
    <w:p>
      <w:pPr>
        <w:numPr>
          <w:ilvl w:val="1"/>
          <w:numId w:val="1002"/>
        </w:numPr>
        <w:pStyle w:val="Compact"/>
      </w:pPr>
      <w:r>
        <w:t xml:space="preserve">電車賃、バス代、タクシー代等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宿泊費</w:t>
      </w:r>
      <w:r>
        <w:t xml:space="preserve">: 業務上の出張に伴う宿泊費用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交際費</w:t>
      </w:r>
      <w:r>
        <w:t xml:space="preserve">: 取引先等との接待に要する費用</w:t>
      </w:r>
    </w:p>
    <w:p>
      <w:pPr>
        <w:numPr>
          <w:ilvl w:val="1"/>
          <w:numId w:val="1003"/>
        </w:numPr>
        <w:pStyle w:val="Compact"/>
      </w:pPr>
      <w:r>
        <w:t xml:space="preserve">食事代、手土産代等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会議費</w:t>
      </w:r>
      <w:r>
        <w:t xml:space="preserve">: 会議の開催に要する費用</w:t>
      </w:r>
    </w:p>
    <w:p>
      <w:pPr>
        <w:numPr>
          <w:ilvl w:val="1"/>
          <w:numId w:val="1004"/>
        </w:numPr>
        <w:pStyle w:val="Compact"/>
      </w:pPr>
      <w:r>
        <w:t xml:space="preserve">会場費、茶菓子代等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図書研究費</w:t>
      </w:r>
      <w:r>
        <w:t xml:space="preserve">: 業務上必要な図書、資料の購入費用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消耗品費</w:t>
      </w:r>
      <w:r>
        <w:t xml:space="preserve">: 業務上使用する消耗品の購入費用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通信運搬費</w:t>
      </w:r>
      <w:r>
        <w:t xml:space="preserve">: 郵便、電話、宅配料金等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その他</w:t>
      </w:r>
      <w:r>
        <w:t xml:space="preserve">: 上記以外で、業務上必要と認められる費用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第3章-精算基準"/>
    <w:p>
      <w:pPr>
        <w:pStyle w:val="Heading2"/>
      </w:pPr>
      <w:r>
        <w:t xml:space="preserve">第3章 精算基準</w:t>
      </w:r>
    </w:p>
    <w:bookmarkStart w:id="26" w:name="第5条交通費"/>
    <w:p>
      <w:pPr>
        <w:pStyle w:val="Heading3"/>
      </w:pPr>
      <w:r>
        <w:t xml:space="preserve">第5条（交通費）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鉄道利用</w:t>
      </w:r>
    </w:p>
    <w:p>
      <w:pPr>
        <w:numPr>
          <w:ilvl w:val="1"/>
          <w:numId w:val="1006"/>
        </w:numPr>
        <w:pStyle w:val="Compact"/>
      </w:pPr>
      <w:r>
        <w:t xml:space="preserve">通常は普通乗車券とする</w:t>
      </w:r>
    </w:p>
    <w:p>
      <w:pPr>
        <w:numPr>
          <w:ilvl w:val="1"/>
          <w:numId w:val="1006"/>
        </w:numPr>
        <w:pStyle w:val="Compact"/>
      </w:pPr>
      <w:r>
        <w:t xml:space="preserve">距離が片道50kmを超える場合は、急行券・特急券を認める</w:t>
      </w:r>
    </w:p>
    <w:p>
      <w:pPr>
        <w:numPr>
          <w:ilvl w:val="1"/>
          <w:numId w:val="1006"/>
        </w:numPr>
        <w:pStyle w:val="Compact"/>
      </w:pPr>
      <w:r>
        <w:t xml:space="preserve">新幹線は、片道100kmを超える場合に認める（のぞみ・みずほを除く）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航空機利用</w:t>
      </w:r>
    </w:p>
    <w:p>
      <w:pPr>
        <w:numPr>
          <w:ilvl w:val="1"/>
          <w:numId w:val="1007"/>
        </w:numPr>
        <w:pStyle w:val="Compact"/>
      </w:pPr>
      <w:r>
        <w:t xml:space="preserve">距離が片道500kmを超える場合、又は緊急を要する場合に認める</w:t>
      </w:r>
    </w:p>
    <w:p>
      <w:pPr>
        <w:numPr>
          <w:ilvl w:val="1"/>
          <w:numId w:val="1007"/>
        </w:numPr>
        <w:pStyle w:val="Compact"/>
      </w:pPr>
      <w:r>
        <w:t xml:space="preserve">クラスは、エコノミークラスとする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タクシー利用</w:t>
      </w:r>
    </w:p>
    <w:p>
      <w:pPr>
        <w:numPr>
          <w:ilvl w:val="1"/>
          <w:numId w:val="1008"/>
        </w:numPr>
        <w:pStyle w:val="Compact"/>
      </w:pPr>
      <w:r>
        <w:t xml:space="preserve">終バス後、又は業務上やむを得ない場合に限る</w:t>
      </w:r>
    </w:p>
    <w:p>
      <w:pPr>
        <w:numPr>
          <w:ilvl w:val="1"/>
          <w:numId w:val="1008"/>
        </w:numPr>
        <w:pStyle w:val="Compact"/>
      </w:pPr>
      <w:r>
        <w:t xml:space="preserve">実費精算とする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自家用車利用</w:t>
      </w:r>
    </w:p>
    <w:p>
      <w:pPr>
        <w:numPr>
          <w:ilvl w:val="1"/>
          <w:numId w:val="1009"/>
        </w:numPr>
        <w:pStyle w:val="Compact"/>
      </w:pPr>
      <w:r>
        <w:t xml:space="preserve">業務上必要な場合、1kmあたり〇〇円を支給する</w:t>
      </w:r>
    </w:p>
    <w:p>
      <w:pPr>
        <w:numPr>
          <w:ilvl w:val="1"/>
          <w:numId w:val="1009"/>
        </w:numPr>
        <w:pStyle w:val="Compact"/>
      </w:pPr>
      <w:r>
        <w:t xml:space="preserve">ガソリン代、駐車場代は実費精算とする</w:t>
      </w:r>
    </w:p>
    <w:bookmarkEnd w:id="26"/>
    <w:bookmarkStart w:id="27" w:name="第6条宿泊費"/>
    <w:p>
      <w:pPr>
        <w:pStyle w:val="Heading3"/>
      </w:pPr>
      <w:r>
        <w:t xml:space="preserve">第6条（宿泊費）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宿泊費の上限</w:t>
      </w:r>
    </w:p>
    <w:p>
      <w:pPr>
        <w:numPr>
          <w:ilvl w:val="1"/>
          <w:numId w:val="1011"/>
        </w:numPr>
        <w:pStyle w:val="Compact"/>
      </w:pPr>
      <w:r>
        <w:t xml:space="preserve">東京・大阪・名古屋地区： 1泊12,000円まで</w:t>
      </w:r>
    </w:p>
    <w:p>
      <w:pPr>
        <w:numPr>
          <w:ilvl w:val="1"/>
          <w:numId w:val="1011"/>
        </w:numPr>
        <w:pStyle w:val="Compact"/>
      </w:pPr>
      <w:r>
        <w:t xml:space="preserve">その他の地区： 1泊10,000円まで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宿泊費の精算</w:t>
      </w:r>
    </w:p>
    <w:p>
      <w:pPr>
        <w:numPr>
          <w:ilvl w:val="1"/>
          <w:numId w:val="1012"/>
        </w:numPr>
        <w:pStyle w:val="Compact"/>
      </w:pPr>
      <w:r>
        <w:t xml:space="preserve">実費精算とする</w:t>
      </w:r>
    </w:p>
    <w:p>
      <w:pPr>
        <w:numPr>
          <w:ilvl w:val="1"/>
          <w:numId w:val="1012"/>
        </w:numPr>
        <w:pStyle w:val="Compact"/>
      </w:pPr>
      <w:r>
        <w:t xml:space="preserve">上限を超える場合、事前に上司の承認を得るものとする</w:t>
      </w:r>
    </w:p>
    <w:bookmarkEnd w:id="27"/>
    <w:bookmarkStart w:id="28" w:name="第7条交際費"/>
    <w:p>
      <w:pPr>
        <w:pStyle w:val="Heading3"/>
      </w:pPr>
      <w:r>
        <w:t xml:space="preserve">第7条（交際費）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交際費の基準</w:t>
      </w:r>
    </w:p>
    <w:p>
      <w:pPr>
        <w:numPr>
          <w:ilvl w:val="1"/>
          <w:numId w:val="1014"/>
        </w:numPr>
        <w:pStyle w:val="Compact"/>
      </w:pPr>
      <w:r>
        <w:t xml:space="preserve">接待相手1名につき、8,000円まで</w:t>
      </w:r>
    </w:p>
    <w:p>
      <w:pPr>
        <w:numPr>
          <w:ilvl w:val="1"/>
          <w:numId w:val="1014"/>
        </w:numPr>
        <w:pStyle w:val="Compact"/>
      </w:pPr>
      <w:r>
        <w:t xml:space="preserve">上限を超える場合、事前に部門長の承認を得るものとする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交際費の精算</w:t>
      </w:r>
    </w:p>
    <w:p>
      <w:pPr>
        <w:numPr>
          <w:ilvl w:val="1"/>
          <w:numId w:val="1015"/>
        </w:numPr>
        <w:pStyle w:val="Compact"/>
      </w:pPr>
      <w:r>
        <w:t xml:space="preserve">参加者名、接待相手名、目的を明記すること</w:t>
      </w:r>
    </w:p>
    <w:p>
      <w:pPr>
        <w:numPr>
          <w:ilvl w:val="1"/>
          <w:numId w:val="1015"/>
        </w:numPr>
        <w:pStyle w:val="Compact"/>
      </w:pPr>
      <w:r>
        <w:t xml:space="preserve">領収書を必ず添付すること</w:t>
      </w:r>
    </w:p>
    <w:bookmarkEnd w:id="28"/>
    <w:bookmarkStart w:id="29" w:name="第8条会議費"/>
    <w:p>
      <w:pPr>
        <w:pStyle w:val="Heading3"/>
      </w:pPr>
      <w:r>
        <w:t xml:space="preserve">第8条（会議費）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会議費の基準</w:t>
      </w:r>
    </w:p>
    <w:p>
      <w:pPr>
        <w:numPr>
          <w:ilvl w:val="1"/>
          <w:numId w:val="1017"/>
        </w:numPr>
        <w:pStyle w:val="Compact"/>
      </w:pPr>
      <w:r>
        <w:t xml:space="preserve">参加者1名につき、1,000円まで</w:t>
      </w:r>
    </w:p>
    <w:p>
      <w:pPr>
        <w:numPr>
          <w:ilvl w:val="1"/>
          <w:numId w:val="1017"/>
        </w:numPr>
        <w:pStyle w:val="Compact"/>
      </w:pPr>
      <w:r>
        <w:t xml:space="preserve">上限を超える場合、事前に上司の承認を得るものとする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会議費の精算</w:t>
      </w:r>
    </w:p>
    <w:p>
      <w:pPr>
        <w:numPr>
          <w:ilvl w:val="1"/>
          <w:numId w:val="1018"/>
        </w:numPr>
        <w:pStyle w:val="Compact"/>
      </w:pPr>
      <w:r>
        <w:t xml:space="preserve">会議名、参加者名、日時を明記すること</w:t>
      </w:r>
    </w:p>
    <w:bookmarkEnd w:id="29"/>
    <w:bookmarkStart w:id="30" w:name="第9条図書研究費"/>
    <w:p>
      <w:pPr>
        <w:pStyle w:val="Heading3"/>
      </w:pPr>
      <w:r>
        <w:t xml:space="preserve">第9条（図書研究費）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図書研究費の基準</w:t>
      </w:r>
    </w:p>
    <w:p>
      <w:pPr>
        <w:numPr>
          <w:ilvl w:val="1"/>
          <w:numId w:val="1020"/>
        </w:numPr>
        <w:pStyle w:val="Compact"/>
      </w:pPr>
      <w:r>
        <w:t xml:space="preserve">1冊につき5,000円まで</w:t>
      </w:r>
    </w:p>
    <w:p>
      <w:pPr>
        <w:numPr>
          <w:ilvl w:val="1"/>
          <w:numId w:val="1020"/>
        </w:numPr>
        <w:pStyle w:val="Compact"/>
      </w:pPr>
      <w:r>
        <w:t xml:space="preserve">上限を超える場合、事前に上司の承認を得るものとする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図書研究費の精算</w:t>
      </w:r>
    </w:p>
    <w:p>
      <w:pPr>
        <w:numPr>
          <w:ilvl w:val="1"/>
          <w:numId w:val="1021"/>
        </w:numPr>
        <w:pStyle w:val="Compact"/>
      </w:pPr>
      <w:r>
        <w:t xml:space="preserve">購入目的を明記すること</w:t>
      </w:r>
    </w:p>
    <w:p>
      <w:pPr>
        <w:numPr>
          <w:ilvl w:val="1"/>
          <w:numId w:val="1021"/>
        </w:numPr>
        <w:pStyle w:val="Compact"/>
      </w:pPr>
      <w:r>
        <w:t xml:space="preserve">購入図書は、会社の資産とする</w:t>
      </w:r>
    </w:p>
    <w:bookmarkEnd w:id="30"/>
    <w:bookmarkStart w:id="31" w:name="第10条消耗品費"/>
    <w:p>
      <w:pPr>
        <w:pStyle w:val="Heading3"/>
      </w:pPr>
      <w:r>
        <w:t xml:space="preserve">第10条（消耗品費）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消耗品費の基準</w:t>
      </w:r>
    </w:p>
    <w:p>
      <w:pPr>
        <w:numPr>
          <w:ilvl w:val="1"/>
          <w:numId w:val="1023"/>
        </w:numPr>
        <w:pStyle w:val="Compact"/>
      </w:pPr>
      <w:r>
        <w:t xml:space="preserve">1回につき10,000円まで</w:t>
      </w:r>
    </w:p>
    <w:p>
      <w:pPr>
        <w:numPr>
          <w:ilvl w:val="1"/>
          <w:numId w:val="1023"/>
        </w:numPr>
        <w:pStyle w:val="Compact"/>
      </w:pPr>
      <w:r>
        <w:t xml:space="preserve">上限を超える場合、事前に上司の承認を得るものとする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消耗品費の精算</w:t>
      </w:r>
    </w:p>
    <w:p>
      <w:pPr>
        <w:numPr>
          <w:ilvl w:val="1"/>
          <w:numId w:val="1024"/>
        </w:numPr>
        <w:pStyle w:val="Compact"/>
      </w:pPr>
      <w:r>
        <w:t xml:space="preserve">購入品目、数量、用途を明記すること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第4章-精算手続き"/>
    <w:p>
      <w:pPr>
        <w:pStyle w:val="Heading2"/>
      </w:pPr>
      <w:r>
        <w:t xml:space="preserve">第4章 精算手続き</w:t>
      </w:r>
    </w:p>
    <w:bookmarkStart w:id="33" w:name="第11条精算書の提出"/>
    <w:p>
      <w:pPr>
        <w:pStyle w:val="Heading3"/>
      </w:pPr>
      <w:r>
        <w:t xml:space="preserve">第11条（精算書の提出）</w:t>
      </w:r>
    </w:p>
    <w:p>
      <w:pPr>
        <w:numPr>
          <w:ilvl w:val="0"/>
          <w:numId w:val="1025"/>
        </w:numPr>
        <w:pStyle w:val="Compact"/>
      </w:pPr>
      <w:r>
        <w:t xml:space="preserve">経費精算書は、毎月末日までに提出するものとする</w:t>
      </w:r>
    </w:p>
    <w:p>
      <w:pPr>
        <w:numPr>
          <w:ilvl w:val="0"/>
          <w:numId w:val="1025"/>
        </w:numPr>
        <w:pStyle w:val="Compact"/>
      </w:pPr>
      <w:r>
        <w:t xml:space="preserve">遡及精算は、原則として翌月末までとする</w:t>
      </w:r>
    </w:p>
    <w:bookmarkEnd w:id="33"/>
    <w:bookmarkStart w:id="34" w:name="第12条精算書の記載事項"/>
    <w:p>
      <w:pPr>
        <w:pStyle w:val="Heading3"/>
      </w:pPr>
      <w:r>
        <w:t xml:space="preserve">第12条（精算書の記載事項）</w:t>
      </w:r>
    </w:p>
    <w:p>
      <w:pPr>
        <w:pStyle w:val="FirstParagraph"/>
      </w:pPr>
      <w:r>
        <w:t xml:space="preserve">精算書には、次の事項を記載するものとする。</w:t>
      </w:r>
    </w:p>
    <w:p>
      <w:pPr>
        <w:numPr>
          <w:ilvl w:val="0"/>
          <w:numId w:val="1026"/>
        </w:numPr>
        <w:pStyle w:val="Compact"/>
      </w:pPr>
      <w:r>
        <w:t xml:space="preserve">支出年月日</w:t>
      </w:r>
    </w:p>
    <w:p>
      <w:pPr>
        <w:numPr>
          <w:ilvl w:val="0"/>
          <w:numId w:val="1026"/>
        </w:numPr>
        <w:pStyle w:val="Compact"/>
      </w:pPr>
      <w:r>
        <w:t xml:space="preserve">支出先</w:t>
      </w:r>
    </w:p>
    <w:p>
      <w:pPr>
        <w:numPr>
          <w:ilvl w:val="0"/>
          <w:numId w:val="1026"/>
        </w:numPr>
        <w:pStyle w:val="Compact"/>
      </w:pPr>
      <w:r>
        <w:t xml:space="preserve">経費の種類</w:t>
      </w:r>
    </w:p>
    <w:p>
      <w:pPr>
        <w:numPr>
          <w:ilvl w:val="0"/>
          <w:numId w:val="1026"/>
        </w:numPr>
        <w:pStyle w:val="Compact"/>
      </w:pPr>
      <w:r>
        <w:t xml:space="preserve">金額</w:t>
      </w:r>
    </w:p>
    <w:p>
      <w:pPr>
        <w:numPr>
          <w:ilvl w:val="0"/>
          <w:numId w:val="1026"/>
        </w:numPr>
        <w:pStyle w:val="Compact"/>
      </w:pPr>
      <w:r>
        <w:t xml:space="preserve">支出目的・事由</w:t>
      </w:r>
    </w:p>
    <w:p>
      <w:pPr>
        <w:numPr>
          <w:ilvl w:val="0"/>
          <w:numId w:val="1026"/>
        </w:numPr>
        <w:pStyle w:val="Compact"/>
      </w:pPr>
      <w:r>
        <w:t xml:space="preserve">勘定科目</w:t>
      </w:r>
    </w:p>
    <w:bookmarkEnd w:id="34"/>
    <w:bookmarkStart w:id="35" w:name="第13条添付書類"/>
    <w:p>
      <w:pPr>
        <w:pStyle w:val="Heading3"/>
      </w:pPr>
      <w:r>
        <w:t xml:space="preserve">第13条（添付書類）</w:t>
      </w:r>
    </w:p>
    <w:p>
      <w:pPr>
        <w:pStyle w:val="FirstParagraph"/>
      </w:pPr>
      <w:r>
        <w:t xml:space="preserve">精算書には、次の書類を添付するものとする。</w:t>
      </w:r>
    </w:p>
    <w:p>
      <w:pPr>
        <w:numPr>
          <w:ilvl w:val="0"/>
          <w:numId w:val="1027"/>
        </w:numPr>
        <w:pStyle w:val="Compact"/>
      </w:pPr>
      <w:r>
        <w:t xml:space="preserve">領収書（必須）</w:t>
      </w:r>
    </w:p>
    <w:p>
      <w:pPr>
        <w:numPr>
          <w:ilvl w:val="0"/>
          <w:numId w:val="1027"/>
        </w:numPr>
        <w:pStyle w:val="Compact"/>
      </w:pPr>
      <w:r>
        <w:t xml:space="preserve">その他、支出を証明する書類（必要に応じて）</w:t>
      </w:r>
    </w:p>
    <w:bookmarkEnd w:id="35"/>
    <w:bookmarkStart w:id="36" w:name="第14条承認手続き"/>
    <w:p>
      <w:pPr>
        <w:pStyle w:val="Heading3"/>
      </w:pPr>
      <w:r>
        <w:t xml:space="preserve">第14条（承認手続き）</w:t>
      </w:r>
    </w:p>
    <w:p>
      <w:pPr>
        <w:numPr>
          <w:ilvl w:val="0"/>
          <w:numId w:val="1028"/>
        </w:numPr>
        <w:pStyle w:val="Compact"/>
      </w:pPr>
      <w:r>
        <w:t xml:space="preserve">精算書は、所属長の承認を得るものとする</w:t>
      </w:r>
    </w:p>
    <w:p>
      <w:pPr>
        <w:numPr>
          <w:ilvl w:val="0"/>
          <w:numId w:val="1028"/>
        </w:numPr>
        <w:pStyle w:val="Compact"/>
      </w:pPr>
      <w:r>
        <w:t xml:space="preserve">1件10万円を超える精算は、部門長の承認を得るものとする</w:t>
      </w:r>
    </w:p>
    <w:p>
      <w:pPr>
        <w:numPr>
          <w:ilvl w:val="0"/>
          <w:numId w:val="1028"/>
        </w:numPr>
        <w:pStyle w:val="Compact"/>
      </w:pPr>
      <w:r>
        <w:t xml:space="preserve">1件50万円を超える精算は、取締役の承認を得るものとする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第5章-支払"/>
    <w:p>
      <w:pPr>
        <w:pStyle w:val="Heading2"/>
      </w:pPr>
      <w:r>
        <w:t xml:space="preserve">第5章 支払</w:t>
      </w:r>
    </w:p>
    <w:bookmarkStart w:id="38" w:name="第15条支払時期"/>
    <w:p>
      <w:pPr>
        <w:pStyle w:val="Heading3"/>
      </w:pPr>
      <w:r>
        <w:t xml:space="preserve">第15条（支払時期）</w:t>
      </w:r>
    </w:p>
    <w:p>
      <w:pPr>
        <w:pStyle w:val="FirstParagraph"/>
      </w:pPr>
      <w:r>
        <w:t xml:space="preserve">経費は、精算書提出の翌月末日に支払うものとする。</w:t>
      </w:r>
    </w:p>
    <w:bookmarkEnd w:id="38"/>
    <w:bookmarkStart w:id="39" w:name="第16条支払方法"/>
    <w:p>
      <w:pPr>
        <w:pStyle w:val="Heading3"/>
      </w:pPr>
      <w:r>
        <w:t xml:space="preserve">第16条（支払方法）</w:t>
      </w:r>
    </w:p>
    <w:p>
      <w:pPr>
        <w:pStyle w:val="FirstParagraph"/>
      </w:pPr>
      <w:r>
        <w:t xml:space="preserve">経費は、従業員の指定する金融機関の口座へ振り込むものとする。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第6章-管理と監督"/>
    <w:p>
      <w:pPr>
        <w:pStyle w:val="Heading2"/>
      </w:pPr>
      <w:r>
        <w:t xml:space="preserve">第6章 管理と監督</w:t>
      </w:r>
    </w:p>
    <w:bookmarkStart w:id="41" w:name="第17条経費の適正管理"/>
    <w:p>
      <w:pPr>
        <w:pStyle w:val="Heading3"/>
      </w:pPr>
      <w:r>
        <w:t xml:space="preserve">第17条（経費の適正管理）</w:t>
      </w:r>
    </w:p>
    <w:p>
      <w:pPr>
        <w:pStyle w:val="FirstParagraph"/>
      </w:pPr>
      <w:r>
        <w:t xml:space="preserve">従業員は、経費を適正に管理し、不正、乱用を防止しなければならない。</w:t>
      </w:r>
    </w:p>
    <w:bookmarkEnd w:id="41"/>
    <w:bookmarkStart w:id="42" w:name="第18条監査"/>
    <w:p>
      <w:pPr>
        <w:pStyle w:val="Heading3"/>
      </w:pPr>
      <w:r>
        <w:t xml:space="preserve">第18条（監査）</w:t>
      </w:r>
    </w:p>
    <w:p>
      <w:pPr>
        <w:pStyle w:val="FirstParagraph"/>
      </w:pPr>
      <w:r>
        <w:t xml:space="preserve">会社は、経費精算について監査を行うことができる。従業員は、監査に協力しなければならない。</w:t>
      </w:r>
    </w:p>
    <w:bookmarkEnd w:id="42"/>
    <w:bookmarkStart w:id="43" w:name="第19条不正精算の処置"/>
    <w:p>
      <w:pPr>
        <w:pStyle w:val="Heading3"/>
      </w:pPr>
      <w:r>
        <w:t xml:space="preserve">第19条（不正精算の処置）</w:t>
      </w:r>
    </w:p>
    <w:p>
      <w:pPr>
        <w:pStyle w:val="FirstParagraph"/>
      </w:pPr>
      <w:r>
        <w:t xml:space="preserve">不正精算が発覚した場合、会社は次の措置を講じることができる。</w:t>
      </w:r>
    </w:p>
    <w:p>
      <w:pPr>
        <w:numPr>
          <w:ilvl w:val="0"/>
          <w:numId w:val="1029"/>
        </w:numPr>
        <w:pStyle w:val="Compact"/>
      </w:pPr>
      <w:r>
        <w:t xml:space="preserve">不正金額の返還請求</w:t>
      </w:r>
    </w:p>
    <w:p>
      <w:pPr>
        <w:numPr>
          <w:ilvl w:val="0"/>
          <w:numId w:val="1029"/>
        </w:numPr>
        <w:pStyle w:val="Compact"/>
      </w:pPr>
      <w:r>
        <w:t xml:space="preserve">懲戒処分（譴責、減給、出勤停止、解雇等）</w:t>
      </w:r>
    </w:p>
    <w:p>
      <w:pPr>
        <w:numPr>
          <w:ilvl w:val="0"/>
          <w:numId w:val="1029"/>
        </w:numPr>
        <w:pStyle w:val="Compact"/>
      </w:pPr>
      <w:r>
        <w:t xml:space="preserve">刑事告訴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第7章-雑則"/>
    <w:p>
      <w:pPr>
        <w:pStyle w:val="Heading2"/>
      </w:pPr>
      <w:r>
        <w:t xml:space="preserve">第7章 雑則</w:t>
      </w:r>
    </w:p>
    <w:bookmarkStart w:id="45" w:name="第20条規程の変更"/>
    <w:p>
      <w:pPr>
        <w:pStyle w:val="Heading3"/>
      </w:pPr>
      <w:r>
        <w:t xml:space="preserve">第20条（規程の変更）</w:t>
      </w:r>
    </w:p>
    <w:p>
      <w:pPr>
        <w:pStyle w:val="FirstParagraph"/>
      </w:pPr>
      <w:r>
        <w:t xml:space="preserve">本規程の変更は、取締役会の決議により行う。</w:t>
      </w:r>
    </w:p>
    <w:bookmarkEnd w:id="45"/>
    <w:bookmarkStart w:id="46" w:name="第21条細則"/>
    <w:p>
      <w:pPr>
        <w:pStyle w:val="Heading3"/>
      </w:pPr>
      <w:r>
        <w:t xml:space="preserve">第21条（細則）</w:t>
      </w:r>
    </w:p>
    <w:p>
      <w:pPr>
        <w:pStyle w:val="FirstParagraph"/>
      </w:pPr>
      <w:r>
        <w:t xml:space="preserve">本規程の実施に関し必要な事項は、別に定める。</w:t>
      </w:r>
    </w:p>
    <w:bookmarkEnd w:id="46"/>
    <w:bookmarkStart w:id="47" w:name="第22条未定事項"/>
    <w:p>
      <w:pPr>
        <w:pStyle w:val="Heading3"/>
      </w:pPr>
      <w:r>
        <w:t xml:space="preserve">第22条（未定事項）</w:t>
      </w:r>
    </w:p>
    <w:p>
      <w:pPr>
        <w:pStyle w:val="FirstParagraph"/>
      </w:pPr>
      <w:r>
        <w:t xml:space="preserve">本規程に定めのない事項は、法令の規定及び会社の内規に従う。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附則"/>
    <w:p>
      <w:pPr>
        <w:pStyle w:val="Heading2"/>
      </w:pPr>
      <w:r>
        <w:t xml:space="preserve">附則</w:t>
      </w:r>
    </w:p>
    <w:p>
      <w:pPr>
        <w:numPr>
          <w:ilvl w:val="0"/>
          <w:numId w:val="1030"/>
        </w:numPr>
        <w:pStyle w:val="Compact"/>
      </w:pPr>
      <w:r>
        <w:t xml:space="preserve">本規程は、2025年4月1日より施行する。</w:t>
      </w:r>
    </w:p>
    <w:p>
      <w:pPr>
        <w:numPr>
          <w:ilvl w:val="0"/>
          <w:numId w:val="1030"/>
        </w:numPr>
        <w:pStyle w:val="Compact"/>
      </w:pPr>
      <w:r>
        <w:t xml:space="preserve">従前の経費精算規程は、廃止する。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制定日</w:t>
      </w:r>
      <w:r>
        <w:t xml:space="preserve">: 2025年2月25日</w:t>
      </w:r>
      <w:r>
        <w:t xml:space="preserve"> </w:t>
      </w:r>
      <w:r>
        <w:rPr>
          <w:bCs/>
          <w:b/>
        </w:rPr>
        <w:t xml:space="preserve">株式会社〇〇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経費精算規程（雛形）</dc:title>
  <dc:creator/>
  <cp:category>regulation</cp:category>
  <cp:keywords/>
  <dcterms:created xsi:type="dcterms:W3CDTF">2026-10-07T23:31:41Z</dcterms:created>
  <dcterms:modified xsi:type="dcterms:W3CDTF">2026-10-07T23:31:41Z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ble_to">
    <vt:lpwstr/>
  </property>
  <property fmtid="{D5CDD505-2E9C-101B-9397-08002B2CF9AE}" pid="3" name="created_at">
    <vt:lpwstr>2025-02-25</vt:lpwstr>
  </property>
  <property fmtid="{D5CDD505-2E9C-101B-9397-08002B2CF9AE}" pid="4" name="created_by">
    <vt:lpwstr>accounting-team</vt:lpwstr>
  </property>
  <property fmtid="{D5CDD505-2E9C-101B-9397-08002B2CF9AE}" pid="5" name="id">
    <vt:lpwstr>template-expense-policy-001</vt:lpwstr>
  </property>
  <property fmtid="{D5CDD505-2E9C-101B-9397-08002B2CF9AE}" pid="6" name="next_review">
    <vt:lpwstr>2026-02-25</vt:lpwstr>
  </property>
  <property fmtid="{D5CDD505-2E9C-101B-9397-08002B2CF9AE}" pid="7" name="review_frequency">
    <vt:lpwstr>annual</vt:lpwstr>
  </property>
  <property fmtid="{D5CDD505-2E9C-101B-9397-08002B2CF9AE}" pid="8" name="tags">
    <vt:lpwstr/>
  </property>
  <property fmtid="{D5CDD505-2E9C-101B-9397-08002B2CF9AE}" pid="9" name="type">
    <vt:lpwstr>expense-policy</vt:lpwstr>
  </property>
  <property fmtid="{D5CDD505-2E9C-101B-9397-08002B2CF9AE}" pid="10" name="version">
    <vt:lpwstr>1</vt:lpwstr>
  </property>
</Properties>
</file>