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情報セキュリティ規程（雛形）</w:t>
      </w:r>
    </w:p>
    <w:bookmarkStart w:id="56" w:name="情報セキュリティ規程"/>
    <w:p>
      <w:pPr>
        <w:pStyle w:val="Heading1"/>
      </w:pPr>
      <w:r>
        <w:t xml:space="preserve">情報セキュリティ規程</w:t>
      </w:r>
    </w:p>
    <w:bookmarkStart w:id="23" w:name="第1章-総則"/>
    <w:p>
      <w:pPr>
        <w:pStyle w:val="Heading2"/>
      </w:pPr>
      <w:r>
        <w:t xml:space="preserve">第1章 総則</w:t>
      </w:r>
    </w:p>
    <w:bookmarkStart w:id="20" w:name="第1条目的"/>
    <w:p>
      <w:pPr>
        <w:pStyle w:val="Heading3"/>
      </w:pPr>
      <w:r>
        <w:t xml:space="preserve">第1条（目的）</w:t>
      </w:r>
    </w:p>
    <w:p>
      <w:pPr>
        <w:pStyle w:val="FirstParagraph"/>
      </w:pPr>
      <w:r>
        <w:t xml:space="preserve">本規程は、株式会社〇〇（以下「会社」という）における情報資産の機密性、完全性、可用性を確保し、情報セキュリティincidentsの未然防止および迅速な対応を図ることを目的とする。</w:t>
      </w:r>
    </w:p>
    <w:bookmarkEnd w:id="20"/>
    <w:bookmarkStart w:id="21" w:name="第2条適用範囲"/>
    <w:p>
      <w:pPr>
        <w:pStyle w:val="Heading3"/>
      </w:pPr>
      <w:r>
        <w:t xml:space="preserve">第2条（適用範囲）</w:t>
      </w:r>
    </w:p>
    <w:p>
      <w:pPr>
        <w:pStyle w:val="FirstParagraph"/>
      </w:pPr>
      <w:r>
        <w:t xml:space="preserve">本規程は、会社の全役員および従業員（正社員、契約社員、パートタイマー、派遣社員等を含む）に適用する。</w:t>
      </w:r>
    </w:p>
    <w:bookmarkEnd w:id="21"/>
    <w:bookmarkStart w:id="22" w:name="第3条定義"/>
    <w:p>
      <w:pPr>
        <w:pStyle w:val="Heading3"/>
      </w:pPr>
      <w:r>
        <w:t xml:space="preserve">第3条（定義）</w:t>
      </w:r>
    </w:p>
    <w:p>
      <w:pPr>
        <w:pStyle w:val="FirstParagraph"/>
      </w:pPr>
      <w:r>
        <w:t xml:space="preserve">本規程において使用する用語の定義は、次のとおりとする。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情報資産</w:t>
      </w:r>
      <w:r>
        <w:t xml:space="preserve">: 会社が保有するすべての情報および情報システム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情報セキュリティ</w:t>
      </w:r>
      <w:r>
        <w:t xml:space="preserve">: 情報の機密性、完全性、可用性を維持すること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機密性</w:t>
      </w:r>
      <w:r>
        <w:t xml:space="preserve">: 認められた者だけが情報にアクセスできること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完全性</w:t>
      </w:r>
      <w:r>
        <w:t xml:space="preserve">: 情報および処理方法が正確であること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可用性</w:t>
      </w:r>
      <w:r>
        <w:t xml:space="preserve">: 認められた必要な時に、情報にアクセスできること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インシデント</w:t>
      </w:r>
      <w:r>
        <w:t xml:space="preserve">: 情報セキュリティに影響を与える事象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2章-情報セキュリティ基本方針"/>
    <w:p>
      <w:pPr>
        <w:pStyle w:val="Heading2"/>
      </w:pPr>
      <w:r>
        <w:t xml:space="preserve">第2章 情報セキュリティ基本方針</w:t>
      </w:r>
    </w:p>
    <w:bookmarkStart w:id="24" w:name="第4条基本方針"/>
    <w:p>
      <w:pPr>
        <w:pStyle w:val="Heading3"/>
      </w:pPr>
      <w:r>
        <w:t xml:space="preserve">第4条（基本方針）</w:t>
      </w:r>
    </w:p>
    <w:p>
      <w:pPr>
        <w:pStyle w:val="FirstParagraph"/>
      </w:pPr>
      <w:r>
        <w:t xml:space="preserve">会社は、次の基本方針に基づき、情報セキュリティを確保する。</w:t>
      </w:r>
    </w:p>
    <w:p>
      <w:pPr>
        <w:numPr>
          <w:ilvl w:val="0"/>
          <w:numId w:val="1002"/>
        </w:numPr>
        <w:pStyle w:val="Compact"/>
      </w:pPr>
      <w:r>
        <w:t xml:space="preserve">情報資産を適切に管理し、その価値を維持する</w:t>
      </w:r>
    </w:p>
    <w:p>
      <w:pPr>
        <w:numPr>
          <w:ilvl w:val="0"/>
          <w:numId w:val="1002"/>
        </w:numPr>
        <w:pStyle w:val="Compact"/>
      </w:pPr>
      <w:r>
        <w:t xml:space="preserve">法令および契約上の要求事項を遵守する</w:t>
      </w:r>
    </w:p>
    <w:p>
      <w:pPr>
        <w:numPr>
          <w:ilvl w:val="0"/>
          <w:numId w:val="1002"/>
        </w:numPr>
        <w:pStyle w:val="Compact"/>
      </w:pPr>
      <w:r>
        <w:t xml:space="preserve">情報セキュリティインシデントを未然に防止する</w:t>
      </w:r>
    </w:p>
    <w:p>
      <w:pPr>
        <w:numPr>
          <w:ilvl w:val="0"/>
          <w:numId w:val="1002"/>
        </w:numPr>
        <w:pStyle w:val="Compact"/>
      </w:pPr>
      <w:r>
        <w:t xml:space="preserve">インシデント発生時は迅速かつ適切に対応する</w:t>
      </w:r>
    </w:p>
    <w:p>
      <w:pPr>
        <w:numPr>
          <w:ilvl w:val="0"/>
          <w:numId w:val="1002"/>
        </w:numPr>
        <w:pStyle w:val="Compact"/>
      </w:pPr>
      <w:r>
        <w:t xml:space="preserve">情報セキュリティに関する意識向上を図る</w:t>
      </w:r>
    </w:p>
    <w:bookmarkEnd w:id="24"/>
    <w:bookmarkStart w:id="25" w:name="第5条情報セキュリティ責任者"/>
    <w:p>
      <w:pPr>
        <w:pStyle w:val="Heading3"/>
      </w:pPr>
      <w:r>
        <w:t xml:space="preserve">第5条（情報セキュリティ責任者）</w:t>
      </w:r>
    </w:p>
    <w:p>
      <w:pPr>
        <w:pStyle w:val="FirstParagraph"/>
      </w:pPr>
      <w:r>
        <w:t xml:space="preserve">会社は、情報セキュリティ責任者（CISO）を置き、情報セキュリティに関する総括的な責任を負うものとする。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第3章-情報資産の分類と管理"/>
    <w:p>
      <w:pPr>
        <w:pStyle w:val="Heading2"/>
      </w:pPr>
      <w:r>
        <w:t xml:space="preserve">第3章 情報資産の分類と管理</w:t>
      </w:r>
    </w:p>
    <w:bookmarkStart w:id="27" w:name="第6条情報資産の分類"/>
    <w:p>
      <w:pPr>
        <w:pStyle w:val="Heading3"/>
      </w:pPr>
      <w:r>
        <w:t xml:space="preserve">第6条（情報資産の分類）</w:t>
      </w:r>
    </w:p>
    <w:p>
      <w:pPr>
        <w:pStyle w:val="FirstParagraph"/>
      </w:pPr>
      <w:r>
        <w:t xml:space="preserve">情報資産は、次のとおり分類する。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極秘</w:t>
      </w:r>
      <w:r>
        <w:t xml:space="preserve">: 会社の存続に関わる情報（経営戦略、特許、財務情報等）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機密</w:t>
      </w:r>
      <w:r>
        <w:t xml:space="preserve">: 業務上重要な情報（顧客情報、契約書、技術情報等）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社外秘</w:t>
      </w:r>
      <w:r>
        <w:t xml:space="preserve">: 社外への公開を制限すべき情報（社内規定、組織図等）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公開</w:t>
      </w:r>
      <w:r>
        <w:t xml:space="preserve">: 社外に公開可能な情報（会社案内、プレスリリース等）</w:t>
      </w:r>
    </w:p>
    <w:bookmarkEnd w:id="27"/>
    <w:bookmarkStart w:id="28" w:name="第7条情報資産の管理"/>
    <w:p>
      <w:pPr>
        <w:pStyle w:val="Heading3"/>
      </w:pPr>
      <w:r>
        <w:t xml:space="preserve">第7条（情報資産の管理）</w:t>
      </w:r>
    </w:p>
    <w:p>
      <w:pPr>
        <w:pStyle w:val="FirstParagraph"/>
      </w:pPr>
      <w:r>
        <w:t xml:space="preserve">従業員は、情報資産をその分類に応じて適切に管理しなければならない。</w:t>
      </w:r>
    </w:p>
    <w:p>
      <w:pPr>
        <w:numPr>
          <w:ilvl w:val="0"/>
          <w:numId w:val="1004"/>
        </w:numPr>
        <w:pStyle w:val="Compact"/>
      </w:pPr>
      <w:r>
        <w:t xml:space="preserve">極秘情報は、厳重なアクセス制御を行う</w:t>
      </w:r>
    </w:p>
    <w:p>
      <w:pPr>
        <w:numPr>
          <w:ilvl w:val="0"/>
          <w:numId w:val="1004"/>
        </w:numPr>
        <w:pStyle w:val="Compact"/>
      </w:pPr>
      <w:r>
        <w:t xml:space="preserve">機密情報は、必要最小限の者のみアクセスを許可する</w:t>
      </w:r>
    </w:p>
    <w:p>
      <w:pPr>
        <w:numPr>
          <w:ilvl w:val="0"/>
          <w:numId w:val="1004"/>
        </w:numPr>
        <w:pStyle w:val="Compact"/>
      </w:pPr>
      <w:r>
        <w:t xml:space="preserve">社外秘情報は、社外への持ち出しを制限する</w:t>
      </w:r>
    </w:p>
    <w:p>
      <w:pPr>
        <w:numPr>
          <w:ilvl w:val="0"/>
          <w:numId w:val="1004"/>
        </w:numPr>
        <w:pStyle w:val="Compact"/>
      </w:pPr>
      <w:r>
        <w:t xml:space="preserve">公開情報は、正確性を確保して公開する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4章-物理的セキュリティ"/>
    <w:p>
      <w:pPr>
        <w:pStyle w:val="Heading2"/>
      </w:pPr>
      <w:r>
        <w:t xml:space="preserve">第4章 物理的セキュリティ</w:t>
      </w:r>
    </w:p>
    <w:bookmarkStart w:id="30" w:name="第8条入退室管理"/>
    <w:p>
      <w:pPr>
        <w:pStyle w:val="Heading3"/>
      </w:pPr>
      <w:r>
        <w:t xml:space="preserve">第8条（入退室管理）</w:t>
      </w:r>
    </w:p>
    <w:p>
      <w:pPr>
        <w:numPr>
          <w:ilvl w:val="0"/>
          <w:numId w:val="1005"/>
        </w:numPr>
        <w:pStyle w:val="Compact"/>
      </w:pPr>
      <w:r>
        <w:t xml:space="preserve">オフィスへの入退室は、IDカード等により管理する</w:t>
      </w:r>
    </w:p>
    <w:p>
      <w:pPr>
        <w:numPr>
          <w:ilvl w:val="0"/>
          <w:numId w:val="1005"/>
        </w:numPr>
        <w:pStyle w:val="Compact"/>
      </w:pPr>
      <w:r>
        <w:t xml:space="preserve">来訪者は、受付で登録し、従業員の同伴のもとオフィスに入室する</w:t>
      </w:r>
    </w:p>
    <w:p>
      <w:pPr>
        <w:numPr>
          <w:ilvl w:val="0"/>
          <w:numId w:val="1005"/>
        </w:numPr>
        <w:pStyle w:val="Compact"/>
      </w:pPr>
      <w:r>
        <w:t xml:space="preserve">サーバ室等の重要エリアは、特別な許可がない限り立ち入りを禁止する</w:t>
      </w:r>
    </w:p>
    <w:bookmarkEnd w:id="30"/>
    <w:bookmarkStart w:id="31" w:name="第9条設備管理"/>
    <w:p>
      <w:pPr>
        <w:pStyle w:val="Heading3"/>
      </w:pPr>
      <w:r>
        <w:t xml:space="preserve">第9条（設備管理）</w:t>
      </w:r>
    </w:p>
    <w:p>
      <w:pPr>
        <w:numPr>
          <w:ilvl w:val="0"/>
          <w:numId w:val="1006"/>
        </w:numPr>
        <w:pStyle w:val="Compact"/>
      </w:pPr>
      <w:r>
        <w:t xml:space="preserve">情報処理設備は、適切な環境（温度、湿度、電源等）で管理する</w:t>
      </w:r>
    </w:p>
    <w:p>
      <w:pPr>
        <w:numPr>
          <w:ilvl w:val="0"/>
          <w:numId w:val="1006"/>
        </w:numPr>
        <w:pStyle w:val="Compact"/>
      </w:pPr>
      <w:r>
        <w:t xml:space="preserve">重要な設備には、適切な防災・防犯対策を講じる</w:t>
      </w:r>
    </w:p>
    <w:p>
      <w:pPr>
        <w:numPr>
          <w:ilvl w:val="0"/>
          <w:numId w:val="1006"/>
        </w:numPr>
        <w:pStyle w:val="Compact"/>
      </w:pPr>
      <w:r>
        <w:t xml:space="preserve">廃棄する設備は、データを完全に消去する</w:t>
      </w:r>
    </w:p>
    <w:bookmarkEnd w:id="31"/>
    <w:bookmarkStart w:id="32" w:name="第10条デスクセキュリティ"/>
    <w:p>
      <w:pPr>
        <w:pStyle w:val="Heading3"/>
      </w:pPr>
      <w:r>
        <w:t xml:space="preserve">第10条（デスクセキュリティ**</w:t>
      </w:r>
    </w:p>
    <w:p>
      <w:pPr>
        <w:numPr>
          <w:ilvl w:val="0"/>
          <w:numId w:val="1007"/>
        </w:numPr>
        <w:pStyle w:val="Compact"/>
      </w:pPr>
      <w:r>
        <w:t xml:space="preserve">離席時は、PC画面をロックする</w:t>
      </w:r>
    </w:p>
    <w:p>
      <w:pPr>
        <w:numPr>
          <w:ilvl w:val="0"/>
          <w:numId w:val="1007"/>
        </w:numPr>
        <w:pStyle w:val="Compact"/>
      </w:pPr>
      <w:r>
        <w:t xml:space="preserve">机上の重要書類は、施錠可能なキャビネットに保管する</w:t>
      </w:r>
    </w:p>
    <w:p>
      <w:pPr>
        <w:numPr>
          <w:ilvl w:val="0"/>
          <w:numId w:val="1007"/>
        </w:numPr>
        <w:pStyle w:val="Compact"/>
      </w:pPr>
      <w:r>
        <w:t xml:space="preserve">印刷物は、必要最小限とし、速やかに回収する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5章-技術的セキュリティ"/>
    <w:p>
      <w:pPr>
        <w:pStyle w:val="Heading2"/>
      </w:pPr>
      <w:r>
        <w:t xml:space="preserve">第5章 技術的セキュリティ</w:t>
      </w:r>
    </w:p>
    <w:bookmarkStart w:id="34" w:name="第11条アクセス制御"/>
    <w:p>
      <w:pPr>
        <w:pStyle w:val="Heading3"/>
      </w:pPr>
      <w:r>
        <w:t xml:space="preserve">第11条（アクセス制御）</w:t>
      </w:r>
    </w:p>
    <w:p>
      <w:pPr>
        <w:numPr>
          <w:ilvl w:val="0"/>
          <w:numId w:val="1008"/>
        </w:numPr>
        <w:pStyle w:val="Compact"/>
      </w:pPr>
      <w:r>
        <w:t xml:space="preserve">情報システムへのアクセスは、ユーザーIDおよびパスワードにより認証する</w:t>
      </w:r>
    </w:p>
    <w:p>
      <w:pPr>
        <w:numPr>
          <w:ilvl w:val="0"/>
          <w:numId w:val="1008"/>
        </w:numPr>
        <w:pStyle w:val="Compact"/>
      </w:pPr>
      <w:r>
        <w:t xml:space="preserve">パスワードは、8文字以上の英数字記号を組み合わせて設定する</w:t>
      </w:r>
    </w:p>
    <w:p>
      <w:pPr>
        <w:numPr>
          <w:ilvl w:val="0"/>
          <w:numId w:val="1008"/>
        </w:numPr>
        <w:pStyle w:val="Compact"/>
      </w:pPr>
      <w:r>
        <w:t xml:space="preserve">パスワードは、90日ごとに変更する</w:t>
      </w:r>
    </w:p>
    <w:p>
      <w:pPr>
        <w:numPr>
          <w:ilvl w:val="0"/>
          <w:numId w:val="1008"/>
        </w:numPr>
        <w:pStyle w:val="Compact"/>
      </w:pPr>
      <w:r>
        <w:t xml:space="preserve">共有IDの使用は、原則として禁止する</w:t>
      </w:r>
    </w:p>
    <w:bookmarkEnd w:id="34"/>
    <w:bookmarkStart w:id="35" w:name="第12条ネットワークセキュリティ"/>
    <w:p>
      <w:pPr>
        <w:pStyle w:val="Heading3"/>
      </w:pPr>
      <w:r>
        <w:t xml:space="preserve">第12条（ネットワークセキュリティ）</w:t>
      </w:r>
    </w:p>
    <w:p>
      <w:pPr>
        <w:numPr>
          <w:ilvl w:val="0"/>
          <w:numId w:val="1009"/>
        </w:numPr>
        <w:pStyle w:val="Compact"/>
      </w:pPr>
      <w:r>
        <w:t xml:space="preserve">社内ネットワークと外部ネットワークは、ファイアウォールで分離する</w:t>
      </w:r>
    </w:p>
    <w:p>
      <w:pPr>
        <w:numPr>
          <w:ilvl w:val="0"/>
          <w:numId w:val="1009"/>
        </w:numPr>
        <w:pStyle w:val="Compact"/>
      </w:pPr>
      <w:r>
        <w:t xml:space="preserve">外部からのアクセスは、VPNを使用する</w:t>
      </w:r>
    </w:p>
    <w:p>
      <w:pPr>
        <w:numPr>
          <w:ilvl w:val="0"/>
          <w:numId w:val="1009"/>
        </w:numPr>
        <w:pStyle w:val="Compact"/>
      </w:pPr>
      <w:r>
        <w:t xml:space="preserve">無線LANは、暗号化し、認証を必須とする</w:t>
      </w:r>
    </w:p>
    <w:bookmarkEnd w:id="35"/>
    <w:bookmarkStart w:id="36" w:name="第13条マルウェア対策"/>
    <w:p>
      <w:pPr>
        <w:pStyle w:val="Heading3"/>
      </w:pPr>
      <w:r>
        <w:t xml:space="preserve">第13条（マルウェア対策**</w:t>
      </w:r>
    </w:p>
    <w:p>
      <w:pPr>
        <w:numPr>
          <w:ilvl w:val="0"/>
          <w:numId w:val="1010"/>
        </w:numPr>
        <w:pStyle w:val="Compact"/>
      </w:pPr>
      <w:r>
        <w:t xml:space="preserve">全端末にウイルス対策ソフトを導入し、常に最新の状態に保つ</w:t>
      </w:r>
    </w:p>
    <w:p>
      <w:pPr>
        <w:numPr>
          <w:ilvl w:val="0"/>
          <w:numId w:val="1010"/>
        </w:numPr>
        <w:pStyle w:val="Compact"/>
      </w:pPr>
      <w:r>
        <w:t xml:space="preserve">不審なメール、添付ファイルは開かない</w:t>
      </w:r>
    </w:p>
    <w:p>
      <w:pPr>
        <w:numPr>
          <w:ilvl w:val="0"/>
          <w:numId w:val="1010"/>
        </w:numPr>
        <w:pStyle w:val="Compact"/>
      </w:pPr>
      <w:r>
        <w:t xml:space="preserve">外部メディア（USB等）の使用は、セキュリティチェックを受ける</w:t>
      </w:r>
    </w:p>
    <w:bookmarkEnd w:id="36"/>
    <w:bookmarkStart w:id="37" w:name="第14条バックアップ"/>
    <w:p>
      <w:pPr>
        <w:pStyle w:val="Heading3"/>
      </w:pPr>
      <w:r>
        <w:t xml:space="preserve">第14条（バックアップ）</w:t>
      </w:r>
    </w:p>
    <w:p>
      <w:pPr>
        <w:numPr>
          <w:ilvl w:val="0"/>
          <w:numId w:val="1011"/>
        </w:numPr>
        <w:pStyle w:val="Compact"/>
      </w:pPr>
      <w:r>
        <w:t xml:space="preserve">重要なデータは、定期的にバックアップを取得する</w:t>
      </w:r>
    </w:p>
    <w:p>
      <w:pPr>
        <w:numPr>
          <w:ilvl w:val="0"/>
          <w:numId w:val="1011"/>
        </w:numPr>
        <w:pStyle w:val="Compact"/>
      </w:pPr>
      <w:r>
        <w:t xml:space="preserve">バックアップデータは、暗号化して別の場所に保管する</w:t>
      </w:r>
    </w:p>
    <w:p>
      <w:pPr>
        <w:numPr>
          <w:ilvl w:val="0"/>
          <w:numId w:val="1011"/>
        </w:numPr>
        <w:pStyle w:val="Compact"/>
      </w:pPr>
      <w:r>
        <w:t xml:space="preserve">バックアップの復旧テストを定期的に実施する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6章-人的セキュリティ"/>
    <w:p>
      <w:pPr>
        <w:pStyle w:val="Heading2"/>
      </w:pPr>
      <w:r>
        <w:t xml:space="preserve">第6章 人的セキュリティ</w:t>
      </w:r>
    </w:p>
    <w:bookmarkStart w:id="39" w:name="第15条セキュリティ教育"/>
    <w:p>
      <w:pPr>
        <w:pStyle w:val="Heading3"/>
      </w:pPr>
      <w:r>
        <w:t xml:space="preserve">第15条（セキュリティ教育）</w:t>
      </w:r>
    </w:p>
    <w:p>
      <w:pPr>
        <w:numPr>
          <w:ilvl w:val="0"/>
          <w:numId w:val="1012"/>
        </w:numPr>
        <w:pStyle w:val="Compact"/>
      </w:pPr>
      <w:r>
        <w:t xml:space="preserve">従業員は、入社時に情報セキュリティ教育を受講する</w:t>
      </w:r>
    </w:p>
    <w:p>
      <w:pPr>
        <w:numPr>
          <w:ilvl w:val="0"/>
          <w:numId w:val="1012"/>
        </w:numPr>
        <w:pStyle w:val="Compact"/>
      </w:pPr>
      <w:r>
        <w:t xml:space="preserve">年1回以上、定期的なセキュリティ教育を実施する</w:t>
      </w:r>
    </w:p>
    <w:p>
      <w:pPr>
        <w:numPr>
          <w:ilvl w:val="0"/>
          <w:numId w:val="1012"/>
        </w:numPr>
        <w:pStyle w:val="Compact"/>
      </w:pPr>
      <w:r>
        <w:t xml:space="preserve">セキュリティインシデントの事例を共有し、意識向上を図る</w:t>
      </w:r>
    </w:p>
    <w:bookmarkEnd w:id="39"/>
    <w:bookmarkStart w:id="40" w:name="第16条秘密保持契約"/>
    <w:p>
      <w:pPr>
        <w:pStyle w:val="Heading3"/>
      </w:pPr>
      <w:r>
        <w:t xml:space="preserve">第16条（秘密保持契約）</w:t>
      </w:r>
    </w:p>
    <w:p>
      <w:pPr>
        <w:numPr>
          <w:ilvl w:val="0"/>
          <w:numId w:val="1013"/>
        </w:numPr>
        <w:pStyle w:val="Compact"/>
      </w:pPr>
      <w:r>
        <w:t xml:space="preserve">従業員は、入社時に秘密保持契約を締結する</w:t>
      </w:r>
    </w:p>
    <w:p>
      <w:pPr>
        <w:numPr>
          <w:ilvl w:val="0"/>
          <w:numId w:val="1013"/>
        </w:numPr>
        <w:pStyle w:val="Compact"/>
      </w:pPr>
      <w:r>
        <w:t xml:space="preserve">退職後も、在職中に知得した秘密情報を漏洩してはならない</w:t>
      </w:r>
    </w:p>
    <w:p>
      <w:pPr>
        <w:numPr>
          <w:ilvl w:val="0"/>
          <w:numId w:val="1013"/>
        </w:numPr>
        <w:pStyle w:val="Compact"/>
      </w:pPr>
      <w:r>
        <w:t xml:space="preserve">業務委託先等には、秘密保持契約の締結を義務付ける</w:t>
      </w:r>
    </w:p>
    <w:bookmarkEnd w:id="40"/>
    <w:bookmarkStart w:id="41" w:name="第17条持ち出し制限"/>
    <w:p>
      <w:pPr>
        <w:pStyle w:val="Heading3"/>
      </w:pPr>
      <w:r>
        <w:t xml:space="preserve">第17条（持ち出し制限）</w:t>
      </w:r>
    </w:p>
    <w:p>
      <w:pPr>
        <w:numPr>
          <w:ilvl w:val="0"/>
          <w:numId w:val="1014"/>
        </w:numPr>
        <w:pStyle w:val="Compact"/>
      </w:pPr>
      <w:r>
        <w:t xml:space="preserve">情報資産の社外への持ち出しは、上司の承認を得る</w:t>
      </w:r>
    </w:p>
    <w:p>
      <w:pPr>
        <w:numPr>
          <w:ilvl w:val="0"/>
          <w:numId w:val="1014"/>
        </w:numPr>
        <w:pStyle w:val="Compact"/>
      </w:pPr>
      <w:r>
        <w:t xml:space="preserve">持ち出し時は、暗号化等の適切な保護措置を講じる</w:t>
      </w:r>
    </w:p>
    <w:p>
      <w:pPr>
        <w:numPr>
          <w:ilvl w:val="0"/>
          <w:numId w:val="1014"/>
        </w:numPr>
        <w:pStyle w:val="Compact"/>
      </w:pPr>
      <w:r>
        <w:t xml:space="preserve">持ち出した情報資産は、速やかに返却または廃棄する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第7章-インシデント対応"/>
    <w:p>
      <w:pPr>
        <w:pStyle w:val="Heading2"/>
      </w:pPr>
      <w:r>
        <w:t xml:space="preserve">第7章 インシデント対応</w:t>
      </w:r>
    </w:p>
    <w:bookmarkStart w:id="43" w:name="第18条インシデントの報告"/>
    <w:p>
      <w:pPr>
        <w:pStyle w:val="Heading3"/>
      </w:pPr>
      <w:r>
        <w:t xml:space="preserve">第18条（インシデントの報告）</w:t>
      </w:r>
    </w:p>
    <w:p>
      <w:pPr>
        <w:pStyle w:val="FirstParagraph"/>
      </w:pPr>
      <w:r>
        <w:t xml:space="preserve">情報セキュリティインシデントまたはその兆候を発見した場合、直ちに情報システム部門に報告しなければならない。</w:t>
      </w:r>
    </w:p>
    <w:bookmarkEnd w:id="43"/>
    <w:bookmarkStart w:id="44" w:name="第19条インシデント対応"/>
    <w:p>
      <w:pPr>
        <w:pStyle w:val="Heading3"/>
      </w:pPr>
      <w:r>
        <w:t xml:space="preserve">第19条（インシデント対応）</w:t>
      </w:r>
    </w:p>
    <w:p>
      <w:pPr>
        <w:numPr>
          <w:ilvl w:val="0"/>
          <w:numId w:val="1015"/>
        </w:numPr>
        <w:pStyle w:val="Compact"/>
      </w:pPr>
      <w:r>
        <w:t xml:space="preserve">情報システム部門は、報告を受けた場合、直ちに調査を開始する</w:t>
      </w:r>
    </w:p>
    <w:p>
      <w:pPr>
        <w:numPr>
          <w:ilvl w:val="0"/>
          <w:numId w:val="1015"/>
        </w:numPr>
        <w:pStyle w:val="Compact"/>
      </w:pPr>
      <w:r>
        <w:t xml:space="preserve">影響範囲の特定、原因究明、被害の拡大防止に努める</w:t>
      </w:r>
    </w:p>
    <w:p>
      <w:pPr>
        <w:numPr>
          <w:ilvl w:val="0"/>
          <w:numId w:val="1015"/>
        </w:numPr>
        <w:pStyle w:val="Compact"/>
      </w:pPr>
      <w:r>
        <w:t xml:space="preserve">必要に応じ、関係部署および経営層に報告する</w:t>
      </w:r>
    </w:p>
    <w:bookmarkEnd w:id="44"/>
    <w:bookmarkStart w:id="45" w:name="第20条再発防止"/>
    <w:p>
      <w:pPr>
        <w:pStyle w:val="Heading3"/>
      </w:pPr>
      <w:r>
        <w:t xml:space="preserve">第20条（再発防止）</w:t>
      </w:r>
    </w:p>
    <w:p>
      <w:pPr>
        <w:numPr>
          <w:ilvl w:val="0"/>
          <w:numId w:val="1016"/>
        </w:numPr>
        <w:pStyle w:val="Compact"/>
      </w:pPr>
      <w:r>
        <w:t xml:space="preserve">インシデントの原因を分析し、再発防止策を策定する</w:t>
      </w:r>
    </w:p>
    <w:p>
      <w:pPr>
        <w:numPr>
          <w:ilvl w:val="0"/>
          <w:numId w:val="1016"/>
        </w:numPr>
        <w:pStyle w:val="Compact"/>
      </w:pPr>
      <w:r>
        <w:t xml:space="preserve">必要に応じ、本規程および関連規定を見直す</w:t>
      </w:r>
    </w:p>
    <w:p>
      <w:pPr>
        <w:numPr>
          <w:ilvl w:val="0"/>
          <w:numId w:val="1016"/>
        </w:numPr>
        <w:pStyle w:val="Compact"/>
      </w:pPr>
      <w:r>
        <w:t xml:space="preserve">従業員への周知徹底を図る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第8章-監査および見直し"/>
    <w:p>
      <w:pPr>
        <w:pStyle w:val="Heading2"/>
      </w:pPr>
      <w:r>
        <w:t xml:space="preserve">第8章 監査および見直し</w:t>
      </w:r>
    </w:p>
    <w:bookmarkStart w:id="47" w:name="第21条内部監査"/>
    <w:p>
      <w:pPr>
        <w:pStyle w:val="Heading3"/>
      </w:pPr>
      <w:r>
        <w:t xml:space="preserve">第21条（内部監査）</w:t>
      </w:r>
    </w:p>
    <w:p>
      <w:pPr>
        <w:pStyle w:val="FirstParagraph"/>
      </w:pPr>
      <w:r>
        <w:t xml:space="preserve">会社は、情報セキュリティの状況について、年1回以上、内部監査を実施する。</w:t>
      </w:r>
    </w:p>
    <w:bookmarkEnd w:id="47"/>
    <w:bookmarkStart w:id="48" w:name="第22条外部監査"/>
    <w:p>
      <w:pPr>
        <w:pStyle w:val="Heading3"/>
      </w:pPr>
      <w:r>
        <w:t xml:space="preserve">第22条（外部監査）</w:t>
      </w:r>
    </w:p>
    <w:p>
      <w:pPr>
        <w:pStyle w:val="FirstParagraph"/>
      </w:pPr>
      <w:r>
        <w:t xml:space="preserve">法令または契約により外部監査が必要な場合、これを受けるものとする。</w:t>
      </w:r>
    </w:p>
    <w:bookmarkEnd w:id="48"/>
    <w:bookmarkStart w:id="49" w:name="第23条規程の見直し"/>
    <w:p>
      <w:pPr>
        <w:pStyle w:val="Heading3"/>
      </w:pPr>
      <w:r>
        <w:t xml:space="preserve">第23条（規程の見直し）</w:t>
      </w:r>
    </w:p>
    <w:p>
      <w:pPr>
        <w:pStyle w:val="FirstParagraph"/>
      </w:pPr>
      <w:r>
        <w:t xml:space="preserve">本規程は、年1回以上、定期的に見直し、必要に応じて改訂する。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第9章-罰則"/>
    <w:p>
      <w:pPr>
        <w:pStyle w:val="Heading2"/>
      </w:pPr>
      <w:r>
        <w:t xml:space="preserve">第9章 罰則</w:t>
      </w:r>
    </w:p>
    <w:bookmarkStart w:id="51" w:name="第24条違反時の措置"/>
    <w:p>
      <w:pPr>
        <w:pStyle w:val="Heading3"/>
      </w:pPr>
      <w:r>
        <w:t xml:space="preserve">第24条（違反時の措置）</w:t>
      </w:r>
    </w:p>
    <w:p>
      <w:pPr>
        <w:pStyle w:val="FirstParagraph"/>
      </w:pPr>
      <w:r>
        <w:t xml:space="preserve">本規程に違反した場合、会社は就業規則等に基づき、懲戒処分を行うことができる。ただし、違反が悪質な場合、刑事責任を問うことがある。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第10章-雑則"/>
    <w:p>
      <w:pPr>
        <w:pStyle w:val="Heading2"/>
      </w:pPr>
      <w:r>
        <w:t xml:space="preserve">第10章 雑則</w:t>
      </w:r>
    </w:p>
    <w:bookmarkStart w:id="53" w:name="第25条細則"/>
    <w:p>
      <w:pPr>
        <w:pStyle w:val="Heading3"/>
      </w:pPr>
      <w:r>
        <w:t xml:space="preserve">第25条（細則）</w:t>
      </w:r>
    </w:p>
    <w:p>
      <w:pPr>
        <w:pStyle w:val="FirstParagraph"/>
      </w:pPr>
      <w:r>
        <w:t xml:space="preserve">本規程の実施に関し必要な事項は、別に定める。</w:t>
      </w:r>
    </w:p>
    <w:bookmarkEnd w:id="53"/>
    <w:bookmarkStart w:id="54" w:name="第26条施行日"/>
    <w:p>
      <w:pPr>
        <w:pStyle w:val="Heading3"/>
      </w:pPr>
      <w:r>
        <w:t xml:space="preserve">第26条（施行日）</w:t>
      </w:r>
    </w:p>
    <w:p>
      <w:pPr>
        <w:pStyle w:val="FirstParagraph"/>
      </w:pPr>
      <w:r>
        <w:t xml:space="preserve">本規程は、2025年4月1日から施行する。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制定日</w:t>
      </w:r>
      <w:r>
        <w:t xml:space="preserve">: 2025年2月25日</w:t>
      </w:r>
      <w:r>
        <w:t xml:space="preserve"> </w:t>
      </w:r>
      <w:r>
        <w:rPr>
          <w:bCs/>
          <w:b/>
        </w:rPr>
        <w:t xml:space="preserve">株式会社〇〇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情報セキュリティ規程（雛形）</dc:title>
  <dc:creator/>
  <cp:category>regulation</cp:category>
  <cp:keywords/>
  <dcterms:created xsi:type="dcterms:W3CDTF">2026-10-07T23:31:41Z</dcterms:created>
  <dcterms:modified xsi:type="dcterms:W3CDTF">2026-10-07T23:31:41Z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it-security-team</vt:lpwstr>
  </property>
  <property fmtid="{D5CDD505-2E9C-101B-9397-08002B2CF9AE}" pid="5" name="id">
    <vt:lpwstr>template-security-policy-001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security-policy</vt:lpwstr>
  </property>
  <property fmtid="{D5CDD505-2E9C-101B-9397-08002B2CF9AE}" pid="10" name="version">
    <vt:lpwstr>1</vt:lpwstr>
  </property>
</Properties>
</file>