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就業規則（雛形）</w:t>
      </w:r>
    </w:p>
    <w:bookmarkStart w:id="63" w:name="就業規則"/>
    <w:p>
      <w:pPr>
        <w:pStyle w:val="Heading1"/>
      </w:pPr>
      <w:r>
        <w:t xml:space="preserve">就業規則</w:t>
      </w:r>
    </w:p>
    <w:bookmarkStart w:id="23" w:name="第1章-総則"/>
    <w:p>
      <w:pPr>
        <w:pStyle w:val="Heading2"/>
      </w:pPr>
      <w:r>
        <w:t xml:space="preserve">第1章 総則</w:t>
      </w:r>
    </w:p>
    <w:bookmarkStart w:id="20" w:name="第1条目的"/>
    <w:p>
      <w:pPr>
        <w:pStyle w:val="Heading3"/>
      </w:pPr>
      <w:r>
        <w:t xml:space="preserve">第1条（目的）</w:t>
      </w:r>
    </w:p>
    <w:p>
      <w:pPr>
        <w:pStyle w:val="FirstParagraph"/>
      </w:pPr>
      <w:r>
        <w:t xml:space="preserve">本規則は、株式会社〇〇（以下「会社」という）の従業員の労働条件、服務規律、その他就業に関する必要事項を定めるものである。</w:t>
      </w:r>
    </w:p>
    <w:bookmarkEnd w:id="20"/>
    <w:bookmarkStart w:id="21" w:name="第2条適用範囲"/>
    <w:p>
      <w:pPr>
        <w:pStyle w:val="Heading3"/>
      </w:pPr>
      <w:r>
        <w:t xml:space="preserve">第2条（適用範囲）</w:t>
      </w:r>
    </w:p>
    <w:p>
      <w:pPr>
        <w:pStyle w:val="FirstParagraph"/>
      </w:pPr>
      <w:r>
        <w:t xml:space="preserve">本規則は、会社が雇用する全ての従業員に適用する。ただし、別に定める契約社員、パートタイマー、派遣社員等については、別途定める規定によるものとする。</w:t>
      </w:r>
    </w:p>
    <w:bookmarkEnd w:id="21"/>
    <w:bookmarkStart w:id="22" w:name="第3条用語の定義"/>
    <w:p>
      <w:pPr>
        <w:pStyle w:val="Heading3"/>
      </w:pPr>
      <w:r>
        <w:t xml:space="preserve">第3条（用語の定義）</w:t>
      </w:r>
    </w:p>
    <w:p>
      <w:pPr>
        <w:pStyle w:val="FirstParagraph"/>
      </w:pPr>
      <w:r>
        <w:t xml:space="preserve">本規則における用語の意義は、次の各号に定めるとおりとする。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従業員</w:t>
      </w:r>
      <w:r>
        <w:t xml:space="preserve">: 会社に雇用され、賃金の支払いを受ける者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所定労働時間</w:t>
      </w:r>
      <w:r>
        <w:t xml:space="preserve">: 就業場所において業務に従事すべき時間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所定休日</w:t>
      </w:r>
      <w:r>
        <w:t xml:space="preserve">: 労働を免除される日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第2章-採用雇用"/>
    <w:p>
      <w:pPr>
        <w:pStyle w:val="Heading2"/>
      </w:pPr>
      <w:r>
        <w:t xml:space="preserve">第2章 採用・雇用</w:t>
      </w:r>
    </w:p>
    <w:bookmarkStart w:id="24" w:name="第4条採用"/>
    <w:p>
      <w:pPr>
        <w:pStyle w:val="Heading3"/>
      </w:pPr>
      <w:r>
        <w:t xml:space="preserve">第4条（採用）</w:t>
      </w:r>
    </w:p>
    <w:p>
      <w:pPr>
        <w:pStyle w:val="FirstParagraph"/>
      </w:pPr>
      <w:r>
        <w:t xml:space="preserve">会社は、必要と認めた場合、従業員を採用することができる。</w:t>
      </w:r>
    </w:p>
    <w:bookmarkEnd w:id="24"/>
    <w:bookmarkStart w:id="25" w:name="第5条採用試験"/>
    <w:p>
      <w:pPr>
        <w:pStyle w:val="Heading3"/>
      </w:pPr>
      <w:r>
        <w:t xml:space="preserve">第5条（採用試験）</w:t>
      </w:r>
    </w:p>
    <w:p>
      <w:pPr>
        <w:pStyle w:val="FirstParagraph"/>
      </w:pPr>
      <w:r>
        <w:t xml:space="preserve">採用を希望する者に対し、会社は採用試験を行うことができる。</w:t>
      </w:r>
    </w:p>
    <w:bookmarkEnd w:id="25"/>
    <w:bookmarkStart w:id="26" w:name="第6条採用内定の取消し"/>
    <w:p>
      <w:pPr>
        <w:pStyle w:val="Heading3"/>
      </w:pPr>
      <w:r>
        <w:t xml:space="preserve">第6条（採用内定の取消し）</w:t>
      </w:r>
    </w:p>
    <w:p>
      <w:pPr>
        <w:pStyle w:val="FirstParagraph"/>
      </w:pPr>
      <w:r>
        <w:t xml:space="preserve">次の各号のいずれかに該当する場合、会社は採用内定を取り消すことができる。</w:t>
      </w:r>
    </w:p>
    <w:p>
      <w:pPr>
        <w:numPr>
          <w:ilvl w:val="0"/>
          <w:numId w:val="1002"/>
        </w:numPr>
        <w:pStyle w:val="Compact"/>
      </w:pPr>
      <w:r>
        <w:t xml:space="preserve">内定者が虚偽の届出をした場合</w:t>
      </w:r>
    </w:p>
    <w:p>
      <w:pPr>
        <w:numPr>
          <w:ilvl w:val="0"/>
          <w:numId w:val="1002"/>
        </w:numPr>
        <w:pStyle w:val="Compact"/>
      </w:pPr>
      <w:r>
        <w:t xml:space="preserve">内定者が犯罪を犯した場合</w:t>
      </w:r>
    </w:p>
    <w:p>
      <w:pPr>
        <w:numPr>
          <w:ilvl w:val="0"/>
          <w:numId w:val="1002"/>
        </w:numPr>
        <w:pStyle w:val="Compact"/>
      </w:pPr>
      <w:r>
        <w:t xml:space="preserve">その他、従業員として不適格と認められる場合</w:t>
      </w:r>
    </w:p>
    <w:bookmarkEnd w:id="26"/>
    <w:bookmarkStart w:id="27" w:name="第7条試用期間"/>
    <w:p>
      <w:pPr>
        <w:pStyle w:val="Heading3"/>
      </w:pPr>
      <w:r>
        <w:t xml:space="preserve">第7条（試用期間）</w:t>
      </w:r>
    </w:p>
    <w:p>
      <w:pPr>
        <w:pStyle w:val="FirstParagraph"/>
      </w:pPr>
      <w:r>
        <w:t xml:space="preserve">採用日から3か月間を試用期間とする。ただし、会社が必要と認めた場合、この期間を延長することができる。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第3章-勤務時間休憩休日"/>
    <w:p>
      <w:pPr>
        <w:pStyle w:val="Heading2"/>
      </w:pPr>
      <w:r>
        <w:t xml:space="preserve">第3章 勤務時間・休憩・休日</w:t>
      </w:r>
    </w:p>
    <w:bookmarkStart w:id="29" w:name="第8条始業終業時刻"/>
    <w:p>
      <w:pPr>
        <w:pStyle w:val="Heading3"/>
      </w:pPr>
      <w:r>
        <w:t xml:space="preserve">第8条（始業・終業時刻）</w:t>
      </w:r>
    </w:p>
    <w:p>
      <w:pPr>
        <w:pStyle w:val="FirstParagraph"/>
      </w:pPr>
      <w:r>
        <w:t xml:space="preserve">始業及び終業の時刻は、次の通りとする。</w:t>
      </w:r>
    </w:p>
    <w:p>
      <w:pPr>
        <w:numPr>
          <w:ilvl w:val="0"/>
          <w:numId w:val="1003"/>
        </w:numPr>
        <w:pStyle w:val="Compact"/>
      </w:pPr>
      <w:r>
        <w:t xml:space="preserve">始業時刻： 午前9時00分</w:t>
      </w:r>
    </w:p>
    <w:p>
      <w:pPr>
        <w:numPr>
          <w:ilvl w:val="0"/>
          <w:numId w:val="1003"/>
        </w:numPr>
        <w:pStyle w:val="Compact"/>
      </w:pPr>
      <w:r>
        <w:t xml:space="preserve">終業時刻： 午後6時00分</w:t>
      </w:r>
    </w:p>
    <w:bookmarkEnd w:id="29"/>
    <w:bookmarkStart w:id="30" w:name="第9条所定労働時間"/>
    <w:p>
      <w:pPr>
        <w:pStyle w:val="Heading3"/>
      </w:pPr>
      <w:r>
        <w:t xml:space="preserve">第9条（所定労働時間）</w:t>
      </w:r>
    </w:p>
    <w:p>
      <w:pPr>
        <w:pStyle w:val="FirstParagraph"/>
      </w:pPr>
      <w:r>
        <w:t xml:space="preserve">所定労働時間は、1日8時間、1週間40時間とする。</w:t>
      </w:r>
    </w:p>
    <w:bookmarkEnd w:id="30"/>
    <w:bookmarkStart w:id="31" w:name="第10条休憩"/>
    <w:p>
      <w:pPr>
        <w:pStyle w:val="Heading3"/>
      </w:pPr>
      <w:r>
        <w:t xml:space="preserve">第10条（休憩）</w:t>
      </w:r>
    </w:p>
    <w:p>
      <w:pPr>
        <w:pStyle w:val="FirstParagraph"/>
      </w:pPr>
      <w:r>
        <w:t xml:space="preserve">会社は、労働時間が6時間を超える場合は45分、8時間を超える場合は1時間の休憩を与える。</w:t>
      </w:r>
    </w:p>
    <w:bookmarkEnd w:id="31"/>
    <w:bookmarkStart w:id="32" w:name="第11条所定休日"/>
    <w:p>
      <w:pPr>
        <w:pStyle w:val="Heading3"/>
      </w:pPr>
      <w:r>
        <w:t xml:space="preserve">第11条（所定休日）</w:t>
      </w:r>
    </w:p>
    <w:p>
      <w:pPr>
        <w:pStyle w:val="FirstParagraph"/>
      </w:pPr>
      <w:r>
        <w:t xml:space="preserve">所定休日は、次の通りとする。</w:t>
      </w:r>
    </w:p>
    <w:p>
      <w:pPr>
        <w:numPr>
          <w:ilvl w:val="0"/>
          <w:numId w:val="1004"/>
        </w:numPr>
        <w:pStyle w:val="Compact"/>
      </w:pPr>
      <w:r>
        <w:t xml:space="preserve">日曜日及び土曜日</w:t>
      </w:r>
    </w:p>
    <w:p>
      <w:pPr>
        <w:numPr>
          <w:ilvl w:val="0"/>
          <w:numId w:val="1004"/>
        </w:numPr>
        <w:pStyle w:val="Compact"/>
      </w:pPr>
      <w:r>
        <w:t xml:space="preserve">国民の祝日</w:t>
      </w:r>
    </w:p>
    <w:p>
      <w:pPr>
        <w:numPr>
          <w:ilvl w:val="0"/>
          <w:numId w:val="1004"/>
        </w:numPr>
        <w:pStyle w:val="Compact"/>
      </w:pPr>
      <w:r>
        <w:t xml:space="preserve">年末年始（12月29日〜1月3日）</w:t>
      </w:r>
    </w:p>
    <w:p>
      <w:pPr>
        <w:numPr>
          <w:ilvl w:val="0"/>
          <w:numId w:val="1004"/>
        </w:numPr>
        <w:pStyle w:val="Compact"/>
      </w:pPr>
      <w:r>
        <w:t xml:space="preserve">会社が別に定める日</w:t>
      </w:r>
    </w:p>
    <w:bookmarkEnd w:id="32"/>
    <w:bookmarkStart w:id="33" w:name="第12条時間外労働休日労働"/>
    <w:p>
      <w:pPr>
        <w:pStyle w:val="Heading3"/>
      </w:pPr>
      <w:r>
        <w:t xml:space="preserve">第12条（時間外労働・休日労働）</w:t>
      </w:r>
    </w:p>
    <w:p>
      <w:pPr>
        <w:pStyle w:val="FirstParagraph"/>
      </w:pPr>
      <w:r>
        <w:t xml:space="preserve">業務の都合により必要がある場合、会社は従業員に時間外労働又は休日労働を命ずることができる。この場合、従業員は正当な理由なくこれを拒否してはならない。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第4章-賃金"/>
    <w:p>
      <w:pPr>
        <w:pStyle w:val="Heading2"/>
      </w:pPr>
      <w:r>
        <w:t xml:space="preserve">第4章 賃金</w:t>
      </w:r>
    </w:p>
    <w:bookmarkStart w:id="35" w:name="第13条賃金の構成"/>
    <w:p>
      <w:pPr>
        <w:pStyle w:val="Heading3"/>
      </w:pPr>
      <w:r>
        <w:t xml:space="preserve">第13条（賃金の構成）</w:t>
      </w:r>
    </w:p>
    <w:p>
      <w:pPr>
        <w:pStyle w:val="FirstParagraph"/>
      </w:pPr>
      <w:r>
        <w:t xml:space="preserve">賃金は、基本給、諸手当、賞与により構成される。</w:t>
      </w:r>
    </w:p>
    <w:bookmarkEnd w:id="35"/>
    <w:bookmarkStart w:id="36" w:name="第14条基本給"/>
    <w:p>
      <w:pPr>
        <w:pStyle w:val="Heading3"/>
      </w:pPr>
      <w:r>
        <w:t xml:space="preserve">第14条（基本給）</w:t>
      </w:r>
    </w:p>
    <w:p>
      <w:pPr>
        <w:pStyle w:val="FirstParagraph"/>
      </w:pPr>
      <w:r>
        <w:t xml:space="preserve">基本給は、従業員の職務、能力、経験等を総合的に考慮して決定する。</w:t>
      </w:r>
    </w:p>
    <w:bookmarkEnd w:id="36"/>
    <w:bookmarkStart w:id="37" w:name="第15条諸手当"/>
    <w:p>
      <w:pPr>
        <w:pStyle w:val="Heading3"/>
      </w:pPr>
      <w:r>
        <w:t xml:space="preserve">第15条（諸手当）</w:t>
      </w:r>
    </w:p>
    <w:p>
      <w:pPr>
        <w:pStyle w:val="FirstParagraph"/>
      </w:pPr>
      <w:r>
        <w:t xml:space="preserve">会社は、次の諸手当を支給する。</w:t>
      </w:r>
    </w:p>
    <w:p>
      <w:pPr>
        <w:numPr>
          <w:ilvl w:val="0"/>
          <w:numId w:val="1005"/>
        </w:numPr>
        <w:pStyle w:val="Compact"/>
      </w:pPr>
      <w:r>
        <w:t xml:space="preserve">残業手当： 時間外労働に対して支給</w:t>
      </w:r>
    </w:p>
    <w:p>
      <w:pPr>
        <w:numPr>
          <w:ilvl w:val="0"/>
          <w:numId w:val="1005"/>
        </w:numPr>
        <w:pStyle w:val="Compact"/>
      </w:pPr>
      <w:r>
        <w:t xml:space="preserve">休日手当： 休日労働に対して支給</w:t>
      </w:r>
    </w:p>
    <w:p>
      <w:pPr>
        <w:numPr>
          <w:ilvl w:val="0"/>
          <w:numId w:val="1005"/>
        </w:numPr>
        <w:pStyle w:val="Compact"/>
      </w:pPr>
      <w:r>
        <w:t xml:space="preserve">深夜手当： 深夜労働に対して支給</w:t>
      </w:r>
    </w:p>
    <w:p>
      <w:pPr>
        <w:numPr>
          <w:ilvl w:val="0"/>
          <w:numId w:val="1005"/>
        </w:numPr>
        <w:pStyle w:val="Compact"/>
      </w:pPr>
      <w:r>
        <w:t xml:space="preserve">通勤手当： 別に定める基準により支給</w:t>
      </w:r>
    </w:p>
    <w:p>
      <w:pPr>
        <w:numPr>
          <w:ilvl w:val="0"/>
          <w:numId w:val="1005"/>
        </w:numPr>
        <w:pStyle w:val="Compact"/>
      </w:pPr>
      <w:r>
        <w:t xml:space="preserve">その他、会社が別に定める手当</w:t>
      </w:r>
    </w:p>
    <w:bookmarkEnd w:id="37"/>
    <w:bookmarkStart w:id="38" w:name="第16条賃金の支払時期"/>
    <w:p>
      <w:pPr>
        <w:pStyle w:val="Heading3"/>
      </w:pPr>
      <w:r>
        <w:t xml:space="preserve">第16条（賃金の支払時期）</w:t>
      </w:r>
    </w:p>
    <w:p>
      <w:pPr>
        <w:pStyle w:val="FirstParagraph"/>
      </w:pPr>
      <w:r>
        <w:t xml:space="preserve">賃金は、毎月末日をもって当月分を締切り、翌月25日に支払う。ただし、支払日が休日にあたる場合は、その前日に支払う。</w:t>
      </w:r>
    </w:p>
    <w:bookmarkEnd w:id="38"/>
    <w:bookmarkStart w:id="39" w:name="第17条賃金の支払方法"/>
    <w:p>
      <w:pPr>
        <w:pStyle w:val="Heading3"/>
      </w:pPr>
      <w:r>
        <w:t xml:space="preserve">第17条（賃金の支払方法）</w:t>
      </w:r>
    </w:p>
    <w:p>
      <w:pPr>
        <w:pStyle w:val="FirstParagraph"/>
      </w:pPr>
      <w:r>
        <w:t xml:space="preserve">賃金は、従業員の指定する金融機関の口座へ振り込むものとする。</w:t>
      </w:r>
    </w:p>
    <w:bookmarkEnd w:id="39"/>
    <w:bookmarkStart w:id="40" w:name="第18条賞与"/>
    <w:p>
      <w:pPr>
        <w:pStyle w:val="Heading3"/>
      </w:pPr>
      <w:r>
        <w:t xml:space="preserve">第18条（賞与）</w:t>
      </w:r>
    </w:p>
    <w:p>
      <w:pPr>
        <w:pStyle w:val="FirstParagraph"/>
      </w:pPr>
      <w:r>
        <w:t xml:space="preserve">賞与は、会社の業績及び従業員の貢献度を考慮して、年2回（6月・12月）支給する。ただし、支給額・支給時期は、会社の経営状況により変更することがある。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第5章-休職休暇"/>
    <w:p>
      <w:pPr>
        <w:pStyle w:val="Heading2"/>
      </w:pPr>
      <w:r>
        <w:t xml:space="preserve">第5章 休職・休暇</w:t>
      </w:r>
    </w:p>
    <w:bookmarkStart w:id="42" w:name="第19条年次有給休暇"/>
    <w:p>
      <w:pPr>
        <w:pStyle w:val="Heading3"/>
      </w:pPr>
      <w:r>
        <w:t xml:space="preserve">第19条（年次有給休暇）</w:t>
      </w:r>
    </w:p>
    <w:p>
      <w:pPr>
        <w:pStyle w:val="FirstParagraph"/>
      </w:pPr>
      <w:r>
        <w:t xml:space="preserve">従業員の継続勤務年数及び出勤率に応じて、年次有給休暇を付与する。付与日数は、別に定める表とする。</w:t>
      </w:r>
    </w:p>
    <w:bookmarkEnd w:id="42"/>
    <w:bookmarkStart w:id="43" w:name="第20条病気休職"/>
    <w:p>
      <w:pPr>
        <w:pStyle w:val="Heading3"/>
      </w:pPr>
      <w:r>
        <w:t xml:space="preserve">第20条（病気休職)</w:t>
      </w:r>
    </w:p>
    <w:p>
      <w:pPr>
        <w:pStyle w:val="FirstParagraph"/>
      </w:pPr>
      <w:r>
        <w:t xml:space="preserve">従業員が病気又は負傷により休業を必要とする場合、会社が必要と認めたときは、病気休職を命ずることができる。病気休職の期間は、原則として1年以内とする。</w:t>
      </w:r>
    </w:p>
    <w:bookmarkEnd w:id="43"/>
    <w:bookmarkStart w:id="44" w:name="第21条介護休職"/>
    <w:p>
      <w:pPr>
        <w:pStyle w:val="Heading3"/>
      </w:pPr>
      <w:r>
        <w:t xml:space="preserve">第21条（介護休職)</w:t>
      </w:r>
    </w:p>
    <w:p>
      <w:pPr>
        <w:pStyle w:val="FirstParagraph"/>
      </w:pPr>
      <w:r>
        <w:t xml:space="preserve">従業員が、家族の介護のために休業を必要とする場合、介護休職を認めることができる。介護休職の期間は、原則として1年以内とする。</w:t>
      </w:r>
    </w:p>
    <w:bookmarkEnd w:id="44"/>
    <w:bookmarkStart w:id="45" w:name="第22条特別休暇"/>
    <w:p>
      <w:pPr>
        <w:pStyle w:val="Heading3"/>
      </w:pPr>
      <w:r>
        <w:t xml:space="preserve">第22条（特別休暇)</w:t>
      </w:r>
    </w:p>
    <w:p>
      <w:pPr>
        <w:pStyle w:val="FirstParagraph"/>
      </w:pPr>
      <w:r>
        <w:t xml:space="preserve">会社は、次の各号に掲げる場合、特別休暇を与える。</w:t>
      </w:r>
    </w:p>
    <w:p>
      <w:pPr>
        <w:numPr>
          <w:ilvl w:val="0"/>
          <w:numId w:val="1006"/>
        </w:numPr>
        <w:pStyle w:val="Compact"/>
      </w:pPr>
      <w:r>
        <w:t xml:space="preserve">結婚： 5日</w:t>
      </w:r>
    </w:p>
    <w:p>
      <w:pPr>
        <w:numPr>
          <w:ilvl w:val="0"/>
          <w:numId w:val="1006"/>
        </w:numPr>
        <w:pStyle w:val="Compact"/>
      </w:pPr>
      <w:r>
        <w:t xml:space="preserve">配偶者出産： 5日</w:t>
      </w:r>
    </w:p>
    <w:p>
      <w:pPr>
        <w:numPr>
          <w:ilvl w:val="0"/>
          <w:numId w:val="1006"/>
        </w:numPr>
        <w:pStyle w:val="Compact"/>
      </w:pPr>
      <w:r>
        <w:t xml:space="preserve">親族の葬儀： 5日</w:t>
      </w:r>
    </w:p>
    <w:p>
      <w:pPr>
        <w:numPr>
          <w:ilvl w:val="0"/>
          <w:numId w:val="1006"/>
        </w:numPr>
        <w:pStyle w:val="Compact"/>
      </w:pPr>
      <w:r>
        <w:t xml:space="preserve">その他、会社が認める場合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第6章-服務規律"/>
    <w:p>
      <w:pPr>
        <w:pStyle w:val="Heading2"/>
      </w:pPr>
      <w:r>
        <w:t xml:space="preserve">第6章 服務規律</w:t>
      </w:r>
    </w:p>
    <w:bookmarkStart w:id="47" w:name="第23条服務の本旨"/>
    <w:p>
      <w:pPr>
        <w:pStyle w:val="Heading3"/>
      </w:pPr>
      <w:r>
        <w:t xml:space="preserve">第23条（服務の本旨）</w:t>
      </w:r>
    </w:p>
    <w:p>
      <w:pPr>
        <w:pStyle w:val="FirstParagraph"/>
      </w:pPr>
      <w:r>
        <w:t xml:space="preserve">従業員は、この規則及びその他の諸規定を遵守し、誠実に職務を遂行しなければならない。</w:t>
      </w:r>
    </w:p>
    <w:bookmarkEnd w:id="47"/>
    <w:bookmarkStart w:id="48" w:name="第24条守秘義務"/>
    <w:p>
      <w:pPr>
        <w:pStyle w:val="Heading3"/>
      </w:pPr>
      <w:r>
        <w:t xml:space="preserve">第24条（守秘義務)</w:t>
      </w:r>
    </w:p>
    <w:p>
      <w:pPr>
        <w:pStyle w:val="FirstParagraph"/>
      </w:pPr>
      <w:r>
        <w:t xml:space="preserve">従業員は、業務上知り得た会社の秘密を、退職後といえども第三者に漏洩してはならない。</w:t>
      </w:r>
    </w:p>
    <w:bookmarkEnd w:id="48"/>
    <w:bookmarkStart w:id="49" w:name="第25条禁止事項"/>
    <w:p>
      <w:pPr>
        <w:pStyle w:val="Heading3"/>
      </w:pPr>
      <w:r>
        <w:t xml:space="preserve">第25条（禁止事項)</w:t>
      </w:r>
    </w:p>
    <w:p>
      <w:pPr>
        <w:pStyle w:val="FirstParagraph"/>
      </w:pPr>
      <w:r>
        <w:t xml:space="preserve">従業員は、次の各号に掲げる行為をしてはならない。</w:t>
      </w:r>
    </w:p>
    <w:p>
      <w:pPr>
        <w:numPr>
          <w:ilvl w:val="0"/>
          <w:numId w:val="1007"/>
        </w:numPr>
        <w:pStyle w:val="Compact"/>
      </w:pPr>
      <w:r>
        <w:t xml:space="preserve">会社の名誉又は信用を傷つける行為</w:t>
      </w:r>
    </w:p>
    <w:p>
      <w:pPr>
        <w:numPr>
          <w:ilvl w:val="0"/>
          <w:numId w:val="1007"/>
        </w:numPr>
        <w:pStyle w:val="Compact"/>
      </w:pPr>
      <w:r>
        <w:t xml:space="preserve">業務上の秘密を漏洩する行為</w:t>
      </w:r>
    </w:p>
    <w:p>
      <w:pPr>
        <w:numPr>
          <w:ilvl w:val="0"/>
          <w:numId w:val="1007"/>
        </w:numPr>
        <w:pStyle w:val="Compact"/>
      </w:pPr>
      <w:r>
        <w:t xml:space="preserve">会社の許可なく他社の業務に従事する行為</w:t>
      </w:r>
    </w:p>
    <w:p>
      <w:pPr>
        <w:numPr>
          <w:ilvl w:val="0"/>
          <w:numId w:val="1007"/>
        </w:numPr>
        <w:pStyle w:val="Compact"/>
      </w:pPr>
      <w:r>
        <w:t xml:space="preserve">暴力、脅迫、セクシャルハラスメント等、他の従業員の人格を侵害する行為</w:t>
      </w:r>
    </w:p>
    <w:p>
      <w:pPr>
        <w:numPr>
          <w:ilvl w:val="0"/>
          <w:numId w:val="1007"/>
        </w:numPr>
        <w:pStyle w:val="Compact"/>
      </w:pPr>
      <w:r>
        <w:t xml:space="preserve">その他、従業員としてふさわしくない行為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第7章-賞罰"/>
    <w:p>
      <w:pPr>
        <w:pStyle w:val="Heading2"/>
      </w:pPr>
      <w:r>
        <w:t xml:space="preserve">第7章 賞罰</w:t>
      </w:r>
    </w:p>
    <w:bookmarkStart w:id="51" w:name="第26条表彰"/>
    <w:p>
      <w:pPr>
        <w:pStyle w:val="Heading3"/>
      </w:pPr>
      <w:r>
        <w:t xml:space="preserve">第26条（表彰)</w:t>
      </w:r>
    </w:p>
    <w:p>
      <w:pPr>
        <w:pStyle w:val="FirstParagraph"/>
      </w:pPr>
      <w:r>
        <w:t xml:space="preserve">会社は、次の各号のいずれかに該当する従業員を表彰する。</w:t>
      </w:r>
    </w:p>
    <w:p>
      <w:pPr>
        <w:numPr>
          <w:ilvl w:val="0"/>
          <w:numId w:val="1008"/>
        </w:numPr>
        <w:pStyle w:val="Compact"/>
      </w:pPr>
      <w:r>
        <w:t xml:space="preserve">業務上顕著な功績があった場合</w:t>
      </w:r>
    </w:p>
    <w:p>
      <w:pPr>
        <w:numPr>
          <w:ilvl w:val="0"/>
          <w:numId w:val="1008"/>
        </w:numPr>
        <w:pStyle w:val="Compact"/>
      </w:pPr>
      <w:r>
        <w:t xml:space="preserve">長期間勤続し、その功労が顕著な場合</w:t>
      </w:r>
    </w:p>
    <w:p>
      <w:pPr>
        <w:numPr>
          <w:ilvl w:val="0"/>
          <w:numId w:val="1008"/>
        </w:numPr>
        <w:pStyle w:val="Compact"/>
      </w:pPr>
      <w:r>
        <w:t xml:space="preserve">その他、表彰に値する行為があった場合</w:t>
      </w:r>
    </w:p>
    <w:bookmarkEnd w:id="51"/>
    <w:bookmarkStart w:id="52" w:name="第27条懲戒"/>
    <w:p>
      <w:pPr>
        <w:pStyle w:val="Heading3"/>
      </w:pPr>
      <w:r>
        <w:t xml:space="preserve">第27条（懲戒)</w:t>
      </w:r>
    </w:p>
    <w:p>
      <w:pPr>
        <w:pStyle w:val="FirstParagraph"/>
      </w:pPr>
      <w:r>
        <w:t xml:space="preserve">会社は、従業員が本規則又はその他の諸規定に違反した場合、次の懲戒処分を行うことができる。</w:t>
      </w:r>
    </w:p>
    <w:p>
      <w:pPr>
        <w:numPr>
          <w:ilvl w:val="0"/>
          <w:numId w:val="1009"/>
        </w:numPr>
        <w:pStyle w:val="Compact"/>
      </w:pPr>
      <w:r>
        <w:t xml:space="preserve">譴責： 始末書を提出させ、将来を戒める</w:t>
      </w:r>
    </w:p>
    <w:p>
      <w:pPr>
        <w:numPr>
          <w:ilvl w:val="0"/>
          <w:numId w:val="1009"/>
        </w:numPr>
        <w:pStyle w:val="Compact"/>
      </w:pPr>
      <w:r>
        <w:t xml:space="preserve">減給： 1回の額が平均賃金の1日分の半額を超えない範囲で減給する</w:t>
      </w:r>
    </w:p>
    <w:p>
      <w:pPr>
        <w:numPr>
          <w:ilvl w:val="0"/>
          <w:numId w:val="1009"/>
        </w:numPr>
        <w:pStyle w:val="Compact"/>
      </w:pPr>
      <w:r>
        <w:t xml:space="preserve">出勤停止： 1週間以内の出勤停止を命ずる</w:t>
      </w:r>
    </w:p>
    <w:p>
      <w:pPr>
        <w:numPr>
          <w:ilvl w:val="0"/>
          <w:numId w:val="1009"/>
        </w:numPr>
        <w:pStyle w:val="Compact"/>
      </w:pPr>
      <w:r>
        <w:t xml:space="preserve">諭旨解雇： 解雇の意思を示し、自己都合退職を勧奨する</w:t>
      </w:r>
    </w:p>
    <w:p>
      <w:pPr>
        <w:numPr>
          <w:ilvl w:val="0"/>
          <w:numId w:val="1009"/>
        </w:numPr>
        <w:pStyle w:val="Compact"/>
      </w:pPr>
      <w:r>
        <w:t xml:space="preserve">懲戒解雇： 即時解雇する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第8章-退職解雇"/>
    <w:p>
      <w:pPr>
        <w:pStyle w:val="Heading2"/>
      </w:pPr>
      <w:r>
        <w:t xml:space="preserve">第8章 退職・解雇</w:t>
      </w:r>
    </w:p>
    <w:bookmarkStart w:id="54" w:name="第28条自己都合退職"/>
    <w:p>
      <w:pPr>
        <w:pStyle w:val="Heading3"/>
      </w:pPr>
      <w:r>
        <w:t xml:space="preserve">第28条（自己都合退職)</w:t>
      </w:r>
    </w:p>
    <w:p>
      <w:pPr>
        <w:pStyle w:val="FirstParagraph"/>
      </w:pPr>
      <w:r>
        <w:t xml:space="preserve">従業員が自己都合により退職を希望する場合、退職の2週間前までに退職願を提出しなければならない。</w:t>
      </w:r>
    </w:p>
    <w:bookmarkEnd w:id="54"/>
    <w:bookmarkStart w:id="55" w:name="第29条定年"/>
    <w:p>
      <w:pPr>
        <w:pStyle w:val="Heading3"/>
      </w:pPr>
      <w:r>
        <w:t xml:space="preserve">第29条（定年)</w:t>
      </w:r>
    </w:p>
    <w:p>
      <w:pPr>
        <w:pStyle w:val="FirstParagraph"/>
      </w:pPr>
      <w:r>
        <w:t xml:space="preserve">定年は、満60歳とする。ただし、会社が必要と認めた場合、定年後の再雇用を行うことができる。</w:t>
      </w:r>
    </w:p>
    <w:bookmarkEnd w:id="55"/>
    <w:bookmarkStart w:id="56" w:name="第30条解雇"/>
    <w:p>
      <w:pPr>
        <w:pStyle w:val="Heading3"/>
      </w:pPr>
      <w:r>
        <w:t xml:space="preserve">第30条（解雇)</w:t>
      </w:r>
    </w:p>
    <w:p>
      <w:pPr>
        <w:pStyle w:val="FirstParagraph"/>
      </w:pPr>
      <w:r>
        <w:t xml:space="preserve">会社は、従業員が次の各号のいずれかに該当する場合、解雇することができる。</w:t>
      </w:r>
    </w:p>
    <w:p>
      <w:pPr>
        <w:numPr>
          <w:ilvl w:val="0"/>
          <w:numId w:val="1010"/>
        </w:numPr>
        <w:pStyle w:val="Compact"/>
      </w:pPr>
      <w:r>
        <w:t xml:space="preserve">業務上の重大な過失があった場合</w:t>
      </w:r>
    </w:p>
    <w:p>
      <w:pPr>
        <w:numPr>
          <w:ilvl w:val="0"/>
          <w:numId w:val="1010"/>
        </w:numPr>
        <w:pStyle w:val="Compact"/>
      </w:pPr>
      <w:r>
        <w:t xml:space="preserve">本規則又はその他の諸規定に違反した場合</w:t>
      </w:r>
    </w:p>
    <w:p>
      <w:pPr>
        <w:numPr>
          <w:ilvl w:val="0"/>
          <w:numId w:val="1010"/>
        </w:numPr>
        <w:pStyle w:val="Compact"/>
      </w:pPr>
      <w:r>
        <w:t xml:space="preserve">会社の名誉又は信用を著しく傷つけた場合</w:t>
      </w:r>
    </w:p>
    <w:p>
      <w:pPr>
        <w:numPr>
          <w:ilvl w:val="0"/>
          <w:numId w:val="1010"/>
        </w:numPr>
        <w:pStyle w:val="Compact"/>
      </w:pPr>
      <w:r>
        <w:t xml:space="preserve">その他、雇用関係を継続し難い重大な事由があった場合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第9章-雑則"/>
    <w:p>
      <w:pPr>
        <w:pStyle w:val="Heading2"/>
      </w:pPr>
      <w:r>
        <w:t xml:space="preserve">第9章 雑則</w:t>
      </w:r>
    </w:p>
    <w:bookmarkStart w:id="58" w:name="第31条規則の変更"/>
    <w:p>
      <w:pPr>
        <w:pStyle w:val="Heading3"/>
      </w:pPr>
      <w:r>
        <w:t xml:space="preserve">第31条（規則の変更)</w:t>
      </w:r>
    </w:p>
    <w:p>
      <w:pPr>
        <w:pStyle w:val="FirstParagraph"/>
      </w:pPr>
      <w:r>
        <w:t xml:space="preserve">本規則の変更は、労働基準法その他の法令に従い、従業員の過半数代表者の意見を聴取した上で行う。</w:t>
      </w:r>
    </w:p>
    <w:bookmarkEnd w:id="58"/>
    <w:bookmarkStart w:id="59" w:name="第32条細則"/>
    <w:p>
      <w:pPr>
        <w:pStyle w:val="Heading3"/>
      </w:pPr>
      <w:r>
        <w:t xml:space="preserve">第32条（細則)</w:t>
      </w:r>
    </w:p>
    <w:p>
      <w:pPr>
        <w:pStyle w:val="FirstParagraph"/>
      </w:pPr>
      <w:r>
        <w:t xml:space="preserve">本規則の実施に関し必要な事項は、別に定める。</w:t>
      </w:r>
    </w:p>
    <w:bookmarkEnd w:id="59"/>
    <w:bookmarkStart w:id="60" w:name="第33条未定事項"/>
    <w:p>
      <w:pPr>
        <w:pStyle w:val="Heading3"/>
      </w:pPr>
      <w:r>
        <w:t xml:space="preserve">第33条（未定事項)</w:t>
      </w:r>
    </w:p>
    <w:p>
      <w:pPr>
        <w:pStyle w:val="FirstParagraph"/>
      </w:pPr>
      <w:r>
        <w:t xml:space="preserve">本規則に定めのない事項は、法令の規定及び一般慣行に従う。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附則"/>
    <w:p>
      <w:pPr>
        <w:pStyle w:val="Heading2"/>
      </w:pPr>
      <w:r>
        <w:t xml:space="preserve">附則</w:t>
      </w:r>
    </w:p>
    <w:p>
      <w:pPr>
        <w:numPr>
          <w:ilvl w:val="0"/>
          <w:numId w:val="1011"/>
        </w:numPr>
        <w:pStyle w:val="Compact"/>
      </w:pPr>
      <w:r>
        <w:t xml:space="preserve">本規則は、2025年4月1日より施行する。</w:t>
      </w:r>
    </w:p>
    <w:p>
      <w:pPr>
        <w:numPr>
          <w:ilvl w:val="0"/>
          <w:numId w:val="1011"/>
        </w:numPr>
        <w:pStyle w:val="Compact"/>
      </w:pPr>
      <w:r>
        <w:t xml:space="preserve">従前の就業規則は、廃止する。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制定日</w:t>
      </w:r>
      <w:r>
        <w:t xml:space="preserve">: 2025年2月25日</w:t>
      </w:r>
      <w:r>
        <w:t xml:space="preserve"> </w:t>
      </w:r>
      <w:r>
        <w:rPr>
          <w:bCs/>
          <w:b/>
        </w:rPr>
        <w:t xml:space="preserve">株式会社〇〇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就業規則（雛形）</dc:title>
  <dc:creator/>
  <cp:category>regulation</cp:category>
  <cp:keywords/>
  <dcterms:created xsi:type="dcterms:W3CDTF">2026-10-07T23:31:41Z</dcterms:created>
  <dcterms:modified xsi:type="dcterms:W3CDTF">2026-10-07T23:31:41Z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cable_to">
    <vt:lpwstr/>
  </property>
  <property fmtid="{D5CDD505-2E9C-101B-9397-08002B2CF9AE}" pid="3" name="created_at">
    <vt:lpwstr>2025-02-25</vt:lpwstr>
  </property>
  <property fmtid="{D5CDD505-2E9C-101B-9397-08002B2CF9AE}" pid="4" name="created_by">
    <vt:lpwstr>hr-team</vt:lpwstr>
  </property>
  <property fmtid="{D5CDD505-2E9C-101B-9397-08002B2CF9AE}" pid="5" name="id">
    <vt:lpwstr>template-work-rules-001</vt:lpwstr>
  </property>
  <property fmtid="{D5CDD505-2E9C-101B-9397-08002B2CF9AE}" pid="6" name="next_review">
    <vt:lpwstr>2026-02-25</vt:lpwstr>
  </property>
  <property fmtid="{D5CDD505-2E9C-101B-9397-08002B2CF9AE}" pid="7" name="review_frequency">
    <vt:lpwstr>annual</vt:lpwstr>
  </property>
  <property fmtid="{D5CDD505-2E9C-101B-9397-08002B2CF9AE}" pid="8" name="tags">
    <vt:lpwstr/>
  </property>
  <property fmtid="{D5CDD505-2E9C-101B-9397-08002B2CF9AE}" pid="9" name="type">
    <vt:lpwstr>work-rules</vt:lpwstr>
  </property>
  <property fmtid="{D5CDD505-2E9C-101B-9397-08002B2CF9AE}" pid="10" name="version">
    <vt:lpwstr>1</vt:lpwstr>
  </property>
</Properties>
</file>