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计算机软件著作权登记新系统信息采集表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草稿 - 请在提交前核对红色/待填写内容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7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填写内容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软件全称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3D视觉智能建造工作站软件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软件简称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协作机器人工作站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软件分类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应用软件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软件开发完成日期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2026年03月26日（请按实际完成日期确认）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是否发表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未发表（如已发表，请改为首次发表日期和发表地点）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公司成立日期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[请填写申请主体成立日期]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著作权人信息（个人/公司名称）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[请填写个人姓名或公司全称]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营业执照号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[公司申请时填写统一社会信用代码；个人申请可不填]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软件运行硬件环境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Windows上位机、Intel/AMD处理器、8GB及以上内存、以太网接口、JAKA协作机器人控制器、Mech-Eye 3D相机、末端吸盘/执行机构及必要的工位辅助设备。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软件运行软件环境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10/Windows 11 64位操作系统，Python运行环境，PyQt5、OpenCV、NumPy、SciPy、ONNX Runtime、Mech-Eye SDK、JAKA SDK等依赖库。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开发该软件的操作系统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10/Windows 11 64位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软件开发环境 / 开发工具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Python、PyCharm/VS Code、Qt Designer、Git、ONNX Runtime调试环境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该软件的运行平台 / 操作系统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10/Windows 11 64位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软件运行支撑环境 / 支持软件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JAKA机器人控制器软件、Mech-Eye Viewer/API、Python第三方库、ONNX推理运行库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编程语言及版本号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 3.x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程序量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约15500行（不含测试代码、缓存文件和资源编译生成代码；提交前请按最终源码重新统计）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开发目的（限50字）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实现建材工件视觉识别、定位、抓取控制与过程记录。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面向领域 / 行业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智能制造、建筑机器人、工业自动化、机器视觉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软件的主要功能（限200字）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软件用于协作机器人建材作业工作站，提供图形化操作、3D相机采集、目标识别、深度几何定位、机器人网络控制、图像标定、抓取流程调度、设备状态监测、运行数据记录和离线复盘等功能，实现砖块等规则工件的识别定位、抓取对位和现场调试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软件的技术特点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采用PyQt5构建上位机界面，集成JAKA机器人TCP/IP通信、Mech-Eye RGB-D采集、ONNX模型推理、深度几何候选提取、RGB-D融合决策、二次定位补偿和过程记录复盘机制，提升现场抓取定位的可解释性和可追溯性。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软件文件存放地点</w:t>
            </w:r>
          </w:p>
        </w:tc>
        <w:tc>
          <w:tcPr>
            <w:tcW w:type="dxa" w:w="623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D:\工字形\工字形\协作机器人工作站（提交前请改为申请主体实际归档地址）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0"/>
        </w:rPr>
        <w:t>申请人联系信息（请提交前补齐）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7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填写内容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申请人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[姓名/公司名称]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详细地址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[请填写准确邮寄地址]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公司成立日期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[公司申请时填写]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邮政编码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[请填写]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联系人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[请填写]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电话号码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[请填写]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E-mail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[请填写]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手机号码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[请填写]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传真号码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[如无可不填]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0"/>
        </w:rPr>
        <w:t>提交前核对提示</w:t>
      </w:r>
    </w:p>
    <w:p>
      <w:pPr>
        <w:spacing w:line="300" w:lineRule="auto"/>
        <w:ind w:left="420" w:hanging="210"/>
      </w:pPr>
      <w:r>
        <w:rPr>
          <w:rFonts w:ascii="宋体" w:hAnsi="宋体" w:eastAsia="宋体"/>
          <w:b w:val="0"/>
          <w:sz w:val="21"/>
        </w:rPr>
        <w:t>• 若著作权人不是界面中显示的公司名称，请先修改软件界面与截图，避免出现其他公司信息。</w:t>
      </w:r>
    </w:p>
    <w:p>
      <w:pPr>
        <w:spacing w:line="300" w:lineRule="auto"/>
        <w:ind w:left="420" w:hanging="210"/>
      </w:pPr>
      <w:r>
        <w:rPr>
          <w:rFonts w:ascii="宋体" w:hAnsi="宋体" w:eastAsia="宋体"/>
          <w:b w:val="0"/>
          <w:sz w:val="21"/>
        </w:rPr>
        <w:t>• 软件全称、说明书标题、截图中的软件名称和申请表软件名称应保持一致。</w:t>
      </w:r>
    </w:p>
    <w:p>
      <w:pPr>
        <w:spacing w:line="300" w:lineRule="auto"/>
        <w:ind w:left="420" w:hanging="210"/>
      </w:pPr>
      <w:r>
        <w:rPr>
          <w:rFonts w:ascii="宋体" w:hAnsi="宋体" w:eastAsia="宋体"/>
          <w:b w:val="0"/>
          <w:sz w:val="21"/>
        </w:rPr>
        <w:t>• 开发完成日期、截图日期和材料说明应保持逻辑一致，截图中最好不要出现系统日期。</w:t>
      </w:r>
    </w:p>
    <w:p>
      <w:pPr>
        <w:spacing w:line="300" w:lineRule="auto"/>
        <w:ind w:left="420" w:hanging="210"/>
      </w:pPr>
      <w:r>
        <w:rPr>
          <w:rFonts w:ascii="宋体" w:hAnsi="宋体" w:eastAsia="宋体"/>
          <w:b w:val="0"/>
          <w:sz w:val="21"/>
        </w:rPr>
        <w:t>• 第三方SDK、开源库、模型文件和设备厂商运行库不应被表述为申请人自主开发内容。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