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FBABC">
      <w:pPr>
        <w:pStyle w:val="3"/>
        <w:spacing w:before="80" w:after="200"/>
        <w:ind w:firstLine="0"/>
        <w:jc w:val="center"/>
      </w:pPr>
      <w:bookmarkStart w:id="0" w:name="基于-rgb-d-融合与深度几何验证的协作机器人砖块抓取定位方法第一版方案稿"/>
      <w:r>
        <w:rPr>
          <w:rFonts w:hint="eastAsia" w:ascii="Times New Roman" w:hAnsi="Times New Roman" w:eastAsia="黑体" w:cs="Times New Roman"/>
          <w:b/>
          <w:color w:val="000000"/>
          <w:sz w:val="34"/>
        </w:rPr>
        <w:t>基于</w:t>
      </w:r>
      <w:r>
        <w:rPr>
          <w:rFonts w:ascii="Times New Roman" w:hAnsi="Times New Roman" w:eastAsia="黑体" w:cs="Times New Roman"/>
          <w:b/>
          <w:color w:val="000000"/>
          <w:sz w:val="34"/>
        </w:rPr>
        <w:t xml:space="preserve"> RGB-D </w:t>
      </w:r>
      <w:r>
        <w:rPr>
          <w:rFonts w:hint="eastAsia" w:ascii="Times New Roman" w:hAnsi="Times New Roman" w:eastAsia="黑体" w:cs="Times New Roman"/>
          <w:b/>
          <w:color w:val="000000"/>
          <w:sz w:val="34"/>
        </w:rPr>
        <w:t>融合与深度几何验证的协作机器人砖块抓取定位方法（第一版方案稿）</w:t>
      </w:r>
    </w:p>
    <w:p w14:paraId="46A1C743">
      <w:r>
        <w:rPr>
          <w:rFonts w:hint="eastAsia"/>
        </w:rPr>
        <w:t>作者备注：本文是第一版中文论文初稿，用于确定选题、创新点、结构和实验设计。文中的“预实验结果”来自当前项目已有记录，可作为系统可行性证据；正式投稿前必须补充更大规模真实实验，并将所有“待测”和“待分类”内容替换为真实统计结果。</w:t>
      </w:r>
    </w:p>
    <w:p w14:paraId="27C3D12E">
      <w:r>
        <w:rPr>
          <w:rFonts w:hint="eastAsia"/>
        </w:rPr>
        <w:t>当前阶段说明：本文为第一版论文方案稿，主要用于评估选题价值、技术路线、创新点组织和后续实验设计。当前系统已完成真实</w:t>
      </w:r>
      <w:r>
        <w:t xml:space="preserve"> RGB-D </w:t>
      </w:r>
      <w:r>
        <w:rPr>
          <w:rFonts w:hint="eastAsia"/>
        </w:rPr>
        <w:t>采集、协作机器人执行、二次定位记录和离线复盘流程，已有结果仅作为系统可行性预实验，不作为最终性能结论。后续将补充大样本真实抓取实验，并完成</w:t>
      </w:r>
      <w:r>
        <w:t xml:space="preserve"> RGB-only、Depth-only、RGB-D legacy、Ours </w:t>
      </w:r>
      <w:r>
        <w:rPr>
          <w:rFonts w:hint="eastAsia"/>
        </w:rPr>
        <w:t>和</w:t>
      </w:r>
      <w:r>
        <w:t xml:space="preserve"> Ours + secondary </w:t>
      </w:r>
      <w:r>
        <w:rPr>
          <w:rFonts w:hint="eastAsia"/>
        </w:rPr>
        <w:t>等方法对比。</w:t>
      </w:r>
    </w:p>
    <w:p w14:paraId="40A018FC">
      <w:pPr>
        <w:pStyle w:val="4"/>
      </w:pPr>
      <w:bookmarkStart w:id="1" w:name="摘要"/>
      <w:r>
        <w:rPr>
          <w:rFonts w:hint="eastAsia"/>
        </w:rPr>
        <w:t>摘要</w:t>
      </w:r>
    </w:p>
    <w:p w14:paraId="1E829665">
      <w:r>
        <w:rPr>
          <w:rFonts w:hint="eastAsia"/>
        </w:rPr>
        <w:t>针对协作机器人在砖块抓取与二次对位过程中仅依赖</w:t>
      </w:r>
      <w:r>
        <w:t xml:space="preserve"> RGB </w:t>
      </w:r>
      <w:r>
        <w:rPr>
          <w:rFonts w:hint="eastAsia"/>
        </w:rPr>
        <w:t>图像分割时易受光照变化、纹理弱化、局部遮挡和分割边界漂移影响的问题，本文设计一种基于</w:t>
      </w:r>
      <w:r>
        <w:t xml:space="preserve"> RGB-D </w:t>
      </w:r>
      <w:r>
        <w:rPr>
          <w:rFonts w:hint="eastAsia"/>
        </w:rPr>
        <w:t>融合与深度几何验证的砖块抓取定位方法。该方法首先利用实例分割网络从</w:t>
      </w:r>
      <w:r>
        <w:t xml:space="preserve"> RGB </w:t>
      </w:r>
      <w:r>
        <w:rPr>
          <w:rFonts w:hint="eastAsia"/>
        </w:rPr>
        <w:t>图像中提取候选砖块区域，并根据掩膜中心、深度统计和主轴方向估计初始抓取位姿；随后在深度图中构建局部高度图，通过前景提取、连通域分割、矩形拟合和几何评分获得深度候选区域；最后依据像素中心距离、角度差、掩膜重叠度和深度一致性对</w:t>
      </w:r>
      <w:r>
        <w:t xml:space="preserve"> RGB </w:t>
      </w:r>
      <w:r>
        <w:rPr>
          <w:rFonts w:hint="eastAsia"/>
        </w:rPr>
        <w:t>候选与深度候选进行匹配，并采用深度优先、RGB</w:t>
      </w:r>
      <w:r>
        <w:t xml:space="preserve"> </w:t>
      </w:r>
      <w:r>
        <w:rPr>
          <w:rFonts w:hint="eastAsia"/>
        </w:rPr>
        <w:t>回退的决策机制输出抓取点、深度和姿态角。为提升现场执行稳定性，系统进一步设计了二次定位识别、旋转补偿、过程记录和离线复盘模块，实现从</w:t>
      </w:r>
      <w:r>
        <w:t xml:space="preserve"> RGB-D </w:t>
      </w:r>
      <w:r>
        <w:rPr>
          <w:rFonts w:hint="eastAsia"/>
        </w:rPr>
        <w:t>采集、候选生成、机器人执行到失败分析的闭环验证。基于</w:t>
      </w:r>
      <w:r>
        <w:t xml:space="preserve"> JAKA </w:t>
      </w:r>
      <w:r>
        <w:rPr>
          <w:rFonts w:hint="eastAsia"/>
        </w:rPr>
        <w:t>协作机器人与</w:t>
      </w:r>
      <w:r>
        <w:t xml:space="preserve"> Mech-Eye 3D </w:t>
      </w:r>
      <w:r>
        <w:rPr>
          <w:rFonts w:hint="eastAsia"/>
        </w:rPr>
        <w:t>相机搭建实验平台，预实验结果表明，系统已完成真实</w:t>
      </w:r>
      <w:r>
        <w:t xml:space="preserve"> RGB-D </w:t>
      </w:r>
      <w:r>
        <w:rPr>
          <w:rFonts w:hint="eastAsia"/>
        </w:rPr>
        <w:t>数据采集、主抓取、二次定位、过程记录与离线复盘链路；最新一轮离线复盘已覆盖</w:t>
      </w:r>
      <w:r>
        <w:t xml:space="preserve"> 7 </w:t>
      </w:r>
      <w:r>
        <w:rPr>
          <w:rFonts w:hint="eastAsia"/>
        </w:rPr>
        <w:t>组抓取流程、14</w:t>
      </w:r>
      <w:r>
        <w:t xml:space="preserve"> </w:t>
      </w:r>
      <w:r>
        <w:rPr>
          <w:rFonts w:hint="eastAsia"/>
        </w:rPr>
        <w:t>条阶段记录，可用于后续失败分析和大样本对比实验。后续正式实验将从定位误差、角度误差、抓取成功率、二次定位成功率和处理时间等指标验证所提方法相对于纯</w:t>
      </w:r>
      <w:r>
        <w:t xml:space="preserve"> RGB </w:t>
      </w:r>
      <w:r>
        <w:rPr>
          <w:rFonts w:hint="eastAsia"/>
        </w:rPr>
        <w:t>方法的有效性。</w:t>
      </w:r>
    </w:p>
    <w:p w14:paraId="68478A8C">
      <w:pPr>
        <w:pStyle w:val="19"/>
      </w:pPr>
      <w:r>
        <w:rPr>
          <w:rFonts w:hint="eastAsia"/>
          <w:b/>
          <w:bCs/>
        </w:rPr>
        <w:t>关键词：</w:t>
      </w:r>
      <w:r>
        <w:t xml:space="preserve"> </w:t>
      </w:r>
      <w:r>
        <w:rPr>
          <w:rFonts w:hint="eastAsia"/>
        </w:rPr>
        <w:t>协作机器人；RGB-D</w:t>
      </w:r>
      <w:r>
        <w:t xml:space="preserve"> </w:t>
      </w:r>
      <w:r>
        <w:rPr>
          <w:rFonts w:hint="eastAsia"/>
        </w:rPr>
        <w:t>视觉；深度几何；实例分割；抓取定位；离线复盘</w:t>
      </w:r>
    </w:p>
    <w:bookmarkEnd w:id="1"/>
    <w:p w14:paraId="57E43251">
      <w:pPr>
        <w:pStyle w:val="4"/>
      </w:pPr>
      <w:bookmarkStart w:id="2" w:name="引言"/>
      <w:r>
        <w:t xml:space="preserve">1 </w:t>
      </w:r>
      <w:r>
        <w:rPr>
          <w:rFonts w:hint="eastAsia"/>
        </w:rPr>
        <w:t>引言</w:t>
      </w:r>
    </w:p>
    <w:p w14:paraId="5839B810">
      <w:r>
        <w:rPr>
          <w:rFonts w:hint="eastAsia"/>
        </w:rPr>
        <w:t>协作机器人在搬运、装配、分拣和建筑材料转运等场景中逐渐承担重复性高、定位精度要求明确的操作任务。与结构化工装环境相比，实际工作站中的物体位置、姿态、光照和背景往往存在变化，机器人需要依靠视觉系统实时估计目标位置和姿态。对于规则砖块类目标，传统方案通常基于</w:t>
      </w:r>
      <w:r>
        <w:t xml:space="preserve"> RGB </w:t>
      </w:r>
      <w:r>
        <w:rPr>
          <w:rFonts w:hint="eastAsia"/>
        </w:rPr>
        <w:t>图像检测或实例分割获得目标区域，再结合相机标定结果将图像坐标转换为机器人坐标。然而，纯</w:t>
      </w:r>
      <w:r>
        <w:t xml:space="preserve"> RGB </w:t>
      </w:r>
      <w:r>
        <w:rPr>
          <w:rFonts w:hint="eastAsia"/>
        </w:rPr>
        <w:t>方法在现场应用中存在明显局限：当砖块颜色接近背景、表面纹理较弱、局部遮挡或光照不均时，分割掩膜可能发生偏移；当多个砖块相邻或堆叠时，仅根据二维图像难以判断真实抓取对象的空间层次；当识别结果用于机械臂执行时，像素级偏差会进一步放大为抓取点或姿态角误差。</w:t>
      </w:r>
    </w:p>
    <w:p w14:paraId="732DDEFE">
      <w:pPr>
        <w:pStyle w:val="19"/>
      </w:pPr>
      <w:r>
        <w:t xml:space="preserve">RGB-D </w:t>
      </w:r>
      <w:r>
        <w:rPr>
          <w:rFonts w:hint="eastAsia"/>
        </w:rPr>
        <w:t>相机同时提供彩色图像和深度信息，为工业视觉抓取提供了更多空间约束。已有研究表明，深度图或点云能够用于估计抓取矩形、表面法向和物体空间位置，从而提高机器人抓取在复杂场景中的鲁棒性</w:t>
      </w:r>
      <w:r>
        <w:t xml:space="preserve"> </w:t>
      </w:r>
      <w:r>
        <w:rPr>
          <w:rFonts w:hint="eastAsia"/>
        </w:rPr>
        <w:t>[1-3]。不过，面向实验室或工业工作站的实际系统并不总是需要复杂端到端网络。对于形状规则、尺寸先验明确的砖块，深度图中的高度差、平面性、矩形度和区域完整性本身就是强约束。如果能够将</w:t>
      </w:r>
      <w:r>
        <w:t xml:space="preserve"> RGB </w:t>
      </w:r>
      <w:r>
        <w:rPr>
          <w:rFonts w:hint="eastAsia"/>
        </w:rPr>
        <w:t>实例分割的语义优势与深度几何的可解释约束结合起来，就可以在保持工程可部署性的同时提升识别可靠性。</w:t>
      </w:r>
    </w:p>
    <w:p w14:paraId="43012106">
      <w:pPr>
        <w:pStyle w:val="19"/>
      </w:pPr>
      <w:r>
        <w:rPr>
          <w:rFonts w:hint="eastAsia"/>
        </w:rPr>
        <w:t>本文围绕协作机器人砖块抓取工作站，提出一种</w:t>
      </w:r>
      <w:r>
        <w:t xml:space="preserve"> RGB-D </w:t>
      </w:r>
      <w:r>
        <w:rPr>
          <w:rFonts w:hint="eastAsia"/>
        </w:rPr>
        <w:t>融合与深度几何验证方法。与直接将</w:t>
      </w:r>
      <w:r>
        <w:t xml:space="preserve"> RGB </w:t>
      </w:r>
      <w:r>
        <w:rPr>
          <w:rFonts w:hint="eastAsia"/>
        </w:rPr>
        <w:t>和深度输入端到端网络不同，本文方法采用模块化工程路线：RGB</w:t>
      </w:r>
      <w:r>
        <w:t xml:space="preserve"> </w:t>
      </w:r>
      <w:r>
        <w:rPr>
          <w:rFonts w:hint="eastAsia"/>
        </w:rPr>
        <w:t>分割负责提供语义候选，深度几何负责提供空间可信度验证，融合决策模块负责选择最终抓取候选。当深度几何候选满足可信度条件时，系统优先采用深度结果；当深度数据缺失或深度候选不满足条件时，系统回退到</w:t>
      </w:r>
      <w:r>
        <w:t xml:space="preserve"> RGB </w:t>
      </w:r>
      <w:r>
        <w:rPr>
          <w:rFonts w:hint="eastAsia"/>
        </w:rPr>
        <w:t>分割结果，从而在可解释性、实时性和鲁棒性之间取得平衡。需要说明的是，本文当前处于预实验验证阶段，已有结果主要用于证明系统链路已打通和实验方案可执行，不作为最终性能结论。</w:t>
      </w:r>
    </w:p>
    <w:p w14:paraId="3A7729CA">
      <w:pPr>
        <w:pStyle w:val="19"/>
      </w:pPr>
      <w:r>
        <w:rPr>
          <w:rFonts w:hint="eastAsia"/>
        </w:rPr>
        <w:t>本文主要贡献如下：</w:t>
      </w:r>
    </w:p>
    <w:p w14:paraId="7A180558">
      <w:pPr>
        <w:numPr>
          <w:ilvl w:val="0"/>
          <w:numId w:val="7"/>
        </w:numPr>
      </w:pPr>
      <w:r>
        <w:rPr>
          <w:rFonts w:hint="eastAsia"/>
        </w:rPr>
        <w:t>设计并实现了一套面向规则砖块抓取的</w:t>
      </w:r>
      <w:r>
        <w:t xml:space="preserve"> RGB-D </w:t>
      </w:r>
      <w:r>
        <w:rPr>
          <w:rFonts w:hint="eastAsia"/>
        </w:rPr>
        <w:t>候选融合流程，利用</w:t>
      </w:r>
      <w:r>
        <w:t xml:space="preserve"> RGB </w:t>
      </w:r>
      <w:r>
        <w:rPr>
          <w:rFonts w:hint="eastAsia"/>
        </w:rPr>
        <w:t>实例分割提供语义候选，利用深度几何提供空间验证。</w:t>
      </w:r>
    </w:p>
    <w:p w14:paraId="7DBDBCF1">
      <w:pPr>
        <w:numPr>
          <w:ilvl w:val="0"/>
          <w:numId w:val="7"/>
        </w:numPr>
      </w:pPr>
      <w:r>
        <w:rPr>
          <w:rFonts w:hint="eastAsia"/>
        </w:rPr>
        <w:t>实现了深度优先、RGB</w:t>
      </w:r>
      <w:r>
        <w:t xml:space="preserve"> </w:t>
      </w:r>
      <w:r>
        <w:rPr>
          <w:rFonts w:hint="eastAsia"/>
        </w:rPr>
        <w:t>回退的抓取候选选择机制，在深度候选可信时优先采用深度几何结果，在深度异常时保留</w:t>
      </w:r>
      <w:r>
        <w:t xml:space="preserve"> RGB </w:t>
      </w:r>
      <w:r>
        <w:rPr>
          <w:rFonts w:hint="eastAsia"/>
        </w:rPr>
        <w:t>识别能力。</w:t>
      </w:r>
    </w:p>
    <w:p w14:paraId="6E9A806A">
      <w:pPr>
        <w:numPr>
          <w:ilvl w:val="0"/>
          <w:numId w:val="7"/>
        </w:numPr>
      </w:pPr>
      <w:r>
        <w:rPr>
          <w:rFonts w:hint="eastAsia"/>
        </w:rPr>
        <w:t>搭建了协作机器人真实实验闭环，包括</w:t>
      </w:r>
      <w:r>
        <w:t xml:space="preserve"> RGB-D </w:t>
      </w:r>
      <w:r>
        <w:rPr>
          <w:rFonts w:hint="eastAsia"/>
        </w:rPr>
        <w:t>采集、机器人执行、二次定位、过程记录和离线复盘，为后续系统实验和失败分析提供基础。</w:t>
      </w:r>
    </w:p>
    <w:bookmarkEnd w:id="2"/>
    <w:p w14:paraId="3670756B">
      <w:pPr>
        <w:pStyle w:val="4"/>
      </w:pPr>
      <w:bookmarkStart w:id="3" w:name="相关工作"/>
      <w:r>
        <w:t xml:space="preserve">2 </w:t>
      </w:r>
      <w:r>
        <w:rPr>
          <w:rFonts w:hint="eastAsia"/>
        </w:rPr>
        <w:t>相关工作</w:t>
      </w:r>
    </w:p>
    <w:p w14:paraId="49BBD551">
      <w:pPr>
        <w:pStyle w:val="5"/>
      </w:pPr>
      <w:bookmarkStart w:id="4" w:name="基于-rgb-的目标检测与实例分割"/>
      <w:r>
        <w:t xml:space="preserve">2.1 </w:t>
      </w:r>
      <w:r>
        <w:rPr>
          <w:rFonts w:hint="eastAsia"/>
        </w:rPr>
        <w:t>基于</w:t>
      </w:r>
      <w:r>
        <w:t xml:space="preserve"> RGB </w:t>
      </w:r>
      <w:r>
        <w:rPr>
          <w:rFonts w:hint="eastAsia"/>
        </w:rPr>
        <w:t>的目标检测与实例分割</w:t>
      </w:r>
    </w:p>
    <w:p w14:paraId="262EA835">
      <w:r>
        <w:rPr>
          <w:rFonts w:hint="eastAsia"/>
        </w:rPr>
        <w:t>基于</w:t>
      </w:r>
      <w:r>
        <w:t xml:space="preserve"> RGB </w:t>
      </w:r>
      <w:r>
        <w:rPr>
          <w:rFonts w:hint="eastAsia"/>
        </w:rPr>
        <w:t>图像的目标检测和分割方法具有部署简单、推理速度快和数据采集成本低等优点，在机器人目标识别中应用广泛。Mask</w:t>
      </w:r>
      <w:r>
        <w:t xml:space="preserve"> R-CNN </w:t>
      </w:r>
      <w:r>
        <w:rPr>
          <w:rFonts w:hint="eastAsia"/>
        </w:rPr>
        <w:t>通过区域候选网络和掩膜分支实现实例级目标分割，为后续目标轮廓、中心和姿态估计提供了基础</w:t>
      </w:r>
      <w:r>
        <w:t xml:space="preserve"> [4]。YOLO </w:t>
      </w:r>
      <w:r>
        <w:rPr>
          <w:rFonts w:hint="eastAsia"/>
        </w:rPr>
        <w:t>系列模型进一步强化了实时检测能力，近年来的</w:t>
      </w:r>
      <w:r>
        <w:t xml:space="preserve"> YOLOv8 </w:t>
      </w:r>
      <w:r>
        <w:rPr>
          <w:rFonts w:hint="eastAsia"/>
        </w:rPr>
        <w:t>支持检测、分割和姿态估计等任务，适合部署在实时工业视觉系统中</w:t>
      </w:r>
      <w:r>
        <w:t xml:space="preserve"> </w:t>
      </w:r>
      <w:r>
        <w:rPr>
          <w:rFonts w:hint="eastAsia"/>
        </w:rPr>
        <w:t>[5]。对于砖块抓取任务，RGB</w:t>
      </w:r>
      <w:r>
        <w:t xml:space="preserve"> </w:t>
      </w:r>
      <w:r>
        <w:rPr>
          <w:rFonts w:hint="eastAsia"/>
        </w:rPr>
        <w:t>实例分割可以直接输出目标掩膜，并通过掩膜质心、最小外接矩形或主成分分析估计抓取中心与角度。</w:t>
      </w:r>
    </w:p>
    <w:p w14:paraId="788BC72B">
      <w:pPr>
        <w:pStyle w:val="19"/>
      </w:pPr>
      <w:r>
        <w:rPr>
          <w:rFonts w:hint="eastAsia"/>
        </w:rPr>
        <w:t>然而，RGB</w:t>
      </w:r>
      <w:r>
        <w:t xml:space="preserve"> </w:t>
      </w:r>
      <w:r>
        <w:rPr>
          <w:rFonts w:hint="eastAsia"/>
        </w:rPr>
        <w:t>方法主要依赖纹理、颜色和二维边界特征。当背景与目标颜色接近、光照变化明显或物体表面纹理不足时，分割结果可能出现漏检、误检或边界偏移。此外，二维图像无法直接表达目标相对相机的深度层次，因此在多目标接触、堆叠或局部遮挡场景中，仅依靠</w:t>
      </w:r>
      <w:r>
        <w:t xml:space="preserve"> RGB </w:t>
      </w:r>
      <w:r>
        <w:rPr>
          <w:rFonts w:hint="eastAsia"/>
        </w:rPr>
        <w:t>结果选择抓取对象存在不确定性。</w:t>
      </w:r>
    </w:p>
    <w:bookmarkEnd w:id="4"/>
    <w:p w14:paraId="2DBB10EB">
      <w:pPr>
        <w:pStyle w:val="5"/>
      </w:pPr>
      <w:bookmarkStart w:id="5" w:name="rgb-d-机器人抓取"/>
      <w:r>
        <w:t xml:space="preserve">2.2 RGB-D </w:t>
      </w:r>
      <w:r>
        <w:rPr>
          <w:rFonts w:hint="eastAsia"/>
        </w:rPr>
        <w:t>机器人抓取</w:t>
      </w:r>
    </w:p>
    <w:p w14:paraId="4A93CE5E">
      <w:r>
        <w:t xml:space="preserve">RGB-D </w:t>
      </w:r>
      <w:r>
        <w:rPr>
          <w:rFonts w:hint="eastAsia"/>
        </w:rPr>
        <w:t>视觉为机器人抓取提供了深度、形状和空间位姿信息。Lenz</w:t>
      </w:r>
      <w:r>
        <w:t xml:space="preserve"> </w:t>
      </w:r>
      <w:r>
        <w:rPr>
          <w:rFonts w:hint="eastAsia"/>
        </w:rPr>
        <w:t>等较早将深度学习用于机器人抓取矩形检测，通过</w:t>
      </w:r>
      <w:r>
        <w:t xml:space="preserve"> RGB-D </w:t>
      </w:r>
      <w:r>
        <w:rPr>
          <w:rFonts w:hint="eastAsia"/>
        </w:rPr>
        <w:t>图像估计可执行抓取位姿</w:t>
      </w:r>
      <w:r>
        <w:t xml:space="preserve"> [1]。Dex-Net 2.0 </w:t>
      </w:r>
      <w:r>
        <w:rPr>
          <w:rFonts w:hint="eastAsia"/>
        </w:rPr>
        <w:t>利用大规模合成深度图和解析抓取指标训练抓取质量网络，证明了深度图在鲁棒抓取规划中的价值</w:t>
      </w:r>
      <w:r>
        <w:t xml:space="preserve"> [2]。Morrison </w:t>
      </w:r>
      <w:r>
        <w:rPr>
          <w:rFonts w:hint="eastAsia"/>
        </w:rPr>
        <w:t>等提出</w:t>
      </w:r>
      <w:r>
        <w:t xml:space="preserve"> </w:t>
      </w:r>
      <w:r>
        <w:rPr>
          <w:rFonts w:hint="eastAsia"/>
        </w:rPr>
        <w:t>GG-CNN，从深度图中实时生成像素级抓取质量、角度和宽度图，实现闭环抓取控制</w:t>
      </w:r>
      <w:r>
        <w:t xml:space="preserve"> </w:t>
      </w:r>
      <w:r>
        <w:rPr>
          <w:rFonts w:hint="eastAsia"/>
        </w:rPr>
        <w:t>[3]。这些方法说明，深度信息不仅可以补充</w:t>
      </w:r>
      <w:r>
        <w:t xml:space="preserve"> RGB </w:t>
      </w:r>
      <w:r>
        <w:rPr>
          <w:rFonts w:hint="eastAsia"/>
        </w:rPr>
        <w:t>语义，还可以直接用于抓取质量估计和机器人运动控制。</w:t>
      </w:r>
    </w:p>
    <w:p w14:paraId="329CA919">
      <w:pPr>
        <w:pStyle w:val="19"/>
      </w:pPr>
      <w:r>
        <w:rPr>
          <w:rFonts w:hint="eastAsia"/>
        </w:rPr>
        <w:t>近年来，一些研究进一步探索</w:t>
      </w:r>
      <w:r>
        <w:t xml:space="preserve"> RGB </w:t>
      </w:r>
      <w:r>
        <w:rPr>
          <w:rFonts w:hint="eastAsia"/>
        </w:rPr>
        <w:t>与深度的跨模态融合，通过特征融合、注意力机制或深度引导网络提升抓取检测性能</w:t>
      </w:r>
      <w:r>
        <w:t xml:space="preserve"> </w:t>
      </w:r>
      <w:r>
        <w:rPr>
          <w:rFonts w:hint="eastAsia"/>
        </w:rPr>
        <w:t>[6]。这类方法通常具有较强表达能力，但也对训练数据、模型结构和部署环境提出更高要求。对于本文关注的规则砖块抓取场景，目标几何尺寸相对固定，工作区域相对可控，因此可以采用更轻量、可解释的深度几何验证策略，而不必完全依赖复杂端到端网络。</w:t>
      </w:r>
    </w:p>
    <w:bookmarkEnd w:id="5"/>
    <w:p w14:paraId="586D4E88">
      <w:pPr>
        <w:pStyle w:val="5"/>
      </w:pPr>
      <w:bookmarkStart w:id="6" w:name="工业工作站中的可追溯实验闭环"/>
      <w:r>
        <w:t xml:space="preserve">2.3 </w:t>
      </w:r>
      <w:r>
        <w:rPr>
          <w:rFonts w:hint="eastAsia"/>
        </w:rPr>
        <w:t>工业工作站中的可追溯实验闭环</w:t>
      </w:r>
    </w:p>
    <w:p w14:paraId="03633142">
      <w:r>
        <w:rPr>
          <w:rFonts w:hint="eastAsia"/>
        </w:rPr>
        <w:t>机器人视觉系统从算法验证走向实际应用时，仅报告单张图片上的识别效果通常不足以支撑工程可靠性。系统需要记录输入图像、深度图、候选结果、机械臂状态、执行命令和失败原因，并通过离线复盘分析算法在不同阶段的表现。对于协作机器人工作站而言，可追溯数据记录可以帮助定位误抓、漏抓、角度偏差和二次定位失败等问题，也便于后续开展消融实验和参数优化。本文在算法模块之外，强调过程记录与离线复盘，是为了将视觉识别从“能识别”推进到“可验证、可分析、可复现”。</w:t>
      </w:r>
    </w:p>
    <w:bookmarkEnd w:id="3"/>
    <w:bookmarkEnd w:id="6"/>
    <w:p w14:paraId="6729D08F">
      <w:pPr>
        <w:pStyle w:val="4"/>
      </w:pPr>
      <w:bookmarkStart w:id="7" w:name="系统平台与问题定义"/>
      <w:r>
        <w:t xml:space="preserve">3 </w:t>
      </w:r>
      <w:r>
        <w:rPr>
          <w:rFonts w:hint="eastAsia"/>
        </w:rPr>
        <w:t>系统平台与问题定义</w:t>
      </w:r>
    </w:p>
    <w:p w14:paraId="7D3335F6">
      <w:pPr>
        <w:pStyle w:val="5"/>
      </w:pPr>
      <w:bookmarkStart w:id="8" w:name="系统平台"/>
      <w:r>
        <w:t xml:space="preserve">3.1 </w:t>
      </w:r>
      <w:r>
        <w:rPr>
          <w:rFonts w:hint="eastAsia"/>
        </w:rPr>
        <w:t>系统平台</w:t>
      </w:r>
    </w:p>
    <w:p w14:paraId="07642098">
      <w:r>
        <w:rPr>
          <w:rFonts w:hint="eastAsia"/>
        </w:rPr>
        <w:t>本文系统由协作机器人、RGB-D</w:t>
      </w:r>
      <w:r>
        <w:t xml:space="preserve"> </w:t>
      </w:r>
      <w:r>
        <w:rPr>
          <w:rFonts w:hint="eastAsia"/>
        </w:rPr>
        <w:t>工业相机、上位机软件、视觉识别模块和流程控制模块组成。RGB-D</w:t>
      </w:r>
      <w:r>
        <w:t xml:space="preserve"> </w:t>
      </w:r>
      <w:r>
        <w:rPr>
          <w:rFonts w:hint="eastAsia"/>
        </w:rPr>
        <w:t>相机采集工作区域的彩色图像和深度图；上位机调用实例分割模型和深度几何模块生成抓取候选；标定模块将图像坐标转换为机器人坐标；协作机器人根据抓取点、抓取深度和末端旋转角执行抓取、二次定位和放置动作。系统同时保存运行过程中的</w:t>
      </w:r>
      <w:r>
        <w:t xml:space="preserve"> RGB </w:t>
      </w:r>
      <w:r>
        <w:rPr>
          <w:rFonts w:hint="eastAsia"/>
        </w:rPr>
        <w:t>图像、深度图、候选结果、机器人</w:t>
      </w:r>
      <w:r>
        <w:t xml:space="preserve"> TCP </w:t>
      </w:r>
      <w:r>
        <w:rPr>
          <w:rFonts w:hint="eastAsia"/>
        </w:rPr>
        <w:t>位姿、关节角、流程节点和事件日志。</w:t>
      </w:r>
    </w:p>
    <w:p w14:paraId="21AABB7E">
      <w:pPr>
        <w:pStyle w:val="19"/>
        <w:spacing w:before="40" w:after="120"/>
        <w:ind w:firstLine="0"/>
        <w:jc w:val="center"/>
      </w:pPr>
      <w:r>
        <w:rPr>
          <w:rFonts w:hint="eastAsia" w:ascii="Times New Roman" w:hAnsi="Times New Roman" w:eastAsia="宋体" w:cs="Times New Roman"/>
          <w:b/>
          <w:color w:val="000000"/>
          <w:sz w:val="19"/>
        </w:rPr>
        <w:t>图</w:t>
      </w:r>
      <w:r>
        <w:rPr>
          <w:rFonts w:ascii="Times New Roman" w:hAnsi="Times New Roman" w:eastAsia="宋体" w:cs="Times New Roman"/>
          <w:b/>
          <w:color w:val="000000"/>
          <w:sz w:val="19"/>
        </w:rPr>
        <w:t xml:space="preserve"> 1 </w:t>
      </w:r>
      <w:r>
        <w:rPr>
          <w:rFonts w:hint="eastAsia" w:ascii="Times New Roman" w:hAnsi="Times New Roman" w:eastAsia="宋体" w:cs="Times New Roman"/>
          <w:b/>
          <w:color w:val="000000"/>
          <w:sz w:val="19"/>
        </w:rPr>
        <w:t>给出了系统总体流程。彩色图像进入</w:t>
      </w:r>
      <w:r>
        <w:rPr>
          <w:rFonts w:ascii="Times New Roman" w:hAnsi="Times New Roman" w:eastAsia="宋体" w:cs="Times New Roman"/>
          <w:b/>
          <w:color w:val="000000"/>
          <w:sz w:val="19"/>
        </w:rPr>
        <w:t xml:space="preserve"> RGB </w:t>
      </w:r>
      <w:r>
        <w:rPr>
          <w:rFonts w:hint="eastAsia" w:ascii="Times New Roman" w:hAnsi="Times New Roman" w:eastAsia="宋体" w:cs="Times New Roman"/>
          <w:b/>
          <w:color w:val="000000"/>
          <w:sz w:val="19"/>
        </w:rPr>
        <w:t>实例分割分支，深度图进入深度几何分支；两个分支分别输出候选区域后由融合决策模块选择最终抓取候选；机器人执行抓取后进入二次定位阶段；所有阶段数据被写入案例目录，并可通过离线复盘脚本重新分析。</w:t>
      </w:r>
    </w:p>
    <w:p w14:paraId="1F74F9A0">
      <w:pPr>
        <w:pStyle w:val="19"/>
        <w:spacing w:before="120" w:after="40"/>
        <w:ind w:firstLine="0"/>
        <w:jc w:val="center"/>
      </w:pPr>
      <w:r>
        <w:drawing>
          <wp:inline distT="0" distB="0" distL="114300" distR="114300">
            <wp:extent cx="5471795" cy="2978785"/>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7"/>
                    <a:stretch>
                      <a:fillRect/>
                    </a:stretch>
                  </pic:blipFill>
                  <pic:spPr>
                    <a:xfrm>
                      <a:off x="0" y="0"/>
                      <a:ext cx="5471999" cy="2979199"/>
                    </a:xfrm>
                    <a:prstGeom prst="rect">
                      <a:avLst/>
                    </a:prstGeom>
                    <a:noFill/>
                    <a:ln w="9525">
                      <a:noFill/>
                    </a:ln>
                  </pic:spPr>
                </pic:pic>
              </a:graphicData>
            </a:graphic>
          </wp:inline>
        </w:drawing>
      </w:r>
    </w:p>
    <w:p w14:paraId="7E875208">
      <w:pPr>
        <w:pStyle w:val="19"/>
        <w:spacing w:before="40" w:after="120"/>
        <w:ind w:firstLine="0"/>
        <w:jc w:val="center"/>
      </w:pPr>
      <w:r>
        <w:rPr>
          <w:rFonts w:hint="eastAsia" w:ascii="Times New Roman" w:hAnsi="Times New Roman" w:eastAsia="宋体" w:cs="Times New Roman"/>
          <w:b/>
          <w:bCs/>
          <w:color w:val="000000"/>
          <w:sz w:val="19"/>
        </w:rPr>
        <w:t>图</w:t>
      </w:r>
      <w:r>
        <w:rPr>
          <w:rFonts w:ascii="Times New Roman" w:hAnsi="Times New Roman" w:eastAsia="宋体" w:cs="Times New Roman"/>
          <w:b/>
          <w:bCs/>
          <w:color w:val="000000"/>
          <w:sz w:val="19"/>
        </w:rPr>
        <w:t xml:space="preserve"> 1 </w:t>
      </w:r>
      <w:r>
        <w:rPr>
          <w:rFonts w:hint="eastAsia" w:ascii="Times New Roman" w:hAnsi="Times New Roman" w:eastAsia="宋体" w:cs="Times New Roman"/>
          <w:b/>
          <w:bCs/>
          <w:color w:val="000000"/>
          <w:sz w:val="19"/>
        </w:rPr>
        <w:t>协作机器人</w:t>
      </w:r>
      <w:r>
        <w:rPr>
          <w:rFonts w:ascii="Times New Roman" w:hAnsi="Times New Roman" w:eastAsia="宋体" w:cs="Times New Roman"/>
          <w:b/>
          <w:bCs/>
          <w:color w:val="000000"/>
          <w:sz w:val="19"/>
        </w:rPr>
        <w:t xml:space="preserve"> RGB-D </w:t>
      </w:r>
      <w:r>
        <w:rPr>
          <w:rFonts w:hint="eastAsia" w:ascii="Times New Roman" w:hAnsi="Times New Roman" w:eastAsia="宋体" w:cs="Times New Roman"/>
          <w:b/>
          <w:bCs/>
          <w:color w:val="000000"/>
          <w:sz w:val="19"/>
        </w:rPr>
        <w:t>砖块抓取系统闭环示意图。</w:t>
      </w:r>
    </w:p>
    <w:bookmarkEnd w:id="8"/>
    <w:p w14:paraId="47793A9E">
      <w:pPr>
        <w:pStyle w:val="5"/>
      </w:pPr>
      <w:bookmarkStart w:id="9" w:name="问题定义"/>
      <w:r>
        <w:t xml:space="preserve">3.2 </w:t>
      </w:r>
      <w:r>
        <w:rPr>
          <w:rFonts w:hint="eastAsia"/>
        </w:rPr>
        <w:t>问题定义</w:t>
      </w:r>
    </w:p>
    <w:p w14:paraId="3827786B">
      <w:r>
        <w:rPr>
          <w:rFonts w:hint="eastAsia"/>
        </w:rPr>
        <w:t>给定一帧彩色图像</w:t>
      </w:r>
      <w:r>
        <w:t xml:space="preserve"> </w:t>
      </w:r>
      <m:oMath>
        <m:r>
          <m:rPr/>
          <m:t>I</m:t>
        </m:r>
        <m:r>
          <m:rPr>
            <m:sty m:val="p"/>
          </m:rPr>
          <m:t>∈</m:t>
        </m:r>
        <m:sSup>
          <m:sSupPr/>
          <m:e>
            <m:r>
              <m:rPr>
                <m:sty m:val="p"/>
                <m:scr m:val="double-struck"/>
              </m:rPr>
              <m:t>ℝ</m:t>
            </m:r>
          </m:e>
          <m:sup>
            <m:r>
              <m:rPr/>
              <m:t>H</m:t>
            </m:r>
            <m:r>
              <m:rPr>
                <m:sty m:val="p"/>
              </m:rPr>
              <m:t>×</m:t>
            </m:r>
            <m:r>
              <m:rPr/>
              <m:t>W</m:t>
            </m:r>
            <m:r>
              <m:rPr>
                <m:sty m:val="p"/>
              </m:rPr>
              <m:t>×</m:t>
            </m:r>
            <m:r>
              <m:rPr/>
              <m:t>3</m:t>
            </m:r>
          </m:sup>
        </m:sSup>
      </m:oMath>
      <w:r>
        <w:t xml:space="preserve"> </w:t>
      </w:r>
      <w:r>
        <w:rPr>
          <w:rFonts w:hint="eastAsia"/>
        </w:rPr>
        <w:t>和对应深度图</w:t>
      </w:r>
      <w:r>
        <w:t xml:space="preserve"> </w:t>
      </w:r>
      <m:oMath>
        <m:r>
          <m:rPr/>
          <m:t>D</m:t>
        </m:r>
        <m:r>
          <m:rPr>
            <m:sty m:val="p"/>
          </m:rPr>
          <m:t>∈</m:t>
        </m:r>
        <m:sSup>
          <m:sSupPr/>
          <m:e>
            <m:r>
              <m:rPr>
                <m:sty m:val="p"/>
                <m:scr m:val="double-struck"/>
              </m:rPr>
              <m:t>ℝ</m:t>
            </m:r>
          </m:e>
          <m:sup>
            <m:r>
              <m:rPr/>
              <m:t>H</m:t>
            </m:r>
            <m:r>
              <m:rPr>
                <m:sty m:val="p"/>
              </m:rPr>
              <m:t>×</m:t>
            </m:r>
            <m:r>
              <m:rPr/>
              <m:t>W</m:t>
            </m:r>
          </m:sup>
        </m:sSup>
      </m:oMath>
      <w:r>
        <w:rPr>
          <w:rFonts w:hint="eastAsia"/>
        </w:rPr>
        <w:t>，系统需要输出如式</w:t>
      </w:r>
      <w:r>
        <w:t xml:space="preserve"> (3-1) </w:t>
      </w:r>
      <w:r>
        <w:rPr>
          <w:rFonts w:hint="eastAsia"/>
        </w:rPr>
        <w:t>所示的机器人可执行抓取位姿：</w:t>
      </w:r>
    </w:p>
    <w:p w14:paraId="613CC912">
      <w:pPr>
        <w:pStyle w:val="19"/>
      </w:pPr>
      <m:oMathPara>
        <m:oMathParaPr>
          <m:jc m:val="center"/>
        </m:oMathParaPr>
        <m:oMath>
          <m:r>
            <m:rPr/>
            <m:t>g</m:t>
          </m:r>
          <m:r>
            <m:rPr>
              <m:sty m:val="p"/>
            </m:rPr>
            <m:t>=(</m:t>
          </m:r>
          <m:sSub>
            <m:sSubPr/>
            <m:e>
              <m:r>
                <m:rPr/>
                <m:t>x</m:t>
              </m:r>
            </m:e>
            <m:sub>
              <m:r>
                <m:rPr/>
                <m:t>r</m:t>
              </m:r>
            </m:sub>
          </m:sSub>
          <m:r>
            <m:rPr>
              <m:sty m:val="p"/>
            </m:rPr>
            <m:t>,</m:t>
          </m:r>
          <m:sSub>
            <m:sSubPr/>
            <m:e>
              <m:r>
                <m:rPr/>
                <m:t>y</m:t>
              </m:r>
            </m:e>
            <m:sub>
              <m:r>
                <m:rPr/>
                <m:t>r</m:t>
              </m:r>
            </m:sub>
          </m:sSub>
          <m:r>
            <m:rPr>
              <m:sty m:val="p"/>
            </m:rPr>
            <m:t>,</m:t>
          </m:r>
          <m:sSub>
            <m:sSubPr/>
            <m:e>
              <m:r>
                <m:rPr/>
                <m:t>z</m:t>
              </m:r>
            </m:e>
            <m:sub>
              <m:r>
                <m:rPr/>
                <m:t>r</m:t>
              </m:r>
            </m:sub>
          </m:sSub>
          <m:r>
            <m:rPr>
              <m:sty m:val="p"/>
            </m:rPr>
            <m:t>,</m:t>
          </m:r>
          <m:sSub>
            <m:sSubPr/>
            <m:e>
              <m:r>
                <m:rPr/>
                <m:t>θ</m:t>
              </m:r>
            </m:e>
            <m:sub>
              <m:r>
                <m:rPr/>
                <m:t>r</m:t>
              </m:r>
            </m:sub>
          </m:sSub>
          <m:r>
            <m:rPr>
              <m:sty m:val="p"/>
            </m:rPr>
            <m:t>)</m:t>
          </m:r>
          <m:r>
            <m:rPr/>
            <m:t>  </m:t>
          </m:r>
          <m:r>
            <m:rPr>
              <m:nor/>
              <m:sty m:val="p"/>
            </m:rPr>
            <w:rPr>
              <w:b w:val="0"/>
              <w:i w:val="0"/>
            </w:rPr>
            <m:t>(3-1)</m:t>
          </m:r>
        </m:oMath>
      </m:oMathPara>
    </w:p>
    <w:p w14:paraId="72DD684F">
      <w:r>
        <w:rPr>
          <w:rFonts w:hint="eastAsia"/>
        </w:rPr>
        <w:t>其中</w:t>
      </w:r>
      <w:r>
        <w:t xml:space="preserve"> </w:t>
      </w:r>
      <m:oMath>
        <m:sSub>
          <m:sSubPr/>
          <m:e>
            <m:r>
              <m:rPr/>
              <m:t>x</m:t>
            </m:r>
          </m:e>
          <m:sub>
            <m:r>
              <m:rPr/>
              <m:t>r</m:t>
            </m:r>
          </m:sub>
        </m:sSub>
        <m:r>
          <m:rPr>
            <m:sty m:val="p"/>
          </m:rPr>
          <m:t>,</m:t>
        </m:r>
        <m:sSub>
          <m:sSubPr/>
          <m:e>
            <m:r>
              <m:rPr/>
              <m:t>y</m:t>
            </m:r>
          </m:e>
          <m:sub>
            <m:r>
              <m:rPr/>
              <m:t>r</m:t>
            </m:r>
          </m:sub>
        </m:sSub>
        <m:r>
          <m:rPr>
            <m:sty m:val="p"/>
          </m:rPr>
          <m:t>,</m:t>
        </m:r>
        <m:sSub>
          <m:sSubPr/>
          <m:e>
            <m:r>
              <m:rPr/>
              <m:t>z</m:t>
            </m:r>
          </m:e>
          <m:sub>
            <m:r>
              <m:rPr/>
              <m:t>r</m:t>
            </m:r>
          </m:sub>
        </m:sSub>
      </m:oMath>
      <w:r>
        <w:t xml:space="preserve"> </w:t>
      </w:r>
      <w:r>
        <w:rPr>
          <w:rFonts w:hint="eastAsia"/>
        </w:rPr>
        <w:t>表示机器人坐标系下的抓取位置，</w:t>
      </w:r>
      <m:oMath>
        <m:sSub>
          <m:sSubPr/>
          <m:e>
            <m:r>
              <m:rPr/>
              <m:t>θ</m:t>
            </m:r>
          </m:e>
          <m:sub>
            <m:r>
              <m:rPr/>
              <m:t>r</m:t>
            </m:r>
          </m:sub>
        </m:sSub>
      </m:oMath>
      <w:r>
        <w:t xml:space="preserve"> </w:t>
      </w:r>
      <w:r>
        <w:rPr>
          <w:rFonts w:hint="eastAsia"/>
        </w:rPr>
        <w:t>表示末端执行器绕工具坐标系的补偿旋转角。图像域候选定义如式</w:t>
      </w:r>
      <w:r>
        <w:t xml:space="preserve"> (3-2) </w:t>
      </w:r>
      <w:r>
        <w:rPr>
          <w:rFonts w:hint="eastAsia"/>
        </w:rPr>
        <w:t>所示：</w:t>
      </w:r>
    </w:p>
    <w:p w14:paraId="0A9D0F88">
      <w:pPr>
        <w:pStyle w:val="19"/>
      </w:pPr>
      <m:oMathPara>
        <m:oMathParaPr>
          <m:jc m:val="center"/>
        </m:oMathParaPr>
        <m:oMath>
          <m:r>
            <m:rPr/>
            <m:t>c</m:t>
          </m:r>
          <m:r>
            <m:rPr>
              <m:sty m:val="p"/>
            </m:rPr>
            <m:t>=(</m:t>
          </m:r>
          <m:r>
            <m:rPr/>
            <m:t>u</m:t>
          </m:r>
          <m:r>
            <m:rPr>
              <m:sty m:val="p"/>
            </m:rPr>
            <m:t>,</m:t>
          </m:r>
          <m:r>
            <m:rPr/>
            <m:t>v</m:t>
          </m:r>
          <m:r>
            <m:rPr>
              <m:sty m:val="p"/>
            </m:rPr>
            <m:t>,</m:t>
          </m:r>
          <m:r>
            <m:rPr/>
            <m:t>z</m:t>
          </m:r>
          <m:r>
            <m:rPr>
              <m:sty m:val="p"/>
            </m:rPr>
            <m:t>,</m:t>
          </m:r>
          <m:r>
            <m:rPr/>
            <m:t>θ</m:t>
          </m:r>
          <m:r>
            <m:rPr>
              <m:sty m:val="p"/>
            </m:rPr>
            <m:t>,</m:t>
          </m:r>
          <m:r>
            <m:rPr/>
            <m:t>s</m:t>
          </m:r>
          <m:r>
            <m:rPr>
              <m:sty m:val="p"/>
            </m:rPr>
            <m:t>,</m:t>
          </m:r>
          <m:r>
            <m:rPr/>
            <m:t>M</m:t>
          </m:r>
          <m:r>
            <m:rPr>
              <m:sty m:val="p"/>
            </m:rPr>
            <m:t>)</m:t>
          </m:r>
          <m:r>
            <m:rPr/>
            <m:t>  </m:t>
          </m:r>
          <m:r>
            <m:rPr>
              <m:nor/>
              <m:sty m:val="p"/>
            </m:rPr>
            <w:rPr>
              <w:b w:val="0"/>
              <w:i w:val="0"/>
            </w:rPr>
            <m:t>(3-2)</m:t>
          </m:r>
        </m:oMath>
      </m:oMathPara>
    </w:p>
    <w:p w14:paraId="275208FB">
      <w:r>
        <w:rPr>
          <w:rFonts w:hint="eastAsia"/>
        </w:rPr>
        <w:t>其中</w:t>
      </w:r>
      <w:r>
        <w:t xml:space="preserve"> </w:t>
      </w:r>
      <m:oMath>
        <m:r>
          <m:rPr/>
          <m:t>u</m:t>
        </m:r>
        <m:r>
          <m:rPr>
            <m:sty m:val="p"/>
          </m:rPr>
          <m:t>,</m:t>
        </m:r>
        <m:r>
          <m:rPr/>
          <m:t>v</m:t>
        </m:r>
      </m:oMath>
      <w:r>
        <w:t xml:space="preserve"> </w:t>
      </w:r>
      <w:r>
        <w:rPr>
          <w:rFonts w:hint="eastAsia"/>
        </w:rPr>
        <w:t>为像素中心，</w:t>
      </w:r>
      <m:oMath>
        <m:r>
          <m:rPr/>
          <m:t>z</m:t>
        </m:r>
      </m:oMath>
      <w:r>
        <w:t xml:space="preserve"> </w:t>
      </w:r>
      <w:r>
        <w:rPr>
          <w:rFonts w:hint="eastAsia"/>
        </w:rPr>
        <w:t>为深度值，</w:t>
      </w:r>
      <m:oMath>
        <m:r>
          <m:rPr/>
          <m:t>θ</m:t>
        </m:r>
      </m:oMath>
      <w:r>
        <w:t xml:space="preserve"> </w:t>
      </w:r>
      <w:r>
        <w:rPr>
          <w:rFonts w:hint="eastAsia"/>
        </w:rPr>
        <w:t>为图像域主方向角，</w:t>
      </w:r>
      <m:oMath>
        <m:r>
          <m:rPr/>
          <m:t>s</m:t>
        </m:r>
      </m:oMath>
      <w:r>
        <w:t xml:space="preserve"> </w:t>
      </w:r>
      <w:r>
        <w:rPr>
          <w:rFonts w:hint="eastAsia"/>
        </w:rPr>
        <w:t>为候选置信度或几何评分，</w:t>
      </w:r>
      <m:oMath>
        <m:r>
          <m:rPr/>
          <m:t>M</m:t>
        </m:r>
      </m:oMath>
      <w:r>
        <w:t xml:space="preserve"> </w:t>
      </w:r>
      <w:r>
        <w:rPr>
          <w:rFonts w:hint="eastAsia"/>
        </w:rPr>
        <w:t>为候选掩膜。本文目标是在</w:t>
      </w:r>
      <w:r>
        <w:t xml:space="preserve"> RGB </w:t>
      </w:r>
      <w:r>
        <w:rPr>
          <w:rFonts w:hint="eastAsia"/>
        </w:rPr>
        <w:t>候选与深度候选之间选择更可靠的候选，并将其转换为机器人抓取位姿。</w:t>
      </w:r>
    </w:p>
    <w:bookmarkEnd w:id="7"/>
    <w:bookmarkEnd w:id="9"/>
    <w:p w14:paraId="2DC720B3">
      <w:pPr>
        <w:pStyle w:val="4"/>
      </w:pPr>
      <w:bookmarkStart w:id="10" w:name="rgb-d-融合与深度几何验证方法"/>
      <w:r>
        <w:t xml:space="preserve">4 RGB-D </w:t>
      </w:r>
      <w:r>
        <w:rPr>
          <w:rFonts w:hint="eastAsia"/>
        </w:rPr>
        <w:t>融合与深度几何验证方法</w:t>
      </w:r>
    </w:p>
    <w:p w14:paraId="391E0D39">
      <w:pPr>
        <w:spacing w:before="40" w:after="120"/>
        <w:ind w:firstLine="0"/>
        <w:jc w:val="center"/>
      </w:pPr>
      <w:r>
        <w:rPr>
          <w:rFonts w:hint="eastAsia" w:ascii="Times New Roman" w:hAnsi="Times New Roman" w:eastAsia="宋体" w:cs="Times New Roman"/>
          <w:b/>
          <w:color w:val="000000"/>
          <w:sz w:val="19"/>
        </w:rPr>
        <w:t>图</w:t>
      </w:r>
      <w:r>
        <w:rPr>
          <w:rFonts w:ascii="Times New Roman" w:hAnsi="Times New Roman" w:eastAsia="宋体" w:cs="Times New Roman"/>
          <w:b/>
          <w:color w:val="000000"/>
          <w:sz w:val="19"/>
        </w:rPr>
        <w:t xml:space="preserve"> 2 </w:t>
      </w:r>
      <w:r>
        <w:rPr>
          <w:rFonts w:hint="eastAsia" w:ascii="Times New Roman" w:hAnsi="Times New Roman" w:eastAsia="宋体" w:cs="Times New Roman"/>
          <w:b/>
          <w:color w:val="000000"/>
          <w:sz w:val="19"/>
        </w:rPr>
        <w:t>给出了</w:t>
      </w:r>
      <w:r>
        <w:rPr>
          <w:rFonts w:ascii="Times New Roman" w:hAnsi="Times New Roman" w:eastAsia="宋体" w:cs="Times New Roman"/>
          <w:b/>
          <w:color w:val="000000"/>
          <w:sz w:val="19"/>
        </w:rPr>
        <w:t xml:space="preserve"> RGB-D </w:t>
      </w:r>
      <w:r>
        <w:rPr>
          <w:rFonts w:hint="eastAsia" w:ascii="Times New Roman" w:hAnsi="Times New Roman" w:eastAsia="宋体" w:cs="Times New Roman"/>
          <w:b/>
          <w:color w:val="000000"/>
          <w:sz w:val="19"/>
        </w:rPr>
        <w:t>融合与深度优先决策流程。RGB</w:t>
      </w:r>
      <w:r>
        <w:rPr>
          <w:rFonts w:ascii="Times New Roman" w:hAnsi="Times New Roman" w:eastAsia="宋体" w:cs="Times New Roman"/>
          <w:b/>
          <w:color w:val="000000"/>
          <w:sz w:val="19"/>
        </w:rPr>
        <w:t xml:space="preserve"> </w:t>
      </w:r>
      <w:r>
        <w:rPr>
          <w:rFonts w:hint="eastAsia" w:ascii="Times New Roman" w:hAnsi="Times New Roman" w:eastAsia="宋体" w:cs="Times New Roman"/>
          <w:b/>
          <w:color w:val="000000"/>
          <w:sz w:val="19"/>
        </w:rPr>
        <w:t>分支负责从彩色图像中生成语义候选，Depth</w:t>
      </w:r>
      <w:r>
        <w:rPr>
          <w:rFonts w:ascii="Times New Roman" w:hAnsi="Times New Roman" w:eastAsia="宋体" w:cs="Times New Roman"/>
          <w:b/>
          <w:color w:val="000000"/>
          <w:sz w:val="19"/>
        </w:rPr>
        <w:t xml:space="preserve"> </w:t>
      </w:r>
      <w:r>
        <w:rPr>
          <w:rFonts w:hint="eastAsia" w:ascii="Times New Roman" w:hAnsi="Times New Roman" w:eastAsia="宋体" w:cs="Times New Roman"/>
          <w:b/>
          <w:color w:val="000000"/>
          <w:sz w:val="19"/>
        </w:rPr>
        <w:t>分支负责从高度图和前景区域中生成几何候选；融合模块根据候选一致性和深度几何可信度选择最终输出，并在深度异常时保留</w:t>
      </w:r>
      <w:r>
        <w:rPr>
          <w:rFonts w:ascii="Times New Roman" w:hAnsi="Times New Roman" w:eastAsia="宋体" w:cs="Times New Roman"/>
          <w:b/>
          <w:color w:val="000000"/>
          <w:sz w:val="19"/>
        </w:rPr>
        <w:t xml:space="preserve"> RGB </w:t>
      </w:r>
      <w:r>
        <w:rPr>
          <w:rFonts w:hint="eastAsia" w:ascii="Times New Roman" w:hAnsi="Times New Roman" w:eastAsia="宋体" w:cs="Times New Roman"/>
          <w:b/>
          <w:color w:val="000000"/>
          <w:sz w:val="19"/>
        </w:rPr>
        <w:t>回退路径。</w:t>
      </w:r>
    </w:p>
    <w:p w14:paraId="44B86F21">
      <w:pPr>
        <w:pStyle w:val="19"/>
        <w:spacing w:before="120" w:after="40"/>
        <w:ind w:firstLine="0"/>
        <w:jc w:val="center"/>
      </w:pPr>
      <w:r>
        <w:drawing>
          <wp:inline distT="0" distB="0" distL="114300" distR="114300">
            <wp:extent cx="5471795" cy="3191510"/>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8"/>
                    <a:stretch>
                      <a:fillRect/>
                    </a:stretch>
                  </pic:blipFill>
                  <pic:spPr>
                    <a:xfrm>
                      <a:off x="0" y="0"/>
                      <a:ext cx="5471999" cy="3191999"/>
                    </a:xfrm>
                    <a:prstGeom prst="rect">
                      <a:avLst/>
                    </a:prstGeom>
                    <a:noFill/>
                    <a:ln w="9525">
                      <a:noFill/>
                    </a:ln>
                  </pic:spPr>
                </pic:pic>
              </a:graphicData>
            </a:graphic>
          </wp:inline>
        </w:drawing>
      </w:r>
    </w:p>
    <w:p w14:paraId="43C38BA3">
      <w:pPr>
        <w:pStyle w:val="19"/>
        <w:spacing w:before="40" w:after="120"/>
        <w:ind w:firstLine="0"/>
        <w:jc w:val="center"/>
      </w:pPr>
      <w:r>
        <w:rPr>
          <w:rFonts w:hint="eastAsia" w:ascii="Times New Roman" w:hAnsi="Times New Roman" w:eastAsia="宋体" w:cs="Times New Roman"/>
          <w:b/>
          <w:bCs/>
          <w:color w:val="000000"/>
          <w:sz w:val="19"/>
        </w:rPr>
        <w:t>图</w:t>
      </w:r>
      <w:r>
        <w:rPr>
          <w:rFonts w:ascii="Times New Roman" w:hAnsi="Times New Roman" w:eastAsia="宋体" w:cs="Times New Roman"/>
          <w:b/>
          <w:bCs/>
          <w:color w:val="000000"/>
          <w:sz w:val="19"/>
        </w:rPr>
        <w:t xml:space="preserve"> 2 RGB-D </w:t>
      </w:r>
      <w:r>
        <w:rPr>
          <w:rFonts w:hint="eastAsia" w:ascii="Times New Roman" w:hAnsi="Times New Roman" w:eastAsia="宋体" w:cs="Times New Roman"/>
          <w:b/>
          <w:bCs/>
          <w:color w:val="000000"/>
          <w:sz w:val="19"/>
        </w:rPr>
        <w:t>融合与深度优先决策流程。</w:t>
      </w:r>
    </w:p>
    <w:p w14:paraId="733466D2">
      <w:pPr>
        <w:pStyle w:val="5"/>
      </w:pPr>
      <w:bookmarkStart w:id="11" w:name="rgb-实例分割候选生成"/>
      <w:r>
        <w:t xml:space="preserve">4.1 RGB </w:t>
      </w:r>
      <w:r>
        <w:rPr>
          <w:rFonts w:hint="eastAsia"/>
        </w:rPr>
        <w:t>实例分割候选生成</w:t>
      </w:r>
    </w:p>
    <w:p w14:paraId="495A95D7">
      <w:r>
        <w:t xml:space="preserve">RGB </w:t>
      </w:r>
      <w:r>
        <w:rPr>
          <w:rFonts w:hint="eastAsia"/>
        </w:rPr>
        <w:t>分支使用实例分割模型对彩色图像进行砖块目标识别。模型输出边界框、类别置信度和实例掩膜。对于每一个</w:t>
      </w:r>
      <w:r>
        <w:t xml:space="preserve"> RGB </w:t>
      </w:r>
      <w:r>
        <w:rPr>
          <w:rFonts w:hint="eastAsia"/>
        </w:rPr>
        <w:t>候选区域，系统首先按照式</w:t>
      </w:r>
      <w:r>
        <w:t xml:space="preserve"> (4-1) </w:t>
      </w:r>
      <w:r>
        <w:rPr>
          <w:rFonts w:hint="eastAsia"/>
        </w:rPr>
        <w:t>计算掩膜质心作为候选中心：</w:t>
      </w:r>
    </w:p>
    <w:p w14:paraId="56F40C04">
      <w:pPr>
        <w:pStyle w:val="19"/>
      </w:pPr>
      <m:oMathPara>
        <m:oMathParaPr>
          <m:jc m:val="center"/>
        </m:oMathParaPr>
        <m:oMath>
          <m:r>
            <m:rPr/>
            <m:t>u</m:t>
          </m:r>
          <m:r>
            <m:rPr>
              <m:sty m:val="p"/>
            </m:rPr>
            <m:t>=</m:t>
          </m:r>
          <m:f>
            <m:fPr/>
            <m:num>
              <m:r>
                <m:rPr/>
                <m:t>1</m:t>
              </m:r>
            </m:num>
            <m:den>
              <m:r>
                <m:rPr>
                  <m:sty m:val="p"/>
                </m:rPr>
                <m:t>|</m:t>
              </m:r>
              <m:r>
                <m:rPr/>
                <m:t>M</m:t>
              </m:r>
              <m:r>
                <m:rPr>
                  <m:sty m:val="p"/>
                </m:rPr>
                <m:t>|</m:t>
              </m:r>
            </m:den>
          </m:f>
          <m:nary>
            <m:naryPr>
              <m:chr m:val="∑"/>
              <m:limLoc m:val="undOvr"/>
              <m:supHide m:val="1"/>
            </m:naryPr>
            <m:sub>
              <m:r>
                <m:rPr>
                  <m:sty m:val="p"/>
                </m:rPr>
                <m:t>(</m:t>
              </m:r>
              <m:r>
                <m:rPr/>
                <m:t>i</m:t>
              </m:r>
              <m:r>
                <m:rPr>
                  <m:sty m:val="p"/>
                </m:rPr>
                <m:t>,</m:t>
              </m:r>
              <m:r>
                <m:rPr/>
                <m:t>j</m:t>
              </m:r>
              <m:r>
                <m:rPr>
                  <m:sty m:val="p"/>
                </m:rPr>
                <m:t>)∈</m:t>
              </m:r>
              <m:r>
                <m:rPr/>
                <m:t>M</m:t>
              </m:r>
            </m:sub>
            <m:sup>
              <m:r>
                <m:rPr/>
                <m:t>​</m:t>
              </m:r>
            </m:sup>
            <m:e>
              <m:r>
                <m:rPr/>
                <m:t>j</m:t>
              </m:r>
            </m:e>
          </m:nary>
          <m:r>
            <m:rPr>
              <m:sty m:val="p"/>
            </m:rPr>
            <m:t>,</m:t>
          </m:r>
          <m:r>
            <m:rPr/>
            <m:t> v</m:t>
          </m:r>
          <m:r>
            <m:rPr>
              <m:sty m:val="p"/>
            </m:rPr>
            <m:t>=</m:t>
          </m:r>
          <m:f>
            <m:fPr/>
            <m:num>
              <m:r>
                <m:rPr/>
                <m:t>1</m:t>
              </m:r>
            </m:num>
            <m:den>
              <m:r>
                <m:rPr>
                  <m:sty m:val="p"/>
                </m:rPr>
                <m:t>|</m:t>
              </m:r>
              <m:r>
                <m:rPr/>
                <m:t>M</m:t>
              </m:r>
              <m:r>
                <m:rPr>
                  <m:sty m:val="p"/>
                </m:rPr>
                <m:t>|</m:t>
              </m:r>
            </m:den>
          </m:f>
          <m:nary>
            <m:naryPr>
              <m:chr m:val="∑"/>
              <m:limLoc m:val="undOvr"/>
              <m:supHide m:val="1"/>
            </m:naryPr>
            <m:sub>
              <m:r>
                <m:rPr>
                  <m:sty m:val="p"/>
                </m:rPr>
                <m:t>(</m:t>
              </m:r>
              <m:r>
                <m:rPr/>
                <m:t>i</m:t>
              </m:r>
              <m:r>
                <m:rPr>
                  <m:sty m:val="p"/>
                </m:rPr>
                <m:t>,</m:t>
              </m:r>
              <m:r>
                <m:rPr/>
                <m:t>j</m:t>
              </m:r>
              <m:r>
                <m:rPr>
                  <m:sty m:val="p"/>
                </m:rPr>
                <m:t>)∈</m:t>
              </m:r>
              <m:r>
                <m:rPr/>
                <m:t>M</m:t>
              </m:r>
            </m:sub>
            <m:sup>
              <m:r>
                <m:rPr/>
                <m:t>​</m:t>
              </m:r>
            </m:sup>
            <m:e>
              <m:r>
                <m:rPr/>
                <m:t>i</m:t>
              </m:r>
            </m:e>
          </m:nary>
          <m:r>
            <m:rPr/>
            <m:t>  </m:t>
          </m:r>
          <m:r>
            <m:rPr>
              <m:nor/>
              <m:sty m:val="p"/>
            </m:rPr>
            <w:rPr>
              <w:b w:val="0"/>
              <w:i w:val="0"/>
            </w:rPr>
            <m:t>(4-1)</m:t>
          </m:r>
        </m:oMath>
      </m:oMathPara>
    </w:p>
    <w:p w14:paraId="5DDD8262">
      <w:r>
        <w:rPr>
          <w:rFonts w:hint="eastAsia"/>
        </w:rPr>
        <w:t>随后在掩膜区域内提取有效深度像素，并通过异常值过滤获得候选深度统计量。为避免无效深度、飞点或边缘噪声影响，系统去除小于最小有效深度、非有限值和分位数外的异常值，并计算有效深度比例。当有效深度像素数量和比例满足阈值时，候选被标记为深度有效。候选方向角通过掩膜主成分分析或外接矩形方向获得。</w:t>
      </w:r>
    </w:p>
    <w:p w14:paraId="11A24515">
      <w:pPr>
        <w:pStyle w:val="19"/>
      </w:pPr>
      <w:r>
        <w:t xml:space="preserve">RGB </w:t>
      </w:r>
      <w:r>
        <w:rPr>
          <w:rFonts w:hint="eastAsia"/>
        </w:rPr>
        <w:t>分支的优势在于能够识别语义目标并区分砖块与背景；不足在于当掩膜边界偏移时，候选中心和角度会随之偏移。因此，RGB</w:t>
      </w:r>
      <w:r>
        <w:t xml:space="preserve"> </w:t>
      </w:r>
      <w:r>
        <w:rPr>
          <w:rFonts w:hint="eastAsia"/>
        </w:rPr>
        <w:t>候选更适合作为语义提议，而不是唯一决策依据。</w:t>
      </w:r>
    </w:p>
    <w:bookmarkEnd w:id="11"/>
    <w:p w14:paraId="3BE520B9">
      <w:pPr>
        <w:pStyle w:val="5"/>
      </w:pPr>
      <w:bookmarkStart w:id="12" w:name="深度几何候选生成"/>
      <w:r>
        <w:t xml:space="preserve">4.2 </w:t>
      </w:r>
      <w:r>
        <w:rPr>
          <w:rFonts w:hint="eastAsia"/>
        </w:rPr>
        <w:t>深度几何候选生成</w:t>
      </w:r>
    </w:p>
    <w:p w14:paraId="695586F9">
      <w:r>
        <w:rPr>
          <w:rFonts w:hint="eastAsia"/>
        </w:rPr>
        <w:t>深度分支直接从深度图中提取砖块几何候选。首先在设定的</w:t>
      </w:r>
      <w:r>
        <w:t xml:space="preserve"> ROI </w:t>
      </w:r>
      <w:r>
        <w:rPr>
          <w:rFonts w:hint="eastAsia"/>
        </w:rPr>
        <w:t>内估计基准平面或基准深度，并按照式</w:t>
      </w:r>
      <w:r>
        <w:t xml:space="preserve"> (4-2) </w:t>
      </w:r>
      <w:r>
        <w:rPr>
          <w:rFonts w:hint="eastAsia"/>
        </w:rPr>
        <w:t>构建高度图：</w:t>
      </w:r>
    </w:p>
    <w:p w14:paraId="1D2FF597">
      <w:pPr>
        <w:pStyle w:val="19"/>
      </w:pPr>
      <m:oMathPara>
        <m:oMathParaPr>
          <m:jc m:val="center"/>
        </m:oMathParaPr>
        <m:oMath>
          <m:r>
            <m:rPr/>
            <m:t>H</m:t>
          </m:r>
          <m:r>
            <m:rPr>
              <m:sty m:val="p"/>
            </m:rPr>
            <m:t>(</m:t>
          </m:r>
          <m:r>
            <m:rPr/>
            <m:t>u</m:t>
          </m:r>
          <m:r>
            <m:rPr>
              <m:sty m:val="p"/>
            </m:rPr>
            <m:t>,</m:t>
          </m:r>
          <m:r>
            <m:rPr/>
            <m:t>v</m:t>
          </m:r>
          <m:r>
            <m:rPr>
              <m:sty m:val="p"/>
            </m:rPr>
            <m:t>)=</m:t>
          </m:r>
          <m:sSub>
            <m:sSubPr/>
            <m:e>
              <m:r>
                <m:rPr/>
                <m:t>D</m:t>
              </m:r>
            </m:e>
            <m:sub>
              <m:r>
                <m:rPr/>
                <m:t>b</m:t>
              </m:r>
            </m:sub>
          </m:sSub>
          <m:r>
            <m:rPr>
              <m:sty m:val="p"/>
            </m:rPr>
            <m:t>−</m:t>
          </m:r>
          <m:r>
            <m:rPr/>
            <m:t>D</m:t>
          </m:r>
          <m:r>
            <m:rPr>
              <m:sty m:val="p"/>
            </m:rPr>
            <m:t>(</m:t>
          </m:r>
          <m:r>
            <m:rPr/>
            <m:t>u</m:t>
          </m:r>
          <m:r>
            <m:rPr>
              <m:sty m:val="p"/>
            </m:rPr>
            <m:t>,</m:t>
          </m:r>
          <m:r>
            <m:rPr/>
            <m:t>v</m:t>
          </m:r>
          <m:r>
            <m:rPr>
              <m:sty m:val="p"/>
            </m:rPr>
            <m:t>)</m:t>
          </m:r>
          <m:r>
            <m:rPr/>
            <m:t>  </m:t>
          </m:r>
          <m:r>
            <m:rPr>
              <m:nor/>
              <m:sty m:val="p"/>
            </m:rPr>
            <w:rPr>
              <w:b w:val="0"/>
              <w:i w:val="0"/>
            </w:rPr>
            <m:t>(4-2)</m:t>
          </m:r>
        </m:oMath>
      </m:oMathPara>
    </w:p>
    <w:p w14:paraId="74BF9155">
      <w:r>
        <w:rPr>
          <w:rFonts w:hint="eastAsia"/>
        </w:rPr>
        <w:t>其中</w:t>
      </w:r>
      <w:r>
        <w:t xml:space="preserve"> </w:t>
      </w:r>
      <m:oMath>
        <m:sSub>
          <m:sSubPr/>
          <m:e>
            <m:r>
              <m:rPr/>
              <m:t>D</m:t>
            </m:r>
          </m:e>
          <m:sub>
            <m:r>
              <m:rPr/>
              <m:t>b</m:t>
            </m:r>
          </m:sub>
        </m:sSub>
      </m:oMath>
      <w:r>
        <w:t xml:space="preserve"> </w:t>
      </w:r>
      <w:r>
        <w:rPr>
          <w:rFonts w:hint="eastAsia"/>
        </w:rPr>
        <w:t>表示工作台或背景平面的估计深度，</w:t>
      </w:r>
      <m:oMath>
        <m:r>
          <m:rPr/>
          <m:t>D</m:t>
        </m:r>
        <m:r>
          <m:rPr>
            <m:sty m:val="p"/>
          </m:rPr>
          <m:t>(</m:t>
        </m:r>
        <m:r>
          <m:rPr/>
          <m:t>u</m:t>
        </m:r>
        <m:r>
          <m:rPr>
            <m:sty m:val="p"/>
          </m:rPr>
          <m:t>,</m:t>
        </m:r>
        <m:r>
          <m:rPr/>
          <m:t>v</m:t>
        </m:r>
        <m:r>
          <m:rPr>
            <m:sty m:val="p"/>
          </m:rPr>
          <m:t>)</m:t>
        </m:r>
      </m:oMath>
      <w:r>
        <w:t xml:space="preserve"> </w:t>
      </w:r>
      <w:r>
        <w:rPr>
          <w:rFonts w:hint="eastAsia"/>
        </w:rPr>
        <w:t>表示当前像素深度。当砖块高于背景平面时，</w:t>
      </w:r>
      <m:oMath>
        <m:r>
          <m:rPr/>
          <m:t>H</m:t>
        </m:r>
        <m:r>
          <m:rPr>
            <m:sty m:val="p"/>
          </m:rPr>
          <m:t>(</m:t>
        </m:r>
        <m:r>
          <m:rPr/>
          <m:t>u</m:t>
        </m:r>
        <m:r>
          <m:rPr>
            <m:sty m:val="p"/>
          </m:rPr>
          <m:t>,</m:t>
        </m:r>
        <m:r>
          <m:rPr/>
          <m:t>v</m:t>
        </m:r>
        <m:r>
          <m:rPr>
            <m:sty m:val="p"/>
          </m:rPr>
          <m:t>)</m:t>
        </m:r>
      </m:oMath>
      <w:r>
        <w:t xml:space="preserve"> </w:t>
      </w:r>
      <w:r>
        <w:rPr>
          <w:rFonts w:hint="eastAsia"/>
        </w:rPr>
        <w:t>将形成明显前景区域。系统根据最小高度阈值和有效深度掩膜提取前景区域，并通过形态学开闭运算降低噪声影响。</w:t>
      </w:r>
    </w:p>
    <w:p w14:paraId="18B55D47">
      <w:pPr>
        <w:pStyle w:val="19"/>
      </w:pPr>
      <w:r>
        <w:rPr>
          <w:rFonts w:hint="eastAsia"/>
        </w:rPr>
        <w:t>随后，系统对前景掩膜进行连通域分割，并对每个区域拟合最小外接矩形。对于每个深度候选，系统计算区域面积、矩形长宽、矩形度、完整性、平面性、高度一致性和边界接触状态等几何特征。根据砖块已知尺寸先验，候选几何评分如式</w:t>
      </w:r>
      <w:r>
        <w:t xml:space="preserve"> (4-3) </w:t>
      </w:r>
      <w:r>
        <w:rPr>
          <w:rFonts w:hint="eastAsia"/>
        </w:rPr>
        <w:t>所示：</w:t>
      </w:r>
    </w:p>
    <w:p w14:paraId="2BDCC809">
      <w:pPr>
        <w:pStyle w:val="19"/>
      </w:pPr>
      <m:oMathPara>
        <m:oMathParaPr>
          <m:jc m:val="center"/>
        </m:oMathParaPr>
        <m:oMath>
          <m:sSub>
            <m:sSubPr/>
            <m:e>
              <m:r>
                <m:rPr/>
                <m:t>S</m:t>
              </m:r>
            </m:e>
            <m:sub>
              <m:r>
                <m:rPr/>
                <m:t>g</m:t>
              </m:r>
            </m:sub>
          </m:sSub>
          <m:r>
            <m:rPr>
              <m:sty m:val="p"/>
            </m:rPr>
            <m:t>=</m:t>
          </m:r>
          <m:sSub>
            <m:sSubPr/>
            <m:e>
              <m:r>
                <m:rPr/>
                <m:t>α</m:t>
              </m:r>
            </m:e>
            <m:sub>
              <m:r>
                <m:rPr/>
                <m:t>1</m:t>
              </m:r>
            </m:sub>
          </m:sSub>
          <m:sSub>
            <m:sSubPr/>
            <m:e>
              <m:r>
                <m:rPr/>
                <m:t>S</m:t>
              </m:r>
            </m:e>
            <m:sub>
              <m:r>
                <m:rPr/>
                <m:t>size</m:t>
              </m:r>
            </m:sub>
          </m:sSub>
          <m:r>
            <m:rPr>
              <m:sty m:val="p"/>
            </m:rPr>
            <m:t>+</m:t>
          </m:r>
          <m:sSub>
            <m:sSubPr/>
            <m:e>
              <m:r>
                <m:rPr/>
                <m:t>α</m:t>
              </m:r>
            </m:e>
            <m:sub>
              <m:r>
                <m:rPr/>
                <m:t>2</m:t>
              </m:r>
            </m:sub>
          </m:sSub>
          <m:sSub>
            <m:sSubPr/>
            <m:e>
              <m:r>
                <m:rPr/>
                <m:t>S</m:t>
              </m:r>
            </m:e>
            <m:sub>
              <m:r>
                <m:rPr/>
                <m:t>rect</m:t>
              </m:r>
            </m:sub>
          </m:sSub>
          <m:r>
            <m:rPr>
              <m:sty m:val="p"/>
            </m:rPr>
            <m:t>+</m:t>
          </m:r>
          <m:sSub>
            <m:sSubPr/>
            <m:e>
              <m:r>
                <m:rPr/>
                <m:t>α</m:t>
              </m:r>
            </m:e>
            <m:sub>
              <m:r>
                <m:rPr/>
                <m:t>3</m:t>
              </m:r>
            </m:sub>
          </m:sSub>
          <m:sSub>
            <m:sSubPr/>
            <m:e>
              <m:r>
                <m:rPr/>
                <m:t>S</m:t>
              </m:r>
            </m:e>
            <m:sub>
              <m:r>
                <m:rPr/>
                <m:t>plane</m:t>
              </m:r>
            </m:sub>
          </m:sSub>
          <m:r>
            <m:rPr>
              <m:sty m:val="p"/>
            </m:rPr>
            <m:t>+</m:t>
          </m:r>
          <m:sSub>
            <m:sSubPr/>
            <m:e>
              <m:r>
                <m:rPr/>
                <m:t>α</m:t>
              </m:r>
            </m:e>
            <m:sub>
              <m:r>
                <m:rPr/>
                <m:t>4</m:t>
              </m:r>
            </m:sub>
          </m:sSub>
          <m:sSub>
            <m:sSubPr/>
            <m:e>
              <m:r>
                <m:rPr/>
                <m:t>S</m:t>
              </m:r>
            </m:e>
            <m:sub>
              <m:r>
                <m:rPr/>
                <m:t>comp</m:t>
              </m:r>
            </m:sub>
          </m:sSub>
          <m:r>
            <m:rPr>
              <m:sty m:val="p"/>
            </m:rPr>
            <m:t>+</m:t>
          </m:r>
          <m:sSub>
            <m:sSubPr/>
            <m:e>
              <m:r>
                <m:rPr/>
                <m:t>α</m:t>
              </m:r>
            </m:e>
            <m:sub>
              <m:r>
                <m:rPr/>
                <m:t>5</m:t>
              </m:r>
            </m:sub>
          </m:sSub>
          <m:sSub>
            <m:sSubPr/>
            <m:e>
              <m:r>
                <m:rPr/>
                <m:t>S</m:t>
              </m:r>
            </m:e>
            <m:sub>
              <m:r>
                <m:rPr/>
                <m:t>height</m:t>
              </m:r>
            </m:sub>
          </m:sSub>
          <m:r>
            <m:rPr>
              <m:sty m:val="p"/>
            </m:rPr>
            <m:t>−</m:t>
          </m:r>
          <m:sSub>
            <m:sSubPr/>
            <m:e>
              <m:r>
                <m:rPr/>
                <m:t>P</m:t>
              </m:r>
            </m:e>
            <m:sub>
              <m:r>
                <m:rPr/>
                <m:t>border</m:t>
              </m:r>
            </m:sub>
          </m:sSub>
          <m:r>
            <m:rPr/>
            <m:t>  </m:t>
          </m:r>
          <m:r>
            <m:rPr>
              <m:nor/>
              <m:sty m:val="p"/>
            </m:rPr>
            <w:rPr>
              <w:b w:val="0"/>
              <w:i w:val="0"/>
            </w:rPr>
            <m:t>(4-3)</m:t>
          </m:r>
        </m:oMath>
      </m:oMathPara>
    </w:p>
    <w:p w14:paraId="5A22FEFF">
      <w:r>
        <w:rPr>
          <w:rFonts w:hint="eastAsia"/>
        </w:rPr>
        <w:t>其中</w:t>
      </w:r>
      <w:r>
        <w:t xml:space="preserve"> </w:t>
      </w:r>
      <m:oMath>
        <m:sSub>
          <m:sSubPr/>
          <m:e>
            <m:r>
              <m:rPr/>
              <m:t>S</m:t>
            </m:r>
          </m:e>
          <m:sub>
            <m:r>
              <m:rPr/>
              <m:t>size</m:t>
            </m:r>
          </m:sub>
        </m:sSub>
      </m:oMath>
      <w:r>
        <w:t xml:space="preserve"> </w:t>
      </w:r>
      <w:r>
        <w:rPr>
          <w:rFonts w:hint="eastAsia"/>
        </w:rPr>
        <w:t>表示尺寸匹配得分，</w:t>
      </w:r>
      <m:oMath>
        <m:sSub>
          <m:sSubPr/>
          <m:e>
            <m:r>
              <m:rPr/>
              <m:t>S</m:t>
            </m:r>
          </m:e>
          <m:sub>
            <m:r>
              <m:rPr/>
              <m:t>rect</m:t>
            </m:r>
          </m:sub>
        </m:sSub>
      </m:oMath>
      <w:r>
        <w:t xml:space="preserve"> </w:t>
      </w:r>
      <w:r>
        <w:rPr>
          <w:rFonts w:hint="eastAsia"/>
        </w:rPr>
        <w:t>表示矩形度得分，</w:t>
      </w:r>
      <m:oMath>
        <m:sSub>
          <m:sSubPr/>
          <m:e>
            <m:r>
              <m:rPr/>
              <m:t>S</m:t>
            </m:r>
          </m:e>
          <m:sub>
            <m:r>
              <m:rPr/>
              <m:t>plane</m:t>
            </m:r>
          </m:sub>
        </m:sSub>
      </m:oMath>
      <w:r>
        <w:t xml:space="preserve"> </w:t>
      </w:r>
      <w:r>
        <w:rPr>
          <w:rFonts w:hint="eastAsia"/>
        </w:rPr>
        <w:t>表示平面性得分，</w:t>
      </w:r>
      <m:oMath>
        <m:sSub>
          <m:sSubPr/>
          <m:e>
            <m:r>
              <m:rPr/>
              <m:t>S</m:t>
            </m:r>
          </m:e>
          <m:sub>
            <m:r>
              <m:rPr/>
              <m:t>comp</m:t>
            </m:r>
          </m:sub>
        </m:sSub>
      </m:oMath>
      <w:r>
        <w:t xml:space="preserve"> </w:t>
      </w:r>
      <w:r>
        <w:rPr>
          <w:rFonts w:hint="eastAsia"/>
        </w:rPr>
        <w:t>表示区域完整性得分，</w:t>
      </w:r>
      <m:oMath>
        <m:sSub>
          <m:sSubPr/>
          <m:e>
            <m:r>
              <m:rPr/>
              <m:t>S</m:t>
            </m:r>
          </m:e>
          <m:sub>
            <m:r>
              <m:rPr/>
              <m:t>height</m:t>
            </m:r>
          </m:sub>
        </m:sSub>
      </m:oMath>
      <w:r>
        <w:t xml:space="preserve"> </w:t>
      </w:r>
      <w:r>
        <w:rPr>
          <w:rFonts w:hint="eastAsia"/>
        </w:rPr>
        <w:t>表示砖块高度一致性得分，</w:t>
      </w:r>
      <m:oMath>
        <m:sSub>
          <m:sSubPr/>
          <m:e>
            <m:r>
              <m:rPr/>
              <m:t>P</m:t>
            </m:r>
          </m:e>
          <m:sub>
            <m:r>
              <m:rPr/>
              <m:t>border</m:t>
            </m:r>
          </m:sub>
        </m:sSub>
      </m:oMath>
      <w:r>
        <w:t xml:space="preserve"> </w:t>
      </w:r>
      <w:r>
        <w:rPr>
          <w:rFonts w:hint="eastAsia"/>
        </w:rPr>
        <w:t>表示候选区域接触</w:t>
      </w:r>
      <w:r>
        <w:t xml:space="preserve"> ROI </w:t>
      </w:r>
      <w:r>
        <w:rPr>
          <w:rFonts w:hint="eastAsia"/>
        </w:rPr>
        <w:t>或图像边界时引入的惩罚项。当前工程实现中，上述权重采用经验参数，用于综合尺寸匹配、矩形度、平面性、完整性、高度一致性和边界接触惩罚；本文现阶段不将其作为最优参数结论，后续将通过参数敏感性实验进一步优化。最终按几何评分和抓取优先级对深度候选排序，获得深度候选列表。</w:t>
      </w:r>
    </w:p>
    <w:p w14:paraId="18BDD8E2">
      <w:pPr>
        <w:pStyle w:val="19"/>
        <w:spacing w:before="40" w:after="120"/>
        <w:ind w:firstLine="0"/>
        <w:jc w:val="center"/>
      </w:pPr>
      <w:r>
        <w:rPr>
          <w:rFonts w:hint="eastAsia" w:ascii="Times New Roman" w:hAnsi="Times New Roman" w:eastAsia="宋体" w:cs="Times New Roman"/>
          <w:b/>
          <w:color w:val="000000"/>
          <w:sz w:val="19"/>
        </w:rPr>
        <w:t>图</w:t>
      </w:r>
      <w:r>
        <w:rPr>
          <w:rFonts w:ascii="Times New Roman" w:hAnsi="Times New Roman" w:eastAsia="宋体" w:cs="Times New Roman"/>
          <w:b/>
          <w:color w:val="000000"/>
          <w:sz w:val="19"/>
        </w:rPr>
        <w:t xml:space="preserve"> 3 </w:t>
      </w:r>
      <w:r>
        <w:rPr>
          <w:rFonts w:hint="eastAsia" w:ascii="Times New Roman" w:hAnsi="Times New Roman" w:eastAsia="宋体" w:cs="Times New Roman"/>
          <w:b/>
          <w:color w:val="000000"/>
          <w:sz w:val="19"/>
        </w:rPr>
        <w:t>展示了深度几何处理过程，包括原始深度图、高度图可视化、前景提取与形态学处理，以及矩形拟合和深度候选输出。该过程对应当前代码中的高度图构建、前景区域提取、连通域分割、矩形拟合和候选评分步骤。</w:t>
      </w:r>
    </w:p>
    <w:p w14:paraId="0A816B3D">
      <w:pPr>
        <w:pStyle w:val="19"/>
        <w:spacing w:before="120" w:after="40"/>
        <w:ind w:firstLine="0"/>
        <w:jc w:val="center"/>
      </w:pPr>
      <w:r>
        <w:drawing>
          <wp:inline distT="0" distB="0" distL="114300" distR="114300">
            <wp:extent cx="5471795" cy="397573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9"/>
                    <a:stretch>
                      <a:fillRect/>
                    </a:stretch>
                  </pic:blipFill>
                  <pic:spPr>
                    <a:xfrm>
                      <a:off x="0" y="0"/>
                      <a:ext cx="5471999" cy="3976319"/>
                    </a:xfrm>
                    <a:prstGeom prst="rect">
                      <a:avLst/>
                    </a:prstGeom>
                    <a:noFill/>
                    <a:ln w="9525">
                      <a:noFill/>
                    </a:ln>
                  </pic:spPr>
                </pic:pic>
              </a:graphicData>
            </a:graphic>
          </wp:inline>
        </w:drawing>
      </w:r>
    </w:p>
    <w:p w14:paraId="611D8254">
      <w:pPr>
        <w:pStyle w:val="19"/>
        <w:spacing w:before="40" w:after="120"/>
        <w:ind w:firstLine="0"/>
        <w:jc w:val="center"/>
      </w:pPr>
      <w:r>
        <w:rPr>
          <w:rFonts w:hint="eastAsia" w:ascii="Times New Roman" w:hAnsi="Times New Roman" w:eastAsia="宋体" w:cs="Times New Roman"/>
          <w:b/>
          <w:bCs/>
          <w:color w:val="000000"/>
          <w:sz w:val="19"/>
        </w:rPr>
        <w:t>图</w:t>
      </w:r>
      <w:r>
        <w:rPr>
          <w:rFonts w:ascii="Times New Roman" w:hAnsi="Times New Roman" w:eastAsia="宋体" w:cs="Times New Roman"/>
          <w:b/>
          <w:bCs/>
          <w:color w:val="000000"/>
          <w:sz w:val="19"/>
        </w:rPr>
        <w:t xml:space="preserve"> 3 </w:t>
      </w:r>
      <w:r>
        <w:rPr>
          <w:rFonts w:hint="eastAsia" w:ascii="Times New Roman" w:hAnsi="Times New Roman" w:eastAsia="宋体" w:cs="Times New Roman"/>
          <w:b/>
          <w:bCs/>
          <w:color w:val="000000"/>
          <w:sz w:val="19"/>
        </w:rPr>
        <w:t>深度几何处理过程示例：(a)</w:t>
      </w:r>
      <w:r>
        <w:rPr>
          <w:rFonts w:ascii="Times New Roman" w:hAnsi="Times New Roman" w:eastAsia="宋体" w:cs="Times New Roman"/>
          <w:b/>
          <w:bCs/>
          <w:color w:val="000000"/>
          <w:sz w:val="19"/>
        </w:rPr>
        <w:t xml:space="preserve"> </w:t>
      </w:r>
      <w:r>
        <w:rPr>
          <w:rFonts w:hint="eastAsia" w:ascii="Times New Roman" w:hAnsi="Times New Roman" w:eastAsia="宋体" w:cs="Times New Roman"/>
          <w:b/>
          <w:bCs/>
          <w:color w:val="000000"/>
          <w:sz w:val="19"/>
        </w:rPr>
        <w:t>输入原始深度图；(b)</w:t>
      </w:r>
      <w:r>
        <w:rPr>
          <w:rFonts w:ascii="Times New Roman" w:hAnsi="Times New Roman" w:eastAsia="宋体" w:cs="Times New Roman"/>
          <w:b/>
          <w:bCs/>
          <w:color w:val="000000"/>
          <w:sz w:val="19"/>
        </w:rPr>
        <w:t xml:space="preserve"> </w:t>
      </w:r>
      <w:r>
        <w:rPr>
          <w:rFonts w:hint="eastAsia" w:ascii="Times New Roman" w:hAnsi="Times New Roman" w:eastAsia="宋体" w:cs="Times New Roman"/>
          <w:b/>
          <w:bCs/>
          <w:color w:val="000000"/>
          <w:sz w:val="19"/>
        </w:rPr>
        <w:t>高度图可视化结果；(c)</w:t>
      </w:r>
      <w:r>
        <w:rPr>
          <w:rFonts w:ascii="Times New Roman" w:hAnsi="Times New Roman" w:eastAsia="宋体" w:cs="Times New Roman"/>
          <w:b/>
          <w:bCs/>
          <w:color w:val="000000"/>
          <w:sz w:val="19"/>
        </w:rPr>
        <w:t xml:space="preserve"> </w:t>
      </w:r>
      <w:r>
        <w:rPr>
          <w:rFonts w:hint="eastAsia" w:ascii="Times New Roman" w:hAnsi="Times New Roman" w:eastAsia="宋体" w:cs="Times New Roman"/>
          <w:b/>
          <w:bCs/>
          <w:color w:val="000000"/>
          <w:sz w:val="19"/>
        </w:rPr>
        <w:t>前景提取与形态学处理结果；(d)</w:t>
      </w:r>
      <w:r>
        <w:rPr>
          <w:rFonts w:ascii="Times New Roman" w:hAnsi="Times New Roman" w:eastAsia="宋体" w:cs="Times New Roman"/>
          <w:b/>
          <w:bCs/>
          <w:color w:val="000000"/>
          <w:sz w:val="19"/>
        </w:rPr>
        <w:t xml:space="preserve"> </w:t>
      </w:r>
      <w:r>
        <w:rPr>
          <w:rFonts w:hint="eastAsia" w:ascii="Times New Roman" w:hAnsi="Times New Roman" w:eastAsia="宋体" w:cs="Times New Roman"/>
          <w:b/>
          <w:bCs/>
          <w:color w:val="000000"/>
          <w:sz w:val="19"/>
        </w:rPr>
        <w:t>矩形拟合与深度候选输出。</w:t>
      </w:r>
    </w:p>
    <w:p w14:paraId="79967D1E">
      <w:pPr>
        <w:pStyle w:val="19"/>
      </w:pPr>
      <w:r>
        <w:rPr>
          <w:rFonts w:hint="eastAsia"/>
        </w:rPr>
        <w:t>与</w:t>
      </w:r>
      <w:r>
        <w:t xml:space="preserve"> RGB </w:t>
      </w:r>
      <w:r>
        <w:rPr>
          <w:rFonts w:hint="eastAsia"/>
        </w:rPr>
        <w:t>分支相比，深度几何分支不依赖颜色和纹理，能够更直接地反映砖块在三维空间中的突出区域和几何形状。其不足是当深度图缺失、反光、噪声较大或</w:t>
      </w:r>
      <w:r>
        <w:t xml:space="preserve"> ROI </w:t>
      </w:r>
      <w:r>
        <w:rPr>
          <w:rFonts w:hint="eastAsia"/>
        </w:rPr>
        <w:t>参数不合适时，可能出现深度前景断裂或误分割。</w:t>
      </w:r>
    </w:p>
    <w:bookmarkEnd w:id="12"/>
    <w:p w14:paraId="0D74ECB6">
      <w:pPr>
        <w:pStyle w:val="5"/>
      </w:pPr>
      <w:bookmarkStart w:id="13" w:name="rgb-d-候选匹配"/>
      <w:r>
        <w:t xml:space="preserve">4.3 RGB-D </w:t>
      </w:r>
      <w:r>
        <w:rPr>
          <w:rFonts w:hint="eastAsia"/>
        </w:rPr>
        <w:t>候选匹配</w:t>
      </w:r>
    </w:p>
    <w:p w14:paraId="4F5A74D0">
      <w:r>
        <w:rPr>
          <w:rFonts w:hint="eastAsia"/>
        </w:rPr>
        <w:t>为了判断</w:t>
      </w:r>
      <w:r>
        <w:t xml:space="preserve"> RGB </w:t>
      </w:r>
      <w:r>
        <w:rPr>
          <w:rFonts w:hint="eastAsia"/>
        </w:rPr>
        <w:t>候选与深度候选是否对应同一块砖，本文从中心距离、角度差、掩膜重叠和深度差四个方面进行一致性匹配。设</w:t>
      </w:r>
      <w:r>
        <w:t xml:space="preserve"> RGB </w:t>
      </w:r>
      <w:r>
        <w:rPr>
          <w:rFonts w:hint="eastAsia"/>
        </w:rPr>
        <w:t>候选为</w:t>
      </w:r>
      <w:r>
        <w:t xml:space="preserve"> </w:t>
      </w:r>
      <m:oMath>
        <m:sSub>
          <m:sSubPr/>
          <m:e>
            <m:r>
              <m:rPr/>
              <m:t>c</m:t>
            </m:r>
          </m:e>
          <m:sub>
            <m:r>
              <m:rPr/>
              <m:t>r</m:t>
            </m:r>
          </m:sub>
        </m:sSub>
      </m:oMath>
      <w:r>
        <w:rPr>
          <w:rFonts w:hint="eastAsia"/>
        </w:rPr>
        <w:t>，深度候选为</w:t>
      </w:r>
      <w:r>
        <w:t xml:space="preserve"> </w:t>
      </w:r>
      <m:oMath>
        <m:sSub>
          <m:sSubPr/>
          <m:e>
            <m:r>
              <m:rPr/>
              <m:t>c</m:t>
            </m:r>
          </m:e>
          <m:sub>
            <m:r>
              <m:rPr/>
              <m:t>d</m:t>
            </m:r>
          </m:sub>
        </m:sSub>
      </m:oMath>
      <w:r>
        <w:rPr>
          <w:rFonts w:hint="eastAsia"/>
        </w:rPr>
        <w:t>，当二者满足式</w:t>
      </w:r>
      <w:r>
        <w:t xml:space="preserve"> (4-4) </w:t>
      </w:r>
      <w:r>
        <w:rPr>
          <w:rFonts w:hint="eastAsia"/>
        </w:rPr>
        <w:t>至式</w:t>
      </w:r>
      <w:r>
        <w:t xml:space="preserve"> (4-7) </w:t>
      </w:r>
      <w:r>
        <w:rPr>
          <w:rFonts w:hint="eastAsia"/>
        </w:rPr>
        <w:t>的条件时认为匹配成功：</w:t>
      </w:r>
    </w:p>
    <w:p w14:paraId="123DF9C2">
      <w:pPr>
        <w:pStyle w:val="19"/>
      </w:pPr>
      <m:oMathPara>
        <m:oMathParaPr>
          <m:jc m:val="center"/>
        </m:oMathParaPr>
        <m:oMath>
          <m:r>
            <m:rPr>
              <m:sty m:val="p"/>
            </m:rPr>
            <m:t>∥</m:t>
          </m:r>
          <m:sSub>
            <m:sSubPr/>
            <m:e>
              <m:r>
                <m:rPr/>
                <m:t>p</m:t>
              </m:r>
            </m:e>
            <m:sub>
              <m:r>
                <m:rPr/>
                <m:t>r</m:t>
              </m:r>
            </m:sub>
          </m:sSub>
          <m:r>
            <m:rPr>
              <m:sty m:val="p"/>
            </m:rPr>
            <m:t>−</m:t>
          </m:r>
          <m:sSub>
            <m:sSubPr/>
            <m:e>
              <m:r>
                <m:rPr/>
                <m:t>p</m:t>
              </m:r>
            </m:e>
            <m:sub>
              <m:r>
                <m:rPr/>
                <m:t>d</m:t>
              </m:r>
            </m:sub>
          </m:sSub>
          <m:sSub>
            <m:sSubPr/>
            <m:e>
              <m:r>
                <m:rPr>
                  <m:sty m:val="p"/>
                </m:rPr>
                <m:t>∥</m:t>
              </m:r>
            </m:e>
            <m:sub>
              <m:r>
                <m:rPr/>
                <m:t>2</m:t>
              </m:r>
            </m:sub>
          </m:sSub>
          <m:r>
            <m:rPr>
              <m:sty m:val="p"/>
            </m:rPr>
            <m:t>≤</m:t>
          </m:r>
          <m:sSub>
            <m:sSubPr/>
            <m:e>
              <m:r>
                <m:rPr/>
                <m:t>τ</m:t>
              </m:r>
            </m:e>
            <m:sub>
              <m:r>
                <m:rPr/>
                <m:t>p</m:t>
              </m:r>
            </m:sub>
          </m:sSub>
          <m:r>
            <m:rPr/>
            <m:t>  </m:t>
          </m:r>
          <m:r>
            <m:rPr>
              <m:nor/>
              <m:sty m:val="p"/>
            </m:rPr>
            <w:rPr>
              <w:b w:val="0"/>
              <w:i w:val="0"/>
            </w:rPr>
            <m:t>(4-4)</m:t>
          </m:r>
        </m:oMath>
      </m:oMathPara>
    </w:p>
    <w:p w14:paraId="57C07F1F">
      <m:oMathPara>
        <m:oMathParaPr>
          <m:jc m:val="center"/>
        </m:oMathParaPr>
        <m:oMath>
          <m:r>
            <m:rPr>
              <m:sty m:val="p"/>
            </m:rPr>
            <m:t>Δ</m:t>
          </m:r>
          <m:r>
            <m:rPr/>
            <m:t>θ</m:t>
          </m:r>
          <m:r>
            <m:rPr>
              <m:sty m:val="p"/>
            </m:rPr>
            <m:t>(</m:t>
          </m:r>
          <m:sSub>
            <m:sSubPr/>
            <m:e>
              <m:r>
                <m:rPr/>
                <m:t>c</m:t>
              </m:r>
            </m:e>
            <m:sub>
              <m:r>
                <m:rPr/>
                <m:t>r</m:t>
              </m:r>
            </m:sub>
          </m:sSub>
          <m:r>
            <m:rPr>
              <m:sty m:val="p"/>
            </m:rPr>
            <m:t>,</m:t>
          </m:r>
          <m:sSub>
            <m:sSubPr/>
            <m:e>
              <m:r>
                <m:rPr/>
                <m:t>c</m:t>
              </m:r>
            </m:e>
            <m:sub>
              <m:r>
                <m:rPr/>
                <m:t>d</m:t>
              </m:r>
            </m:sub>
          </m:sSub>
          <m:r>
            <m:rPr>
              <m:sty m:val="p"/>
            </m:rPr>
            <m:t>)≤</m:t>
          </m:r>
          <m:sSub>
            <m:sSubPr/>
            <m:e>
              <m:r>
                <m:rPr/>
                <m:t>τ</m:t>
              </m:r>
            </m:e>
            <m:sub>
              <m:r>
                <m:rPr/>
                <m:t>θ</m:t>
              </m:r>
            </m:sub>
          </m:sSub>
          <m:r>
            <m:rPr/>
            <m:t>  </m:t>
          </m:r>
          <m:r>
            <m:rPr>
              <m:nor/>
              <m:sty m:val="p"/>
            </m:rPr>
            <w:rPr>
              <w:b w:val="0"/>
              <w:i w:val="0"/>
            </w:rPr>
            <m:t>(4-5)</m:t>
          </m:r>
        </m:oMath>
      </m:oMathPara>
    </w:p>
    <w:p w14:paraId="4AD468A8">
      <m:oMathPara>
        <m:oMathParaPr>
          <m:jc m:val="center"/>
        </m:oMathParaPr>
        <m:oMath>
          <m:r>
            <m:rPr/>
            <m:t>IoU</m:t>
          </m:r>
          <m:r>
            <m:rPr>
              <m:sty m:val="p"/>
            </m:rPr>
            <m:t>(</m:t>
          </m:r>
          <m:sSub>
            <m:sSubPr/>
            <m:e>
              <m:r>
                <m:rPr/>
                <m:t>M</m:t>
              </m:r>
            </m:e>
            <m:sub>
              <m:r>
                <m:rPr/>
                <m:t>r</m:t>
              </m:r>
            </m:sub>
          </m:sSub>
          <m:r>
            <m:rPr>
              <m:sty m:val="p"/>
            </m:rPr>
            <m:t>,</m:t>
          </m:r>
          <m:sSub>
            <m:sSubPr/>
            <m:e>
              <m:r>
                <m:rPr/>
                <m:t>M</m:t>
              </m:r>
            </m:e>
            <m:sub>
              <m:r>
                <m:rPr/>
                <m:t>d</m:t>
              </m:r>
            </m:sub>
          </m:sSub>
          <m:r>
            <m:rPr>
              <m:sty m:val="p"/>
            </m:rPr>
            <m:t>)≥</m:t>
          </m:r>
          <m:sSub>
            <m:sSubPr/>
            <m:e>
              <m:r>
                <m:rPr/>
                <m:t>τ</m:t>
              </m:r>
            </m:e>
            <m:sub>
              <m:r>
                <m:rPr/>
                <m:t>iou</m:t>
              </m:r>
            </m:sub>
          </m:sSub>
          <m:r>
            <m:rPr/>
            <m:t>  </m:t>
          </m:r>
          <m:r>
            <m:rPr>
              <m:nor/>
              <m:sty m:val="p"/>
            </m:rPr>
            <w:rPr>
              <w:b w:val="0"/>
              <w:i w:val="0"/>
            </w:rPr>
            <m:t>(4-6)</m:t>
          </m:r>
        </m:oMath>
      </m:oMathPara>
    </w:p>
    <w:p w14:paraId="4FC2BA1F">
      <m:oMathPara>
        <m:oMathParaPr>
          <m:jc m:val="center"/>
        </m:oMathParaPr>
        <m:oMath>
          <m:r>
            <m:rPr>
              <m:sty m:val="p"/>
            </m:rPr>
            <m:t>|</m:t>
          </m:r>
          <m:sSub>
            <m:sSubPr/>
            <m:e>
              <m:r>
                <m:rPr/>
                <m:t>z</m:t>
              </m:r>
            </m:e>
            <m:sub>
              <m:r>
                <m:rPr/>
                <m:t>r</m:t>
              </m:r>
            </m:sub>
          </m:sSub>
          <m:r>
            <m:rPr>
              <m:sty m:val="p"/>
            </m:rPr>
            <m:t>−</m:t>
          </m:r>
          <m:sSub>
            <m:sSubPr/>
            <m:e>
              <m:r>
                <m:rPr/>
                <m:t>z</m:t>
              </m:r>
            </m:e>
            <m:sub>
              <m:r>
                <m:rPr/>
                <m:t>d</m:t>
              </m:r>
            </m:sub>
          </m:sSub>
          <m:r>
            <m:rPr>
              <m:sty m:val="p"/>
            </m:rPr>
            <m:t>|≤</m:t>
          </m:r>
          <m:sSub>
            <m:sSubPr/>
            <m:e>
              <m:r>
                <m:rPr/>
                <m:t>τ</m:t>
              </m:r>
            </m:e>
            <m:sub>
              <m:r>
                <m:rPr/>
                <m:t>z</m:t>
              </m:r>
            </m:sub>
          </m:sSub>
          <m:r>
            <m:rPr/>
            <m:t>  </m:t>
          </m:r>
          <m:r>
            <m:rPr>
              <m:nor/>
              <m:sty m:val="p"/>
            </m:rPr>
            <w:rPr>
              <w:b w:val="0"/>
              <w:i w:val="0"/>
            </w:rPr>
            <m:t>(4-7)</m:t>
          </m:r>
        </m:oMath>
      </m:oMathPara>
    </w:p>
    <w:p w14:paraId="4B97B609">
      <w:r>
        <w:rPr>
          <w:rFonts w:hint="eastAsia"/>
        </w:rPr>
        <w:t>其中</w:t>
      </w:r>
      <w:r>
        <w:t xml:space="preserve"> </w:t>
      </w:r>
      <m:oMath>
        <m:sSub>
          <m:sSubPr/>
          <m:e>
            <m:r>
              <m:rPr/>
              <m:t>p</m:t>
            </m:r>
          </m:e>
          <m:sub>
            <m:r>
              <m:rPr/>
              <m:t>r</m:t>
            </m:r>
          </m:sub>
        </m:sSub>
        <m:r>
          <m:rPr>
            <m:sty m:val="p"/>
          </m:rPr>
          <m:t>,</m:t>
        </m:r>
        <m:sSub>
          <m:sSubPr/>
          <m:e>
            <m:r>
              <m:rPr/>
              <m:t>p</m:t>
            </m:r>
          </m:e>
          <m:sub>
            <m:r>
              <m:rPr/>
              <m:t>d</m:t>
            </m:r>
          </m:sub>
        </m:sSub>
      </m:oMath>
      <w:r>
        <w:t xml:space="preserve"> </w:t>
      </w:r>
      <w:r>
        <w:rPr>
          <w:rFonts w:hint="eastAsia"/>
        </w:rPr>
        <w:t>为两个候选的像素中心，</w:t>
      </w:r>
      <m:oMath>
        <m:sSub>
          <m:sSubPr/>
          <m:e>
            <m:r>
              <m:rPr/>
              <m:t>τ</m:t>
            </m:r>
          </m:e>
          <m:sub>
            <m:r>
              <m:rPr/>
              <m:t>p</m:t>
            </m:r>
          </m:sub>
        </m:sSub>
        <m:r>
          <m:rPr>
            <m:sty m:val="p"/>
          </m:rPr>
          <m:t>,</m:t>
        </m:r>
        <m:sSub>
          <m:sSubPr/>
          <m:e>
            <m:r>
              <m:rPr/>
              <m:t>τ</m:t>
            </m:r>
          </m:e>
          <m:sub>
            <m:r>
              <m:rPr/>
              <m:t>θ</m:t>
            </m:r>
          </m:sub>
        </m:sSub>
        <m:r>
          <m:rPr>
            <m:sty m:val="p"/>
          </m:rPr>
          <m:t>,</m:t>
        </m:r>
        <m:sSub>
          <m:sSubPr/>
          <m:e>
            <m:r>
              <m:rPr/>
              <m:t>τ</m:t>
            </m:r>
          </m:e>
          <m:sub>
            <m:r>
              <m:rPr/>
              <m:t>iou</m:t>
            </m:r>
          </m:sub>
        </m:sSub>
        <m:r>
          <m:rPr>
            <m:sty m:val="p"/>
          </m:rPr>
          <m:t>,</m:t>
        </m:r>
        <m:sSub>
          <m:sSubPr/>
          <m:e>
            <m:r>
              <m:rPr/>
              <m:t>τ</m:t>
            </m:r>
          </m:e>
          <m:sub>
            <m:r>
              <m:rPr/>
              <m:t>z</m:t>
            </m:r>
          </m:sub>
        </m:sSub>
      </m:oMath>
      <w:r>
        <w:t xml:space="preserve"> </w:t>
      </w:r>
      <w:r>
        <w:rPr>
          <w:rFonts w:hint="eastAsia"/>
        </w:rPr>
        <w:t>分别为中心距离、角度、重叠度和深度差阈值。实际运行时，并非每一项在所有场景中都可用。例如，当</w:t>
      </w:r>
      <w:r>
        <w:t xml:space="preserve"> RGB </w:t>
      </w:r>
      <w:r>
        <w:rPr>
          <w:rFonts w:hint="eastAsia"/>
        </w:rPr>
        <w:t>候选有效但深度候选缺失时，系统仍允许</w:t>
      </w:r>
      <w:r>
        <w:t xml:space="preserve"> RGB </w:t>
      </w:r>
      <w:r>
        <w:rPr>
          <w:rFonts w:hint="eastAsia"/>
        </w:rPr>
        <w:t>回退；当</w:t>
      </w:r>
      <w:r>
        <w:t xml:space="preserve"> RGB </w:t>
      </w:r>
      <w:r>
        <w:rPr>
          <w:rFonts w:hint="eastAsia"/>
        </w:rPr>
        <w:t>候选质量较低但深度候选几何评分较高时，系统可以选择深度候选作为主抓取目标。</w:t>
      </w:r>
    </w:p>
    <w:bookmarkEnd w:id="13"/>
    <w:p w14:paraId="748AF54C">
      <w:pPr>
        <w:pStyle w:val="5"/>
      </w:pPr>
      <w:bookmarkStart w:id="14" w:name="深度优先与-rgb-回退决策"/>
      <w:r>
        <w:t xml:space="preserve">4.4 </w:t>
      </w:r>
      <w:r>
        <w:rPr>
          <w:rFonts w:hint="eastAsia"/>
        </w:rPr>
        <w:t>深度优先与</w:t>
      </w:r>
      <w:r>
        <w:t xml:space="preserve"> RGB </w:t>
      </w:r>
      <w:r>
        <w:rPr>
          <w:rFonts w:hint="eastAsia"/>
        </w:rPr>
        <w:t>回退决策</w:t>
      </w:r>
    </w:p>
    <w:p w14:paraId="74B7C020">
      <w:r>
        <w:rPr>
          <w:rFonts w:hint="eastAsia"/>
        </w:rPr>
        <w:t>本文采用深度优先、RGB</w:t>
      </w:r>
      <w:r>
        <w:t xml:space="preserve"> </w:t>
      </w:r>
      <w:r>
        <w:rPr>
          <w:rFonts w:hint="eastAsia"/>
        </w:rPr>
        <w:t>回退的决策策略。其基本思想是：对于规则砖块目标，可信的深度几何结果通常比单纯</w:t>
      </w:r>
      <w:r>
        <w:t xml:space="preserve"> RGB </w:t>
      </w:r>
      <w:r>
        <w:rPr>
          <w:rFonts w:hint="eastAsia"/>
        </w:rPr>
        <w:t>掩膜更能反映实际空间位置；但深度图也可能因采集噪声或局部缺失而不可用，因此系统必须保留</w:t>
      </w:r>
      <w:r>
        <w:t xml:space="preserve"> RGB </w:t>
      </w:r>
      <w:r>
        <w:rPr>
          <w:rFonts w:hint="eastAsia"/>
        </w:rPr>
        <w:t>识别能力。</w:t>
      </w:r>
    </w:p>
    <w:p w14:paraId="48210658">
      <w:pPr>
        <w:pStyle w:val="19"/>
      </w:pPr>
      <w:r>
        <w:rPr>
          <w:rFonts w:hint="eastAsia"/>
        </w:rPr>
        <w:t>融合决策规则如下：</w:t>
      </w:r>
    </w:p>
    <w:p w14:paraId="79AE9F45">
      <w:pPr>
        <w:numPr>
          <w:ilvl w:val="0"/>
          <w:numId w:val="8"/>
        </w:numPr>
      </w:pPr>
      <w:r>
        <w:rPr>
          <w:rFonts w:hint="eastAsia"/>
        </w:rPr>
        <w:t>若深度候选存在且几何评分、尺寸、区域完整性等指标满足阈值，则优先选择深度候选。</w:t>
      </w:r>
    </w:p>
    <w:p w14:paraId="41013EAA">
      <w:pPr>
        <w:numPr>
          <w:ilvl w:val="0"/>
          <w:numId w:val="8"/>
        </w:numPr>
      </w:pPr>
      <w:r>
        <w:rPr>
          <w:rFonts w:hint="eastAsia"/>
        </w:rPr>
        <w:t>若深度候选与</w:t>
      </w:r>
      <w:r>
        <w:t xml:space="preserve"> RGB </w:t>
      </w:r>
      <w:r>
        <w:rPr>
          <w:rFonts w:hint="eastAsia"/>
        </w:rPr>
        <w:t>候选匹配，则记录</w:t>
      </w:r>
      <w:r>
        <w:t xml:space="preserve"> RGB-D </w:t>
      </w:r>
      <w:r>
        <w:rPr>
          <w:rFonts w:hint="eastAsia"/>
        </w:rPr>
        <w:t>一致性信息，用于提高结果可解释性。</w:t>
      </w:r>
    </w:p>
    <w:p w14:paraId="68016F3E">
      <w:pPr>
        <w:numPr>
          <w:ilvl w:val="0"/>
          <w:numId w:val="8"/>
        </w:numPr>
      </w:pPr>
      <w:r>
        <w:rPr>
          <w:rFonts w:hint="eastAsia"/>
        </w:rPr>
        <w:t>若深度候选可信但与</w:t>
      </w:r>
      <w:r>
        <w:t xml:space="preserve"> RGB </w:t>
      </w:r>
      <w:r>
        <w:rPr>
          <w:rFonts w:hint="eastAsia"/>
        </w:rPr>
        <w:t>候选不一致，则选择深度候选，同时记录</w:t>
      </w:r>
      <w:r>
        <w:t xml:space="preserve"> RGB mismatch </w:t>
      </w:r>
      <w:r>
        <w:rPr>
          <w:rFonts w:hint="eastAsia"/>
        </w:rPr>
        <w:t>警告，供离线复盘检查。</w:t>
      </w:r>
    </w:p>
    <w:p w14:paraId="748D55F6">
      <w:pPr>
        <w:numPr>
          <w:ilvl w:val="0"/>
          <w:numId w:val="8"/>
        </w:numPr>
      </w:pPr>
      <w:r>
        <w:rPr>
          <w:rFonts w:hint="eastAsia"/>
        </w:rPr>
        <w:t>若深度候选缺失或不可信，而</w:t>
      </w:r>
      <w:r>
        <w:t xml:space="preserve"> RGB </w:t>
      </w:r>
      <w:r>
        <w:rPr>
          <w:rFonts w:hint="eastAsia"/>
        </w:rPr>
        <w:t>候选有效，则回退到</w:t>
      </w:r>
      <w:r>
        <w:t xml:space="preserve"> RGB </w:t>
      </w:r>
      <w:r>
        <w:rPr>
          <w:rFonts w:hint="eastAsia"/>
        </w:rPr>
        <w:t>候选。</w:t>
      </w:r>
    </w:p>
    <w:p w14:paraId="2E532C71">
      <w:pPr>
        <w:numPr>
          <w:ilvl w:val="0"/>
          <w:numId w:val="8"/>
        </w:numPr>
      </w:pPr>
      <w:r>
        <w:rPr>
          <w:rFonts w:hint="eastAsia"/>
        </w:rPr>
        <w:t>若二者均无有效候选，则输出无抓取结果，并触发流程重试或人工复核。</w:t>
      </w:r>
    </w:p>
    <w:p w14:paraId="34F906DD">
      <w:r>
        <w:rPr>
          <w:rFonts w:hint="eastAsia"/>
        </w:rPr>
        <w:t>该策略避免了“RGB</w:t>
      </w:r>
      <w:r>
        <w:t xml:space="preserve"> </w:t>
      </w:r>
      <w:r>
        <w:rPr>
          <w:rFonts w:hint="eastAsia"/>
        </w:rPr>
        <w:t>结果始终优先”带来的误抓风险，也避免了“深度结果缺失时系统完全失败”的问题。对于工程应用而言，这种可解释的决策路径便于调试和参数优化。</w:t>
      </w:r>
    </w:p>
    <w:bookmarkEnd w:id="14"/>
    <w:p w14:paraId="27270E41">
      <w:pPr>
        <w:pStyle w:val="5"/>
      </w:pPr>
      <w:bookmarkStart w:id="15" w:name="二次定位与旋转补偿"/>
      <w:r>
        <w:t xml:space="preserve">4.5 </w:t>
      </w:r>
      <w:r>
        <w:rPr>
          <w:rFonts w:hint="eastAsia"/>
        </w:rPr>
        <w:t>二次定位与旋转补偿</w:t>
      </w:r>
    </w:p>
    <w:p w14:paraId="7F74FA45">
      <w:r>
        <w:rPr>
          <w:rFonts w:hint="eastAsia"/>
        </w:rPr>
        <w:t>在初次抓取后，系统将砖块放置到二次定位区域，并再次采集</w:t>
      </w:r>
      <w:r>
        <w:t xml:space="preserve"> RGB-D </w:t>
      </w:r>
      <w:r>
        <w:rPr>
          <w:rFonts w:hint="eastAsia"/>
        </w:rPr>
        <w:t>数据进行对位识别。二次定位阶段同样优先使用深度几何候选，并可在识别到目标角度后执行末端旋转补偿。为避免末端角度发生不必要的大幅翻转，系统按照式</w:t>
      </w:r>
      <w:r>
        <w:t xml:space="preserve"> (4-8) </w:t>
      </w:r>
      <w:r>
        <w:rPr>
          <w:rFonts w:hint="eastAsia"/>
        </w:rPr>
        <w:t>根据历史旋转量选择最短旋转增量：</w:t>
      </w:r>
    </w:p>
    <w:p w14:paraId="7E6E1212">
      <w:pPr>
        <w:pStyle w:val="19"/>
      </w:pPr>
      <m:oMathPara>
        <m:oMathParaPr>
          <m:jc m:val="center"/>
        </m:oMathParaPr>
        <m:oMath>
          <m:r>
            <m:rPr>
              <m:sty m:val="p"/>
            </m:rPr>
            <m:t>Δ</m:t>
          </m:r>
          <m:sSup>
            <m:sSupPr/>
            <m:e>
              <m:r>
                <m:rPr/>
                <m:t>θ</m:t>
              </m:r>
            </m:e>
            <m:sup>
              <m:r>
                <m:rPr>
                  <m:sty m:val="p"/>
                </m:rPr>
                <m:t>∗</m:t>
              </m:r>
            </m:sup>
          </m:sSup>
          <m:r>
            <m:rPr>
              <m:sty m:val="p"/>
            </m:rPr>
            <m:t>=arg</m:t>
          </m:r>
          <m:limLow>
            <m:limLowPr/>
            <m:e>
              <m:r>
                <m:rPr>
                  <m:sty m:val="p"/>
                </m:rPr>
                <m:t>min</m:t>
              </m:r>
            </m:e>
            <m:lim>
              <m:r>
                <m:rPr>
                  <m:sty m:val="p"/>
                </m:rPr>
                <m:t>Δ</m:t>
              </m:r>
              <m:r>
                <m:rPr/>
                <m:t>θ</m:t>
              </m:r>
            </m:lim>
          </m:limLow>
          <m:r>
            <m:rPr>
              <m:sty m:val="p"/>
            </m:rPr>
            <m:t>|Δ</m:t>
          </m:r>
          <m:r>
            <m:rPr/>
            <m:t>θ</m:t>
          </m:r>
          <m:r>
            <m:rPr>
              <m:sty m:val="p"/>
            </m:rPr>
            <m:t>−Δ</m:t>
          </m:r>
          <m:sSub>
            <m:sSubPr/>
            <m:e>
              <m:r>
                <m:rPr/>
                <m:t>θ</m:t>
              </m:r>
            </m:e>
            <m:sub>
              <m:r>
                <m:rPr/>
                <m:t>prev</m:t>
              </m:r>
            </m:sub>
          </m:sSub>
          <m:r>
            <m:rPr>
              <m:sty m:val="p"/>
            </m:rPr>
            <m:t>|</m:t>
          </m:r>
          <m:r>
            <m:rPr/>
            <m:t>  </m:t>
          </m:r>
          <m:r>
            <m:rPr>
              <m:nor/>
              <m:sty m:val="p"/>
            </m:rPr>
            <w:rPr>
              <w:b w:val="0"/>
              <w:i w:val="0"/>
            </w:rPr>
            <m:t>(4-8)</m:t>
          </m:r>
        </m:oMath>
      </m:oMathPara>
    </w:p>
    <w:p w14:paraId="0A544E75">
      <w:r>
        <w:rPr>
          <w:rFonts w:hint="eastAsia"/>
        </w:rPr>
        <w:t>当二次定位识别失败时，系统不会直接继续下降抓取，而是记录失败事件并回到主抓取流程重新识别。这种失败重试机制能够降低二次定位误差向后续放置动作传播的风险。</w:t>
      </w:r>
    </w:p>
    <w:bookmarkEnd w:id="10"/>
    <w:bookmarkEnd w:id="15"/>
    <w:p w14:paraId="69D305A8">
      <w:pPr>
        <w:pStyle w:val="4"/>
      </w:pPr>
      <w:bookmarkStart w:id="16" w:name="实验设计与当前进展"/>
      <w:r>
        <w:t xml:space="preserve">5 </w:t>
      </w:r>
      <w:r>
        <w:rPr>
          <w:rFonts w:hint="eastAsia"/>
        </w:rPr>
        <w:t>实验设计与当前进展</w:t>
      </w:r>
    </w:p>
    <w:p w14:paraId="5377F378">
      <w:pPr>
        <w:pStyle w:val="5"/>
      </w:pPr>
      <w:bookmarkStart w:id="17" w:name="当前已完成工作"/>
      <w:r>
        <w:t xml:space="preserve">5.1 </w:t>
      </w:r>
      <w:r>
        <w:rPr>
          <w:rFonts w:hint="eastAsia"/>
        </w:rPr>
        <w:t>当前已完成工作</w:t>
      </w:r>
    </w:p>
    <w:p w14:paraId="5BA51BE9">
      <w:r>
        <w:rPr>
          <w:rFonts w:hint="eastAsia"/>
        </w:rPr>
        <w:t>实验平台由</w:t>
      </w:r>
      <w:r>
        <w:t xml:space="preserve"> JAKA </w:t>
      </w:r>
      <w:r>
        <w:rPr>
          <w:rFonts w:hint="eastAsia"/>
        </w:rPr>
        <w:t>协作机器人、Mech-Eye</w:t>
      </w:r>
      <w:r>
        <w:t xml:space="preserve"> RGB-D </w:t>
      </w:r>
      <w:r>
        <w:rPr>
          <w:rFonts w:hint="eastAsia"/>
        </w:rPr>
        <w:t>工业相机、上位机软件和砖块抓取工作站组成。上位机运行</w:t>
      </w:r>
      <w:r>
        <w:t xml:space="preserve"> Python </w:t>
      </w:r>
      <w:r>
        <w:rPr>
          <w:rFonts w:hint="eastAsia"/>
        </w:rPr>
        <w:t>程序，集成</w:t>
      </w:r>
      <w:r>
        <w:t xml:space="preserve"> PyQt5 </w:t>
      </w:r>
      <w:r>
        <w:rPr>
          <w:rFonts w:hint="eastAsia"/>
        </w:rPr>
        <w:t>界面、ONNX</w:t>
      </w:r>
      <w:r>
        <w:t xml:space="preserve"> </w:t>
      </w:r>
      <w:r>
        <w:rPr>
          <w:rFonts w:hint="eastAsia"/>
        </w:rPr>
        <w:t>推理、深度图处理、机器人通信、流程控制和数据记录模块。视觉模型部署为</w:t>
      </w:r>
      <w:r>
        <w:t xml:space="preserve"> ONNX </w:t>
      </w:r>
      <w:r>
        <w:rPr>
          <w:rFonts w:hint="eastAsia"/>
        </w:rPr>
        <w:t>格式，深度几何模块直接处理相机输出深度图。机器人通过网络接口接收抓取和移动指令。</w:t>
      </w:r>
    </w:p>
    <w:p w14:paraId="313F5DD4">
      <w:pPr>
        <w:pStyle w:val="19"/>
      </w:pPr>
      <w:r>
        <w:rPr>
          <w:rFonts w:hint="eastAsia"/>
        </w:rPr>
        <w:t>当前已完成的工作包括：</w:t>
      </w:r>
    </w:p>
    <w:p w14:paraId="7DF61AF2">
      <w:pPr>
        <w:numPr>
          <w:ilvl w:val="0"/>
          <w:numId w:val="9"/>
        </w:numPr>
      </w:pPr>
      <w:r>
        <w:rPr>
          <w:rFonts w:hint="eastAsia"/>
        </w:rPr>
        <w:t>真实</w:t>
      </w:r>
      <w:r>
        <w:t xml:space="preserve"> JAKA </w:t>
      </w:r>
      <w:r>
        <w:rPr>
          <w:rFonts w:hint="eastAsia"/>
        </w:rPr>
        <w:t>协作机器人与</w:t>
      </w:r>
      <w:r>
        <w:t xml:space="preserve"> Mech-Eye RGB-D </w:t>
      </w:r>
      <w:r>
        <w:rPr>
          <w:rFonts w:hint="eastAsia"/>
        </w:rPr>
        <w:t>平台已接入。</w:t>
      </w:r>
    </w:p>
    <w:p w14:paraId="1F8D4101">
      <w:pPr>
        <w:numPr>
          <w:ilvl w:val="0"/>
          <w:numId w:val="9"/>
        </w:numPr>
      </w:pPr>
      <w:r>
        <w:t xml:space="preserve">RGB-D </w:t>
      </w:r>
      <w:r>
        <w:rPr>
          <w:rFonts w:hint="eastAsia"/>
        </w:rPr>
        <w:t>图像采集流程已打通，能够保存</w:t>
      </w:r>
      <w:r>
        <w:t xml:space="preserve"> RGB </w:t>
      </w:r>
      <w:r>
        <w:rPr>
          <w:rFonts w:hint="eastAsia"/>
        </w:rPr>
        <w:t>图像、深度图和显示结果。</w:t>
      </w:r>
    </w:p>
    <w:p w14:paraId="03C8819D">
      <w:pPr>
        <w:numPr>
          <w:ilvl w:val="0"/>
          <w:numId w:val="9"/>
        </w:numPr>
      </w:pPr>
      <w:r>
        <w:rPr>
          <w:rFonts w:hint="eastAsia"/>
        </w:rPr>
        <w:t>主抓取与二次定位阶段均可保存过程记录，包括候选信息、机器人位姿、流程节点和事件日志。</w:t>
      </w:r>
    </w:p>
    <w:p w14:paraId="1226FD18">
      <w:pPr>
        <w:numPr>
          <w:ilvl w:val="0"/>
          <w:numId w:val="9"/>
        </w:numPr>
      </w:pPr>
      <w:r>
        <w:rPr>
          <w:rFonts w:hint="eastAsia"/>
        </w:rPr>
        <w:t>已完成</w:t>
      </w:r>
      <w:r>
        <w:t xml:space="preserve"> 7 </w:t>
      </w:r>
      <w:r>
        <w:rPr>
          <w:rFonts w:hint="eastAsia"/>
        </w:rPr>
        <w:t>组完整抓取-二次定位闭环流程预实验。</w:t>
      </w:r>
    </w:p>
    <w:p w14:paraId="3CF56D9D">
      <w:pPr>
        <w:numPr>
          <w:ilvl w:val="0"/>
          <w:numId w:val="9"/>
        </w:numPr>
      </w:pPr>
      <w:r>
        <w:rPr>
          <w:rFonts w:hint="eastAsia"/>
        </w:rPr>
        <w:t>已实现离线复盘脚本，可输出分析图、summary</w:t>
      </w:r>
      <w:r>
        <w:t xml:space="preserve"> </w:t>
      </w:r>
      <w:r>
        <w:rPr>
          <w:rFonts w:hint="eastAsia"/>
        </w:rPr>
        <w:t>和待复核案例。</w:t>
      </w:r>
    </w:p>
    <w:p w14:paraId="7B2662F5">
      <w:r>
        <w:rPr>
          <w:rFonts w:hint="eastAsia"/>
        </w:rPr>
        <w:t>最新离线复盘已覆盖</w:t>
      </w:r>
      <w:r>
        <w:t xml:space="preserve"> 7 </w:t>
      </w:r>
      <w:r>
        <w:rPr>
          <w:rFonts w:hint="eastAsia"/>
        </w:rPr>
        <w:t>个砖块处理案例、14</w:t>
      </w:r>
      <w:r>
        <w:t xml:space="preserve"> </w:t>
      </w:r>
      <w:r>
        <w:rPr>
          <w:rFonts w:hint="eastAsia"/>
        </w:rPr>
        <w:t>条阶段记录，其中包括</w:t>
      </w:r>
      <w:r>
        <w:t xml:space="preserve"> runtime_consistent、review_needed </w:t>
      </w:r>
      <w:r>
        <w:rPr>
          <w:rFonts w:hint="eastAsia"/>
        </w:rPr>
        <w:t>和</w:t>
      </w:r>
      <w:r>
        <w:t xml:space="preserve"> offline_missing </w:t>
      </w:r>
      <w:r>
        <w:rPr>
          <w:rFonts w:hint="eastAsia"/>
        </w:rPr>
        <w:t>等状态。该结果仅说明系统已具备多阶段数据保存、运行态结果复核和失败案例定位能力，不作为最终识别性能或抓取成功率结论。</w:t>
      </w:r>
    </w:p>
    <w:p w14:paraId="674DE32D">
      <w:pPr>
        <w:pStyle w:val="19"/>
        <w:spacing w:before="40" w:after="120"/>
        <w:ind w:firstLine="0"/>
        <w:jc w:val="center"/>
      </w:pPr>
      <w:r>
        <w:rPr>
          <w:rFonts w:hint="eastAsia" w:ascii="Times New Roman" w:hAnsi="Times New Roman" w:eastAsia="宋体" w:cs="Times New Roman"/>
          <w:b/>
          <w:color w:val="000000"/>
          <w:sz w:val="19"/>
        </w:rPr>
        <w:t>图</w:t>
      </w:r>
      <w:r>
        <w:rPr>
          <w:rFonts w:ascii="Times New Roman" w:hAnsi="Times New Roman" w:eastAsia="宋体" w:cs="Times New Roman"/>
          <w:b/>
          <w:color w:val="000000"/>
          <w:sz w:val="19"/>
        </w:rPr>
        <w:t xml:space="preserve"> 4 </w:t>
      </w:r>
      <w:r>
        <w:rPr>
          <w:rFonts w:hint="eastAsia" w:ascii="Times New Roman" w:hAnsi="Times New Roman" w:eastAsia="宋体" w:cs="Times New Roman"/>
          <w:b/>
          <w:color w:val="000000"/>
          <w:sz w:val="19"/>
        </w:rPr>
        <w:t>和图</w:t>
      </w:r>
      <w:r>
        <w:rPr>
          <w:rFonts w:ascii="Times New Roman" w:hAnsi="Times New Roman" w:eastAsia="宋体" w:cs="Times New Roman"/>
          <w:b/>
          <w:color w:val="000000"/>
          <w:sz w:val="19"/>
        </w:rPr>
        <w:t xml:space="preserve"> 5 </w:t>
      </w:r>
      <w:r>
        <w:rPr>
          <w:rFonts w:hint="eastAsia" w:ascii="Times New Roman" w:hAnsi="Times New Roman" w:eastAsia="宋体" w:cs="Times New Roman"/>
          <w:b/>
          <w:color w:val="000000"/>
          <w:sz w:val="19"/>
        </w:rPr>
        <w:t>给出了当前已有记录中的真实案例。图</w:t>
      </w:r>
      <w:r>
        <w:rPr>
          <w:rFonts w:ascii="Times New Roman" w:hAnsi="Times New Roman" w:eastAsia="宋体" w:cs="Times New Roman"/>
          <w:b/>
          <w:color w:val="000000"/>
          <w:sz w:val="19"/>
        </w:rPr>
        <w:t xml:space="preserve"> 4 </w:t>
      </w:r>
      <w:r>
        <w:rPr>
          <w:rFonts w:hint="eastAsia" w:ascii="Times New Roman" w:hAnsi="Times New Roman" w:eastAsia="宋体" w:cs="Times New Roman"/>
          <w:b/>
          <w:color w:val="000000"/>
          <w:sz w:val="19"/>
        </w:rPr>
        <w:t>对应主抓取阶段，展示</w:t>
      </w:r>
      <w:r>
        <w:rPr>
          <w:rFonts w:ascii="Times New Roman" w:hAnsi="Times New Roman" w:eastAsia="宋体" w:cs="Times New Roman"/>
          <w:b/>
          <w:color w:val="000000"/>
          <w:sz w:val="19"/>
        </w:rPr>
        <w:t xml:space="preserve"> RGB </w:t>
      </w:r>
      <w:r>
        <w:rPr>
          <w:rFonts w:hint="eastAsia" w:ascii="Times New Roman" w:hAnsi="Times New Roman" w:eastAsia="宋体" w:cs="Times New Roman"/>
          <w:b/>
          <w:color w:val="000000"/>
          <w:sz w:val="19"/>
        </w:rPr>
        <w:t>分割结果与深度几何候选分析；图</w:t>
      </w:r>
      <w:r>
        <w:rPr>
          <w:rFonts w:ascii="Times New Roman" w:hAnsi="Times New Roman" w:eastAsia="宋体" w:cs="Times New Roman"/>
          <w:b/>
          <w:color w:val="000000"/>
          <w:sz w:val="19"/>
        </w:rPr>
        <w:t xml:space="preserve"> 5 </w:t>
      </w:r>
      <w:r>
        <w:rPr>
          <w:rFonts w:hint="eastAsia" w:ascii="Times New Roman" w:hAnsi="Times New Roman" w:eastAsia="宋体" w:cs="Times New Roman"/>
          <w:b/>
          <w:color w:val="000000"/>
          <w:sz w:val="19"/>
        </w:rPr>
        <w:t>对应二次定位阶段，展示二次定位</w:t>
      </w:r>
      <w:r>
        <w:rPr>
          <w:rFonts w:ascii="Times New Roman" w:hAnsi="Times New Roman" w:eastAsia="宋体" w:cs="Times New Roman"/>
          <w:b/>
          <w:color w:val="000000"/>
          <w:sz w:val="19"/>
        </w:rPr>
        <w:t xml:space="preserve"> RGB </w:t>
      </w:r>
      <w:r>
        <w:rPr>
          <w:rFonts w:hint="eastAsia" w:ascii="Times New Roman" w:hAnsi="Times New Roman" w:eastAsia="宋体" w:cs="Times New Roman"/>
          <w:b/>
          <w:color w:val="000000"/>
          <w:sz w:val="19"/>
        </w:rPr>
        <w:t>识别和深度候选输出。这些图用于说明数据记录和离线复盘链路已经形成，不作为最终性能对比结果。</w:t>
      </w:r>
    </w:p>
    <w:p w14:paraId="041AB8A6">
      <w:pPr>
        <w:pStyle w:val="19"/>
        <w:spacing w:before="120" w:after="40"/>
        <w:ind w:firstLine="0"/>
        <w:jc w:val="center"/>
      </w:pPr>
      <w:r>
        <w:drawing>
          <wp:inline distT="0" distB="0" distL="114300" distR="114300">
            <wp:extent cx="4499610" cy="1829435"/>
            <wp:effectExtent l="0" t="0" r="0" b="0"/>
            <wp:docPr id="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10"/>
                    <a:stretch>
                      <a:fillRect/>
                    </a:stretch>
                  </pic:blipFill>
                  <pic:spPr>
                    <a:xfrm>
                      <a:off x="0" y="0"/>
                      <a:ext cx="4499999" cy="1829605"/>
                    </a:xfrm>
                    <a:prstGeom prst="rect">
                      <a:avLst/>
                    </a:prstGeom>
                    <a:noFill/>
                    <a:ln w="9525">
                      <a:noFill/>
                    </a:ln>
                  </pic:spPr>
                </pic:pic>
              </a:graphicData>
            </a:graphic>
          </wp:inline>
        </w:drawing>
      </w:r>
    </w:p>
    <w:p w14:paraId="2676211E">
      <w:pPr>
        <w:pStyle w:val="19"/>
        <w:spacing w:before="40" w:after="120"/>
        <w:ind w:firstLine="0"/>
        <w:jc w:val="center"/>
      </w:pPr>
      <w:r>
        <w:rPr>
          <w:rFonts w:hint="eastAsia" w:ascii="Times New Roman" w:hAnsi="Times New Roman" w:eastAsia="宋体" w:cs="Times New Roman"/>
          <w:b/>
          <w:bCs/>
          <w:color w:val="000000"/>
          <w:sz w:val="19"/>
        </w:rPr>
        <w:t>图</w:t>
      </w:r>
      <w:r>
        <w:rPr>
          <w:rFonts w:ascii="Times New Roman" w:hAnsi="Times New Roman" w:eastAsia="宋体" w:cs="Times New Roman"/>
          <w:b/>
          <w:bCs/>
          <w:color w:val="000000"/>
          <w:sz w:val="19"/>
        </w:rPr>
        <w:t xml:space="preserve"> 4 </w:t>
      </w:r>
      <w:r>
        <w:rPr>
          <w:rFonts w:hint="eastAsia" w:ascii="Times New Roman" w:hAnsi="Times New Roman" w:eastAsia="宋体" w:cs="Times New Roman"/>
          <w:b/>
          <w:bCs/>
          <w:color w:val="000000"/>
          <w:sz w:val="19"/>
        </w:rPr>
        <w:t>真实案例</w:t>
      </w:r>
      <w:r>
        <w:rPr>
          <w:rFonts w:ascii="Times New Roman" w:hAnsi="Times New Roman" w:eastAsia="宋体" w:cs="Times New Roman"/>
          <w:b/>
          <w:bCs/>
          <w:color w:val="000000"/>
          <w:sz w:val="19"/>
        </w:rPr>
        <w:t xml:space="preserve"> case_0001 </w:t>
      </w:r>
      <w:r>
        <w:rPr>
          <w:rFonts w:hint="eastAsia" w:ascii="Times New Roman" w:hAnsi="Times New Roman" w:eastAsia="宋体" w:cs="Times New Roman"/>
          <w:b/>
          <w:bCs/>
          <w:color w:val="000000"/>
          <w:sz w:val="19"/>
        </w:rPr>
        <w:t>主抓取阶段识别与深度分析结果。</w:t>
      </w:r>
    </w:p>
    <w:p w14:paraId="34C010EF">
      <w:pPr>
        <w:pStyle w:val="19"/>
        <w:spacing w:before="120" w:after="40"/>
        <w:ind w:firstLine="0"/>
        <w:jc w:val="center"/>
      </w:pPr>
      <w:r>
        <w:drawing>
          <wp:inline distT="0" distB="0" distL="114300" distR="114300">
            <wp:extent cx="4499610" cy="1829435"/>
            <wp:effectExtent l="0" t="0" r="0"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1"/>
                    <a:stretch>
                      <a:fillRect/>
                    </a:stretch>
                  </pic:blipFill>
                  <pic:spPr>
                    <a:xfrm>
                      <a:off x="0" y="0"/>
                      <a:ext cx="4499999" cy="1829605"/>
                    </a:xfrm>
                    <a:prstGeom prst="rect">
                      <a:avLst/>
                    </a:prstGeom>
                    <a:noFill/>
                    <a:ln w="9525">
                      <a:noFill/>
                    </a:ln>
                  </pic:spPr>
                </pic:pic>
              </a:graphicData>
            </a:graphic>
          </wp:inline>
        </w:drawing>
      </w:r>
    </w:p>
    <w:p w14:paraId="7FC88BCF">
      <w:pPr>
        <w:pStyle w:val="19"/>
        <w:spacing w:before="40" w:after="120"/>
        <w:ind w:firstLine="0"/>
        <w:jc w:val="center"/>
      </w:pPr>
      <w:r>
        <w:rPr>
          <w:rFonts w:hint="eastAsia" w:ascii="Times New Roman" w:hAnsi="Times New Roman" w:eastAsia="宋体" w:cs="Times New Roman"/>
          <w:b/>
          <w:bCs/>
          <w:color w:val="000000"/>
          <w:sz w:val="19"/>
        </w:rPr>
        <w:t>图</w:t>
      </w:r>
      <w:r>
        <w:rPr>
          <w:rFonts w:ascii="Times New Roman" w:hAnsi="Times New Roman" w:eastAsia="宋体" w:cs="Times New Roman"/>
          <w:b/>
          <w:bCs/>
          <w:color w:val="000000"/>
          <w:sz w:val="19"/>
        </w:rPr>
        <w:t xml:space="preserve"> 5 </w:t>
      </w:r>
      <w:r>
        <w:rPr>
          <w:rFonts w:hint="eastAsia" w:ascii="Times New Roman" w:hAnsi="Times New Roman" w:eastAsia="宋体" w:cs="Times New Roman"/>
          <w:b/>
          <w:bCs/>
          <w:color w:val="000000"/>
          <w:sz w:val="19"/>
        </w:rPr>
        <w:t>真实案例</w:t>
      </w:r>
      <w:r>
        <w:rPr>
          <w:rFonts w:ascii="Times New Roman" w:hAnsi="Times New Roman" w:eastAsia="宋体" w:cs="Times New Roman"/>
          <w:b/>
          <w:bCs/>
          <w:color w:val="000000"/>
          <w:sz w:val="19"/>
        </w:rPr>
        <w:t xml:space="preserve"> case_0005 </w:t>
      </w:r>
      <w:r>
        <w:rPr>
          <w:rFonts w:hint="eastAsia" w:ascii="Times New Roman" w:hAnsi="Times New Roman" w:eastAsia="宋体" w:cs="Times New Roman"/>
          <w:b/>
          <w:bCs/>
          <w:color w:val="000000"/>
          <w:sz w:val="19"/>
        </w:rPr>
        <w:t>二次定位阶段识别结果。</w:t>
      </w:r>
    </w:p>
    <w:p w14:paraId="0C0CC6DC">
      <w:pPr>
        <w:pStyle w:val="19"/>
        <w:spacing w:before="40" w:after="120"/>
        <w:ind w:firstLine="0"/>
        <w:jc w:val="center"/>
      </w:pPr>
      <w:r>
        <w:rPr>
          <w:rFonts w:hint="eastAsia" w:ascii="Times New Roman" w:hAnsi="Times New Roman" w:eastAsia="宋体" w:cs="Times New Roman"/>
          <w:b/>
          <w:bCs/>
          <w:color w:val="000000"/>
          <w:sz w:val="19"/>
        </w:rPr>
        <w:t>表</w:t>
      </w:r>
      <w:r>
        <w:rPr>
          <w:rFonts w:ascii="Times New Roman" w:hAnsi="Times New Roman" w:eastAsia="宋体" w:cs="Times New Roman"/>
          <w:b/>
          <w:bCs/>
          <w:color w:val="000000"/>
          <w:sz w:val="19"/>
        </w:rPr>
        <w:t xml:space="preserve"> 1 </w:t>
      </w:r>
      <w:r>
        <w:rPr>
          <w:rFonts w:hint="eastAsia" w:ascii="Times New Roman" w:hAnsi="Times New Roman" w:eastAsia="宋体" w:cs="Times New Roman"/>
          <w:b/>
          <w:bCs/>
          <w:color w:val="000000"/>
          <w:sz w:val="19"/>
        </w:rPr>
        <w:t>预实验离线复盘结果统计（预实验共完成</w:t>
      </w:r>
      <w:r>
        <w:rPr>
          <w:rFonts w:ascii="Times New Roman" w:hAnsi="Times New Roman" w:eastAsia="宋体" w:cs="Times New Roman"/>
          <w:b/>
          <w:bCs/>
          <w:color w:val="000000"/>
          <w:sz w:val="19"/>
        </w:rPr>
        <w:t xml:space="preserve"> 7 </w:t>
      </w:r>
      <w:r>
        <w:rPr>
          <w:rFonts w:hint="eastAsia" w:ascii="Times New Roman" w:hAnsi="Times New Roman" w:eastAsia="宋体" w:cs="Times New Roman"/>
          <w:b/>
          <w:bCs/>
          <w:color w:val="000000"/>
          <w:sz w:val="19"/>
        </w:rPr>
        <w:t>组完整抓取-二次定位闭环流程）</w:t>
      </w:r>
    </w:p>
    <w:tbl>
      <w:tblPr>
        <w:tblStyle w:val="32"/>
        <w:tblW w:w="0" w:type="auto"/>
        <w:tblInd w:w="0" w:type="dxa"/>
        <w:tblLayout w:type="autofit"/>
        <w:tblCellMar>
          <w:top w:w="0" w:type="dxa"/>
          <w:left w:w="108" w:type="dxa"/>
          <w:bottom w:w="0" w:type="dxa"/>
          <w:right w:w="108" w:type="dxa"/>
        </w:tblCellMar>
      </w:tblPr>
      <w:tblGrid>
        <w:gridCol w:w="2235"/>
        <w:gridCol w:w="1056"/>
      </w:tblGrid>
      <w:tr w14:paraId="15EB57BA">
        <w:tblPrEx>
          <w:tblCellMar>
            <w:top w:w="0" w:type="dxa"/>
            <w:left w:w="108" w:type="dxa"/>
            <w:bottom w:w="0" w:type="dxa"/>
            <w:right w:w="108" w:type="dxa"/>
          </w:tblCellMar>
        </w:tblPrEx>
        <w:trPr>
          <w:tblHeader/>
        </w:trPr>
        <w:tc>
          <w:p w14:paraId="10F832A3">
            <w:r>
              <w:rPr>
                <w:rFonts w:hint="eastAsia"/>
              </w:rPr>
              <w:t>项目</w:t>
            </w:r>
          </w:p>
        </w:tc>
        <w:tc>
          <w:p w14:paraId="2E411AEB">
            <w:pPr>
              <w:jc w:val="right"/>
            </w:pPr>
            <w:r>
              <w:rPr>
                <w:rFonts w:hint="eastAsia"/>
              </w:rPr>
              <w:t>数值</w:t>
            </w:r>
          </w:p>
        </w:tc>
      </w:tr>
      <w:tr w14:paraId="5627A42B">
        <w:tc>
          <w:p w14:paraId="4976D2BE">
            <w:r>
              <w:rPr>
                <w:rFonts w:hint="eastAsia"/>
              </w:rPr>
              <w:t>流程案例数</w:t>
            </w:r>
          </w:p>
        </w:tc>
        <w:tc>
          <w:p w14:paraId="649DA3AE">
            <w:pPr>
              <w:jc w:val="right"/>
            </w:pPr>
            <w:r>
              <w:t>7</w:t>
            </w:r>
          </w:p>
        </w:tc>
      </w:tr>
      <w:tr w14:paraId="4180301A">
        <w:tblPrEx>
          <w:tblCellMar>
            <w:top w:w="0" w:type="dxa"/>
            <w:left w:w="108" w:type="dxa"/>
            <w:bottom w:w="0" w:type="dxa"/>
            <w:right w:w="108" w:type="dxa"/>
          </w:tblCellMar>
        </w:tblPrEx>
        <w:tc>
          <w:p w14:paraId="07F85B67">
            <w:r>
              <w:rPr>
                <w:rFonts w:hint="eastAsia"/>
              </w:rPr>
              <w:t>阶段记录数</w:t>
            </w:r>
          </w:p>
        </w:tc>
        <w:tc>
          <w:p w14:paraId="632682A7">
            <w:pPr>
              <w:jc w:val="right"/>
            </w:pPr>
            <w:r>
              <w:t>14</w:t>
            </w:r>
          </w:p>
        </w:tc>
      </w:tr>
      <w:tr w14:paraId="58BE8FCC">
        <w:tblPrEx>
          <w:tblCellMar>
            <w:top w:w="0" w:type="dxa"/>
            <w:left w:w="108" w:type="dxa"/>
            <w:bottom w:w="0" w:type="dxa"/>
            <w:right w:w="108" w:type="dxa"/>
          </w:tblCellMar>
        </w:tblPrEx>
        <w:tc>
          <w:p w14:paraId="4FBC0200">
            <w:r>
              <w:t>runtime_consistent</w:t>
            </w:r>
          </w:p>
        </w:tc>
        <w:tc>
          <w:p w14:paraId="2E2882F4">
            <w:pPr>
              <w:jc w:val="right"/>
            </w:pPr>
            <w:r>
              <w:t>9</w:t>
            </w:r>
          </w:p>
        </w:tc>
      </w:tr>
      <w:tr w14:paraId="4304910E">
        <w:tblPrEx>
          <w:tblCellMar>
            <w:top w:w="0" w:type="dxa"/>
            <w:left w:w="108" w:type="dxa"/>
            <w:bottom w:w="0" w:type="dxa"/>
            <w:right w:w="108" w:type="dxa"/>
          </w:tblCellMar>
        </w:tblPrEx>
        <w:tc>
          <w:p w14:paraId="7616F6B3">
            <w:r>
              <w:t>review_needed</w:t>
            </w:r>
          </w:p>
        </w:tc>
        <w:tc>
          <w:p w14:paraId="2E3B3B4E">
            <w:pPr>
              <w:jc w:val="right"/>
            </w:pPr>
            <w:r>
              <w:t>2</w:t>
            </w:r>
          </w:p>
        </w:tc>
      </w:tr>
      <w:tr w14:paraId="69027D9D">
        <w:tblPrEx>
          <w:tblCellMar>
            <w:top w:w="0" w:type="dxa"/>
            <w:left w:w="108" w:type="dxa"/>
            <w:bottom w:w="0" w:type="dxa"/>
            <w:right w:w="108" w:type="dxa"/>
          </w:tblCellMar>
        </w:tblPrEx>
        <w:tc>
          <w:p w14:paraId="3FFA3969">
            <w:r>
              <w:t>offline_missing</w:t>
            </w:r>
          </w:p>
        </w:tc>
        <w:tc>
          <w:p w14:paraId="5C780950">
            <w:pPr>
              <w:jc w:val="right"/>
            </w:pPr>
            <w:r>
              <w:t>3</w:t>
            </w:r>
          </w:p>
        </w:tc>
      </w:tr>
      <w:tr w14:paraId="725E7211">
        <w:tblPrEx>
          <w:tblCellMar>
            <w:top w:w="0" w:type="dxa"/>
            <w:left w:w="108" w:type="dxa"/>
            <w:bottom w:w="0" w:type="dxa"/>
            <w:right w:w="108" w:type="dxa"/>
          </w:tblCellMar>
        </w:tblPrEx>
        <w:tc>
          <w:p w14:paraId="600643C6">
            <w:r>
              <w:rPr>
                <w:rFonts w:hint="eastAsia"/>
              </w:rPr>
              <w:t>离线复盘轮次</w:t>
            </w:r>
          </w:p>
        </w:tc>
        <w:tc>
          <w:p w14:paraId="055FF4F9">
            <w:pPr>
              <w:jc w:val="right"/>
            </w:pPr>
            <w:r>
              <w:t>21</w:t>
            </w:r>
          </w:p>
        </w:tc>
      </w:tr>
      <w:bookmarkEnd w:id="17"/>
    </w:tbl>
    <w:p w14:paraId="08ED69AC">
      <w:pPr>
        <w:pStyle w:val="5"/>
      </w:pPr>
      <w:bookmarkStart w:id="18" w:name="后续计划补充实验"/>
      <w:r>
        <w:t xml:space="preserve">5.2 </w:t>
      </w:r>
      <w:r>
        <w:rPr>
          <w:rFonts w:hint="eastAsia"/>
        </w:rPr>
        <w:t>后续计划补充实验</w:t>
      </w:r>
    </w:p>
    <w:p w14:paraId="2585A37E">
      <w:r>
        <w:rPr>
          <w:rFonts w:hint="eastAsia"/>
        </w:rPr>
        <w:t>正式实验应固定以下条件：相机安装位置、工作台高度、砖块尺寸、ROI</w:t>
      </w:r>
      <w:r>
        <w:t xml:space="preserve"> </w:t>
      </w:r>
      <w:r>
        <w:rPr>
          <w:rFonts w:hint="eastAsia"/>
        </w:rPr>
        <w:t>参数、机器人标定矩阵、分割模型版本和抓取末端结构。每次实验应保存</w:t>
      </w:r>
      <w:r>
        <w:t xml:space="preserve"> RGB </w:t>
      </w:r>
      <w:r>
        <w:rPr>
          <w:rFonts w:hint="eastAsia"/>
        </w:rPr>
        <w:t>图像、深度图、识别结果、机器人位姿、执行结果和失败原因。</w:t>
      </w:r>
    </w:p>
    <w:p w14:paraId="38A63880">
      <w:pPr>
        <w:pStyle w:val="19"/>
      </w:pPr>
      <w:r>
        <w:rPr>
          <w:rFonts w:hint="eastAsia"/>
        </w:rPr>
        <w:t>后续计划采集不少于</w:t>
      </w:r>
      <w:r>
        <w:t xml:space="preserve"> 100 </w:t>
      </w:r>
      <w:r>
        <w:rPr>
          <w:rFonts w:hint="eastAsia"/>
        </w:rPr>
        <w:t>组</w:t>
      </w:r>
      <w:r>
        <w:t xml:space="preserve"> RGB-D </w:t>
      </w:r>
      <w:r>
        <w:rPr>
          <w:rFonts w:hint="eastAsia"/>
        </w:rPr>
        <w:t>场景数据，并尽量覆盖以下变化：</w:t>
      </w:r>
    </w:p>
    <w:p w14:paraId="2D4964A3">
      <w:pPr>
        <w:numPr>
          <w:ilvl w:val="0"/>
          <w:numId w:val="10"/>
        </w:numPr>
      </w:pPr>
      <w:r>
        <w:rPr>
          <w:rFonts w:hint="eastAsia"/>
        </w:rPr>
        <w:t>单块砖、多块砖、相邻砖和局部遮挡场景。</w:t>
      </w:r>
    </w:p>
    <w:p w14:paraId="676C0A10">
      <w:pPr>
        <w:numPr>
          <w:ilvl w:val="0"/>
          <w:numId w:val="10"/>
        </w:numPr>
      </w:pPr>
      <w:r>
        <w:rPr>
          <w:rFonts w:hint="eastAsia"/>
        </w:rPr>
        <w:t>不同摆放角度，包括接近水平、垂直和斜向摆放。</w:t>
      </w:r>
    </w:p>
    <w:p w14:paraId="10FE0A5A">
      <w:pPr>
        <w:numPr>
          <w:ilvl w:val="0"/>
          <w:numId w:val="10"/>
        </w:numPr>
      </w:pPr>
      <w:r>
        <w:rPr>
          <w:rFonts w:hint="eastAsia"/>
        </w:rPr>
        <w:t>不同光照条件，包括正常光照、阴影和局部反光。</w:t>
      </w:r>
    </w:p>
    <w:p w14:paraId="1270ABA9">
      <w:pPr>
        <w:numPr>
          <w:ilvl w:val="0"/>
          <w:numId w:val="10"/>
        </w:numPr>
      </w:pPr>
      <w:r>
        <w:rPr>
          <w:rFonts w:hint="eastAsia"/>
        </w:rPr>
        <w:t>不同背景干扰，包括工作台边缘、吸盘阴影和机械结构遮挡。</w:t>
      </w:r>
    </w:p>
    <w:p w14:paraId="6D89FB92">
      <w:pPr>
        <w:numPr>
          <w:ilvl w:val="0"/>
          <w:numId w:val="10"/>
        </w:numPr>
      </w:pPr>
      <w:r>
        <w:rPr>
          <w:rFonts w:hint="eastAsia"/>
        </w:rPr>
        <w:t>初次抓取和二次定位两个阶段。</w:t>
      </w:r>
    </w:p>
    <w:p w14:paraId="3ABBE4D3">
      <w:r>
        <w:rPr>
          <w:rFonts w:hint="eastAsia"/>
        </w:rPr>
        <w:t>计划对比</w:t>
      </w:r>
      <w:r>
        <w:t xml:space="preserve"> RGB-only、Depth-only、RGB-D legacy、Ours </w:t>
      </w:r>
      <w:r>
        <w:rPr>
          <w:rFonts w:hint="eastAsia"/>
        </w:rPr>
        <w:t>和</w:t>
      </w:r>
      <w:r>
        <w:t xml:space="preserve"> Ours + secondary </w:t>
      </w:r>
      <w:r>
        <w:rPr>
          <w:rFonts w:hint="eastAsia"/>
        </w:rPr>
        <w:t>五类方法。其中，RGB-only</w:t>
      </w:r>
      <w:r>
        <w:t xml:space="preserve"> </w:t>
      </w:r>
      <w:r>
        <w:rPr>
          <w:rFonts w:hint="eastAsia"/>
        </w:rPr>
        <w:t>仅使用</w:t>
      </w:r>
      <w:r>
        <w:t xml:space="preserve"> RGB </w:t>
      </w:r>
      <w:r>
        <w:rPr>
          <w:rFonts w:hint="eastAsia"/>
        </w:rPr>
        <w:t>实例分割候选，Depth-only</w:t>
      </w:r>
      <w:r>
        <w:t xml:space="preserve"> </w:t>
      </w:r>
      <w:r>
        <w:rPr>
          <w:rFonts w:hint="eastAsia"/>
        </w:rPr>
        <w:t>仅使用深度几何候选，RGB-D</w:t>
      </w:r>
      <w:r>
        <w:t xml:space="preserve"> legacy </w:t>
      </w:r>
      <w:r>
        <w:rPr>
          <w:rFonts w:hint="eastAsia"/>
        </w:rPr>
        <w:t>表示</w:t>
      </w:r>
      <w:r>
        <w:t xml:space="preserve"> RGB </w:t>
      </w:r>
      <w:r>
        <w:rPr>
          <w:rFonts w:hint="eastAsia"/>
        </w:rPr>
        <w:t>候选优先且深度仅作为低质量回退，Ours</w:t>
      </w:r>
      <w:r>
        <w:t xml:space="preserve"> </w:t>
      </w:r>
      <w:r>
        <w:rPr>
          <w:rFonts w:hint="eastAsia"/>
        </w:rPr>
        <w:t>表示深度优先、RGB</w:t>
      </w:r>
      <w:r>
        <w:t xml:space="preserve"> </w:t>
      </w:r>
      <w:r>
        <w:rPr>
          <w:rFonts w:hint="eastAsia"/>
        </w:rPr>
        <w:t>回退的</w:t>
      </w:r>
      <w:r>
        <w:t xml:space="preserve"> RGB-D </w:t>
      </w:r>
      <w:r>
        <w:rPr>
          <w:rFonts w:hint="eastAsia"/>
        </w:rPr>
        <w:t>融合策略，Ours</w:t>
      </w:r>
      <w:r>
        <w:t xml:space="preserve"> + secondary </w:t>
      </w:r>
      <w:r>
        <w:rPr>
          <w:rFonts w:hint="eastAsia"/>
        </w:rPr>
        <w:t>在</w:t>
      </w:r>
      <w:r>
        <w:t xml:space="preserve"> Ours </w:t>
      </w:r>
      <w:r>
        <w:rPr>
          <w:rFonts w:hint="eastAsia"/>
        </w:rPr>
        <w:t>基础上加入二次定位和旋转补偿。</w:t>
      </w:r>
    </w:p>
    <w:p w14:paraId="5B082E1F">
      <w:pPr>
        <w:pStyle w:val="19"/>
        <w:spacing w:before="40" w:after="120"/>
        <w:ind w:firstLine="0"/>
        <w:jc w:val="center"/>
      </w:pPr>
      <w:r>
        <w:rPr>
          <w:rFonts w:hint="eastAsia" w:ascii="Times New Roman" w:hAnsi="Times New Roman" w:eastAsia="宋体" w:cs="Times New Roman"/>
          <w:b/>
          <w:bCs/>
          <w:color w:val="000000"/>
          <w:sz w:val="19"/>
        </w:rPr>
        <w:t>表</w:t>
      </w:r>
      <w:r>
        <w:rPr>
          <w:rFonts w:ascii="Times New Roman" w:hAnsi="Times New Roman" w:eastAsia="宋体" w:cs="Times New Roman"/>
          <w:b/>
          <w:bCs/>
          <w:color w:val="000000"/>
          <w:sz w:val="19"/>
        </w:rPr>
        <w:t xml:space="preserve"> 2 </w:t>
      </w:r>
      <w:r>
        <w:rPr>
          <w:rFonts w:hint="eastAsia" w:ascii="Times New Roman" w:hAnsi="Times New Roman" w:eastAsia="宋体" w:cs="Times New Roman"/>
          <w:b/>
          <w:bCs/>
          <w:color w:val="000000"/>
          <w:sz w:val="19"/>
        </w:rPr>
        <w:t>后续正式实验指标设计</w:t>
      </w:r>
    </w:p>
    <w:tbl>
      <w:tblPr>
        <w:tblStyle w:val="32"/>
        <w:tblW w:w="5000" w:type="pct"/>
        <w:tblInd w:w="0" w:type="dxa"/>
        <w:tblLayout w:type="fixed"/>
        <w:tblCellMar>
          <w:top w:w="0" w:type="dxa"/>
          <w:left w:w="108" w:type="dxa"/>
          <w:bottom w:w="0" w:type="dxa"/>
          <w:right w:w="108" w:type="dxa"/>
        </w:tblCellMar>
      </w:tblPr>
      <w:tblGrid>
        <w:gridCol w:w="1206"/>
        <w:gridCol w:w="1607"/>
        <w:gridCol w:w="1607"/>
        <w:gridCol w:w="1607"/>
        <w:gridCol w:w="1607"/>
        <w:gridCol w:w="1607"/>
      </w:tblGrid>
      <w:tr w14:paraId="28DD408F">
        <w:tblPrEx>
          <w:tblCellMar>
            <w:top w:w="0" w:type="dxa"/>
            <w:left w:w="108" w:type="dxa"/>
            <w:bottom w:w="0" w:type="dxa"/>
            <w:right w:w="108" w:type="dxa"/>
          </w:tblCellMar>
        </w:tblPrEx>
        <w:trPr>
          <w:tblHeader/>
        </w:trPr>
        <w:tc>
          <w:p w14:paraId="2046E0B6">
            <w:r>
              <w:rPr>
                <w:rFonts w:hint="eastAsia"/>
              </w:rPr>
              <w:t>方法</w:t>
            </w:r>
          </w:p>
        </w:tc>
        <w:tc>
          <w:p w14:paraId="6075F4DA">
            <w:pPr>
              <w:jc w:val="right"/>
            </w:pPr>
            <w:r>
              <w:rPr>
                <w:rFonts w:hint="eastAsia"/>
              </w:rPr>
              <w:t>样本数</w:t>
            </w:r>
          </w:p>
        </w:tc>
        <w:tc>
          <w:p w14:paraId="717BE003">
            <w:pPr>
              <w:jc w:val="right"/>
            </w:pPr>
            <w:r>
              <w:rPr>
                <w:rFonts w:hint="eastAsia"/>
              </w:rPr>
              <w:t>平均定位误差/mm</w:t>
            </w:r>
          </w:p>
        </w:tc>
        <w:tc>
          <w:p w14:paraId="5E4FC300">
            <w:pPr>
              <w:jc w:val="right"/>
            </w:pPr>
            <w:r>
              <w:rPr>
                <w:rFonts w:hint="eastAsia"/>
              </w:rPr>
              <w:t>平均角度误差/deg</w:t>
            </w:r>
          </w:p>
        </w:tc>
        <w:tc>
          <w:p w14:paraId="04ABE7E9">
            <w:pPr>
              <w:jc w:val="right"/>
            </w:pPr>
            <w:r>
              <w:rPr>
                <w:rFonts w:hint="eastAsia"/>
              </w:rPr>
              <w:t>抓取成功率/%</w:t>
            </w:r>
          </w:p>
        </w:tc>
        <w:tc>
          <w:p w14:paraId="11D427E2">
            <w:pPr>
              <w:jc w:val="right"/>
            </w:pPr>
            <w:r>
              <w:rPr>
                <w:rFonts w:hint="eastAsia"/>
              </w:rPr>
              <w:t>平均处理时间/ms</w:t>
            </w:r>
          </w:p>
        </w:tc>
      </w:tr>
      <w:tr w14:paraId="3DC3A229">
        <w:tblPrEx>
          <w:tblCellMar>
            <w:top w:w="0" w:type="dxa"/>
            <w:left w:w="108" w:type="dxa"/>
            <w:bottom w:w="0" w:type="dxa"/>
            <w:right w:w="108" w:type="dxa"/>
          </w:tblCellMar>
        </w:tblPrEx>
        <w:tc>
          <w:p w14:paraId="25F5B460">
            <w:r>
              <w:t>RGB-only</w:t>
            </w:r>
          </w:p>
        </w:tc>
        <w:tc>
          <w:p w14:paraId="74E3DD1E">
            <w:pPr>
              <w:jc w:val="right"/>
            </w:pPr>
            <w:r>
              <w:rPr>
                <w:rFonts w:hint="eastAsia"/>
              </w:rPr>
              <w:t>待测</w:t>
            </w:r>
          </w:p>
        </w:tc>
        <w:tc>
          <w:p w14:paraId="6CAA4903">
            <w:pPr>
              <w:jc w:val="right"/>
            </w:pPr>
            <w:r>
              <w:rPr>
                <w:rFonts w:hint="eastAsia"/>
              </w:rPr>
              <w:t>待测</w:t>
            </w:r>
          </w:p>
        </w:tc>
        <w:tc>
          <w:p w14:paraId="54297F72">
            <w:pPr>
              <w:jc w:val="right"/>
            </w:pPr>
            <w:r>
              <w:rPr>
                <w:rFonts w:hint="eastAsia"/>
              </w:rPr>
              <w:t>待测</w:t>
            </w:r>
          </w:p>
        </w:tc>
        <w:tc>
          <w:p w14:paraId="573273EC">
            <w:pPr>
              <w:jc w:val="right"/>
            </w:pPr>
            <w:r>
              <w:rPr>
                <w:rFonts w:hint="eastAsia"/>
              </w:rPr>
              <w:t>待测</w:t>
            </w:r>
          </w:p>
        </w:tc>
        <w:tc>
          <w:p w14:paraId="1F9F1AE1">
            <w:pPr>
              <w:jc w:val="right"/>
            </w:pPr>
            <w:r>
              <w:rPr>
                <w:rFonts w:hint="eastAsia"/>
              </w:rPr>
              <w:t>待测</w:t>
            </w:r>
          </w:p>
        </w:tc>
      </w:tr>
      <w:tr w14:paraId="1D797E8B">
        <w:tblPrEx>
          <w:tblCellMar>
            <w:top w:w="0" w:type="dxa"/>
            <w:left w:w="108" w:type="dxa"/>
            <w:bottom w:w="0" w:type="dxa"/>
            <w:right w:w="108" w:type="dxa"/>
          </w:tblCellMar>
        </w:tblPrEx>
        <w:tc>
          <w:p w14:paraId="73CEA195">
            <w:r>
              <w:t>Depth-only</w:t>
            </w:r>
          </w:p>
        </w:tc>
        <w:tc>
          <w:p w14:paraId="67A7515C">
            <w:pPr>
              <w:jc w:val="right"/>
            </w:pPr>
            <w:r>
              <w:rPr>
                <w:rFonts w:hint="eastAsia"/>
              </w:rPr>
              <w:t>待测</w:t>
            </w:r>
          </w:p>
        </w:tc>
        <w:tc>
          <w:p w14:paraId="2FF85457">
            <w:pPr>
              <w:jc w:val="right"/>
            </w:pPr>
            <w:r>
              <w:rPr>
                <w:rFonts w:hint="eastAsia"/>
              </w:rPr>
              <w:t>待测</w:t>
            </w:r>
          </w:p>
        </w:tc>
        <w:tc>
          <w:p w14:paraId="6BD78593">
            <w:pPr>
              <w:jc w:val="right"/>
            </w:pPr>
            <w:r>
              <w:rPr>
                <w:rFonts w:hint="eastAsia"/>
              </w:rPr>
              <w:t>待测</w:t>
            </w:r>
          </w:p>
        </w:tc>
        <w:tc>
          <w:p w14:paraId="4E38641C">
            <w:pPr>
              <w:jc w:val="right"/>
            </w:pPr>
            <w:r>
              <w:rPr>
                <w:rFonts w:hint="eastAsia"/>
              </w:rPr>
              <w:t>待测</w:t>
            </w:r>
          </w:p>
        </w:tc>
        <w:tc>
          <w:p w14:paraId="4B79F5B8">
            <w:pPr>
              <w:jc w:val="right"/>
            </w:pPr>
            <w:r>
              <w:rPr>
                <w:rFonts w:hint="eastAsia"/>
              </w:rPr>
              <w:t>待测</w:t>
            </w:r>
          </w:p>
        </w:tc>
      </w:tr>
      <w:tr w14:paraId="3DF50CD4">
        <w:tblPrEx>
          <w:tblCellMar>
            <w:top w:w="0" w:type="dxa"/>
            <w:left w:w="108" w:type="dxa"/>
            <w:bottom w:w="0" w:type="dxa"/>
            <w:right w:w="108" w:type="dxa"/>
          </w:tblCellMar>
        </w:tblPrEx>
        <w:tc>
          <w:p w14:paraId="6DDFA475">
            <w:r>
              <w:t>RGB-D legacy</w:t>
            </w:r>
          </w:p>
        </w:tc>
        <w:tc>
          <w:p w14:paraId="389D8F15">
            <w:pPr>
              <w:jc w:val="right"/>
            </w:pPr>
            <w:r>
              <w:rPr>
                <w:rFonts w:hint="eastAsia"/>
              </w:rPr>
              <w:t>待测</w:t>
            </w:r>
          </w:p>
        </w:tc>
        <w:tc>
          <w:p w14:paraId="55460CCE">
            <w:pPr>
              <w:jc w:val="right"/>
            </w:pPr>
            <w:r>
              <w:rPr>
                <w:rFonts w:hint="eastAsia"/>
              </w:rPr>
              <w:t>待测</w:t>
            </w:r>
          </w:p>
        </w:tc>
        <w:tc>
          <w:p w14:paraId="3778DAEF">
            <w:pPr>
              <w:jc w:val="right"/>
            </w:pPr>
            <w:r>
              <w:rPr>
                <w:rFonts w:hint="eastAsia"/>
              </w:rPr>
              <w:t>待测</w:t>
            </w:r>
          </w:p>
        </w:tc>
        <w:tc>
          <w:p w14:paraId="33747689">
            <w:pPr>
              <w:jc w:val="right"/>
            </w:pPr>
            <w:r>
              <w:rPr>
                <w:rFonts w:hint="eastAsia"/>
              </w:rPr>
              <w:t>待测</w:t>
            </w:r>
          </w:p>
        </w:tc>
        <w:tc>
          <w:p w14:paraId="001165D4">
            <w:pPr>
              <w:jc w:val="right"/>
            </w:pPr>
            <w:r>
              <w:rPr>
                <w:rFonts w:hint="eastAsia"/>
              </w:rPr>
              <w:t>待测</w:t>
            </w:r>
          </w:p>
        </w:tc>
      </w:tr>
      <w:tr w14:paraId="2B0D42EE">
        <w:tblPrEx>
          <w:tblCellMar>
            <w:top w:w="0" w:type="dxa"/>
            <w:left w:w="108" w:type="dxa"/>
            <w:bottom w:w="0" w:type="dxa"/>
            <w:right w:w="108" w:type="dxa"/>
          </w:tblCellMar>
        </w:tblPrEx>
        <w:tc>
          <w:p w14:paraId="43743BA7">
            <w:r>
              <w:t>Ours</w:t>
            </w:r>
          </w:p>
        </w:tc>
        <w:tc>
          <w:p w14:paraId="7FFA4B58">
            <w:pPr>
              <w:jc w:val="right"/>
            </w:pPr>
            <w:r>
              <w:rPr>
                <w:rFonts w:hint="eastAsia"/>
              </w:rPr>
              <w:t>待测</w:t>
            </w:r>
          </w:p>
        </w:tc>
        <w:tc>
          <w:p w14:paraId="0B48AF64">
            <w:pPr>
              <w:jc w:val="right"/>
            </w:pPr>
            <w:r>
              <w:rPr>
                <w:rFonts w:hint="eastAsia"/>
              </w:rPr>
              <w:t>待测</w:t>
            </w:r>
          </w:p>
        </w:tc>
        <w:tc>
          <w:p w14:paraId="44B61BAB">
            <w:pPr>
              <w:jc w:val="right"/>
            </w:pPr>
            <w:r>
              <w:rPr>
                <w:rFonts w:hint="eastAsia"/>
              </w:rPr>
              <w:t>待测</w:t>
            </w:r>
          </w:p>
        </w:tc>
        <w:tc>
          <w:p w14:paraId="4CCBBB8E">
            <w:pPr>
              <w:jc w:val="right"/>
            </w:pPr>
            <w:r>
              <w:rPr>
                <w:rFonts w:hint="eastAsia"/>
              </w:rPr>
              <w:t>待测</w:t>
            </w:r>
          </w:p>
        </w:tc>
        <w:tc>
          <w:p w14:paraId="6EF2DA3D">
            <w:pPr>
              <w:jc w:val="right"/>
            </w:pPr>
            <w:r>
              <w:rPr>
                <w:rFonts w:hint="eastAsia"/>
              </w:rPr>
              <w:t>待测</w:t>
            </w:r>
          </w:p>
        </w:tc>
      </w:tr>
      <w:tr w14:paraId="42763C16">
        <w:tblPrEx>
          <w:tblCellMar>
            <w:top w:w="0" w:type="dxa"/>
            <w:left w:w="108" w:type="dxa"/>
            <w:bottom w:w="0" w:type="dxa"/>
            <w:right w:w="108" w:type="dxa"/>
          </w:tblCellMar>
        </w:tblPrEx>
        <w:tc>
          <w:p w14:paraId="06711C29">
            <w:r>
              <w:t>Ours + secondary</w:t>
            </w:r>
          </w:p>
        </w:tc>
        <w:tc>
          <w:p w14:paraId="7C02167A">
            <w:pPr>
              <w:jc w:val="right"/>
            </w:pPr>
            <w:r>
              <w:rPr>
                <w:rFonts w:hint="eastAsia"/>
              </w:rPr>
              <w:t>待测</w:t>
            </w:r>
          </w:p>
        </w:tc>
        <w:tc>
          <w:p w14:paraId="5EBC9F00">
            <w:pPr>
              <w:jc w:val="right"/>
            </w:pPr>
            <w:r>
              <w:rPr>
                <w:rFonts w:hint="eastAsia"/>
              </w:rPr>
              <w:t>待测</w:t>
            </w:r>
          </w:p>
        </w:tc>
        <w:tc>
          <w:p w14:paraId="025A2906">
            <w:pPr>
              <w:jc w:val="right"/>
            </w:pPr>
            <w:r>
              <w:rPr>
                <w:rFonts w:hint="eastAsia"/>
              </w:rPr>
              <w:t>待测</w:t>
            </w:r>
          </w:p>
        </w:tc>
        <w:tc>
          <w:p w14:paraId="65434BF2">
            <w:pPr>
              <w:jc w:val="right"/>
            </w:pPr>
            <w:r>
              <w:rPr>
                <w:rFonts w:hint="eastAsia"/>
              </w:rPr>
              <w:t>待测</w:t>
            </w:r>
          </w:p>
        </w:tc>
        <w:tc>
          <w:p w14:paraId="1BA455E2">
            <w:pPr>
              <w:jc w:val="right"/>
            </w:pPr>
            <w:r>
              <w:rPr>
                <w:rFonts w:hint="eastAsia"/>
              </w:rPr>
              <w:t>待测</w:t>
            </w:r>
          </w:p>
        </w:tc>
      </w:tr>
    </w:tbl>
    <w:p w14:paraId="72718D34">
      <w:pPr>
        <w:pStyle w:val="19"/>
      </w:pPr>
      <w:r>
        <w:rPr>
          <w:rFonts w:hint="eastAsia"/>
        </w:rPr>
        <w:t>为分析各模块贡献，后续计划开展如下消融实验：</w:t>
      </w:r>
    </w:p>
    <w:p w14:paraId="27E28AC1">
      <w:pPr>
        <w:numPr>
          <w:ilvl w:val="0"/>
          <w:numId w:val="11"/>
        </w:numPr>
      </w:pPr>
      <w:r>
        <w:rPr>
          <w:rFonts w:hint="eastAsia"/>
        </w:rPr>
        <w:t>去除深度几何验证，仅保留</w:t>
      </w:r>
      <w:r>
        <w:t xml:space="preserve"> RGB </w:t>
      </w:r>
      <w:r>
        <w:rPr>
          <w:rFonts w:hint="eastAsia"/>
        </w:rPr>
        <w:t>实例分割，评估纯</w:t>
      </w:r>
      <w:r>
        <w:t xml:space="preserve"> RGB </w:t>
      </w:r>
      <w:r>
        <w:rPr>
          <w:rFonts w:hint="eastAsia"/>
        </w:rPr>
        <w:t>方法在光照变化和遮挡场景下的误差。</w:t>
      </w:r>
    </w:p>
    <w:p w14:paraId="4709F8F3">
      <w:pPr>
        <w:numPr>
          <w:ilvl w:val="0"/>
          <w:numId w:val="11"/>
        </w:numPr>
      </w:pPr>
      <w:r>
        <w:rPr>
          <w:rFonts w:hint="eastAsia"/>
        </w:rPr>
        <w:t>去除</w:t>
      </w:r>
      <w:r>
        <w:t xml:space="preserve"> RGB </w:t>
      </w:r>
      <w:r>
        <w:rPr>
          <w:rFonts w:hint="eastAsia"/>
        </w:rPr>
        <w:t>回退，仅使用深度候选，评估深度缺失或深度噪声对系统稳定性的影响。</w:t>
      </w:r>
    </w:p>
    <w:p w14:paraId="2213E887">
      <w:pPr>
        <w:numPr>
          <w:ilvl w:val="0"/>
          <w:numId w:val="11"/>
        </w:numPr>
      </w:pPr>
      <w:r>
        <w:rPr>
          <w:rFonts w:hint="eastAsia"/>
        </w:rPr>
        <w:t>去除</w:t>
      </w:r>
      <w:r>
        <w:t xml:space="preserve"> RGB-D </w:t>
      </w:r>
      <w:r>
        <w:rPr>
          <w:rFonts w:hint="eastAsia"/>
        </w:rPr>
        <w:t>匹配，仅使用深度</w:t>
      </w:r>
      <w:r>
        <w:t xml:space="preserve"> top-1 </w:t>
      </w:r>
      <w:r>
        <w:rPr>
          <w:rFonts w:hint="eastAsia"/>
        </w:rPr>
        <w:t>候选，评估多候选场景下候选选择错误率。</w:t>
      </w:r>
    </w:p>
    <w:p w14:paraId="15BD1FCF">
      <w:pPr>
        <w:numPr>
          <w:ilvl w:val="0"/>
          <w:numId w:val="11"/>
        </w:numPr>
      </w:pPr>
      <w:r>
        <w:rPr>
          <w:rFonts w:hint="eastAsia"/>
        </w:rPr>
        <w:t>去除二次定位旋转补偿，评估最终放置姿态误差。</w:t>
      </w:r>
    </w:p>
    <w:p w14:paraId="702B4C21">
      <w:pPr>
        <w:numPr>
          <w:ilvl w:val="0"/>
          <w:numId w:val="11"/>
        </w:numPr>
      </w:pPr>
      <w:r>
        <w:rPr>
          <w:rFonts w:hint="eastAsia"/>
        </w:rPr>
        <w:t>调整几何评分阈值，分析深度候选召回率和误检率之间的权衡。</w:t>
      </w:r>
    </w:p>
    <w:p w14:paraId="672D04EA">
      <w:pPr>
        <w:spacing w:before="40" w:after="120"/>
        <w:ind w:firstLine="0"/>
        <w:jc w:val="center"/>
      </w:pPr>
      <w:r>
        <w:rPr>
          <w:rFonts w:hint="eastAsia" w:ascii="Times New Roman" w:hAnsi="Times New Roman" w:eastAsia="宋体" w:cs="Times New Roman"/>
          <w:b/>
          <w:bCs/>
          <w:color w:val="000000"/>
          <w:sz w:val="19"/>
        </w:rPr>
        <w:t>表</w:t>
      </w:r>
      <w:r>
        <w:rPr>
          <w:rFonts w:ascii="Times New Roman" w:hAnsi="Times New Roman" w:eastAsia="宋体" w:cs="Times New Roman"/>
          <w:b/>
          <w:bCs/>
          <w:color w:val="000000"/>
          <w:sz w:val="19"/>
        </w:rPr>
        <w:t xml:space="preserve"> 3 </w:t>
      </w:r>
      <w:r>
        <w:rPr>
          <w:rFonts w:hint="eastAsia" w:ascii="Times New Roman" w:hAnsi="Times New Roman" w:eastAsia="宋体" w:cs="Times New Roman"/>
          <w:b/>
          <w:bCs/>
          <w:color w:val="000000"/>
          <w:sz w:val="19"/>
        </w:rPr>
        <w:t>后续消融实验指标设计</w:t>
      </w:r>
    </w:p>
    <w:tbl>
      <w:tblPr>
        <w:tblStyle w:val="32"/>
        <w:tblW w:w="0" w:type="auto"/>
        <w:tblInd w:w="0" w:type="dxa"/>
        <w:tblLayout w:type="autofit"/>
        <w:tblCellMar>
          <w:top w:w="0" w:type="dxa"/>
          <w:left w:w="108" w:type="dxa"/>
          <w:bottom w:w="0" w:type="dxa"/>
          <w:right w:w="108" w:type="dxa"/>
        </w:tblCellMar>
      </w:tblPr>
      <w:tblGrid>
        <w:gridCol w:w="2025"/>
        <w:gridCol w:w="1862"/>
        <w:gridCol w:w="1838"/>
        <w:gridCol w:w="1500"/>
        <w:gridCol w:w="1896"/>
      </w:tblGrid>
      <w:tr w14:paraId="59055548">
        <w:tblPrEx>
          <w:tblCellMar>
            <w:top w:w="0" w:type="dxa"/>
            <w:left w:w="108" w:type="dxa"/>
            <w:bottom w:w="0" w:type="dxa"/>
            <w:right w:w="108" w:type="dxa"/>
          </w:tblCellMar>
        </w:tblPrEx>
        <w:trPr>
          <w:tblHeader/>
        </w:trPr>
        <w:tc>
          <w:p w14:paraId="7723B799">
            <w:r>
              <w:rPr>
                <w:rFonts w:hint="eastAsia"/>
              </w:rPr>
              <w:t>设置</w:t>
            </w:r>
          </w:p>
        </w:tc>
        <w:tc>
          <w:p w14:paraId="6CE94D38">
            <w:pPr>
              <w:jc w:val="right"/>
            </w:pPr>
            <w:r>
              <w:rPr>
                <w:rFonts w:hint="eastAsia"/>
              </w:rPr>
              <w:t>定位误差/mm</w:t>
            </w:r>
          </w:p>
        </w:tc>
        <w:tc>
          <w:p w14:paraId="425780B1">
            <w:pPr>
              <w:jc w:val="right"/>
            </w:pPr>
            <w:r>
              <w:rPr>
                <w:rFonts w:hint="eastAsia"/>
              </w:rPr>
              <w:t>角度误差/deg</w:t>
            </w:r>
          </w:p>
        </w:tc>
        <w:tc>
          <w:p w14:paraId="2344526A">
            <w:pPr>
              <w:jc w:val="right"/>
            </w:pPr>
            <w:r>
              <w:rPr>
                <w:rFonts w:hint="eastAsia"/>
              </w:rPr>
              <w:t>成功率/%</w:t>
            </w:r>
          </w:p>
        </w:tc>
        <w:tc>
          <w:p w14:paraId="4E4801EC">
            <w:r>
              <w:rPr>
                <w:rFonts w:hint="eastAsia"/>
              </w:rPr>
              <w:t>主要失败类型</w:t>
            </w:r>
          </w:p>
        </w:tc>
      </w:tr>
      <w:tr w14:paraId="1B09CD2D">
        <w:tblPrEx>
          <w:tblCellMar>
            <w:top w:w="0" w:type="dxa"/>
            <w:left w:w="108" w:type="dxa"/>
            <w:bottom w:w="0" w:type="dxa"/>
            <w:right w:w="108" w:type="dxa"/>
          </w:tblCellMar>
        </w:tblPrEx>
        <w:tc>
          <w:p w14:paraId="1358E343">
            <w:r>
              <w:rPr>
                <w:rFonts w:hint="eastAsia"/>
              </w:rPr>
              <w:t>完整方法</w:t>
            </w:r>
          </w:p>
        </w:tc>
        <w:tc>
          <w:p w14:paraId="6E8B1052">
            <w:pPr>
              <w:jc w:val="right"/>
            </w:pPr>
            <w:r>
              <w:rPr>
                <w:rFonts w:hint="eastAsia"/>
              </w:rPr>
              <w:t>待测</w:t>
            </w:r>
          </w:p>
        </w:tc>
        <w:tc>
          <w:p w14:paraId="015DD81C">
            <w:pPr>
              <w:jc w:val="right"/>
            </w:pPr>
            <w:r>
              <w:rPr>
                <w:rFonts w:hint="eastAsia"/>
              </w:rPr>
              <w:t>待测</w:t>
            </w:r>
          </w:p>
        </w:tc>
        <w:tc>
          <w:p w14:paraId="68ACB4BA">
            <w:pPr>
              <w:jc w:val="right"/>
            </w:pPr>
            <w:r>
              <w:rPr>
                <w:rFonts w:hint="eastAsia"/>
              </w:rPr>
              <w:t>待测</w:t>
            </w:r>
          </w:p>
        </w:tc>
        <w:tc>
          <w:p w14:paraId="52FCE174">
            <w:r>
              <w:rPr>
                <w:rFonts w:hint="eastAsia"/>
              </w:rPr>
              <w:t>待分类</w:t>
            </w:r>
          </w:p>
        </w:tc>
      </w:tr>
      <w:tr w14:paraId="2CFE5634">
        <w:tblPrEx>
          <w:tblCellMar>
            <w:top w:w="0" w:type="dxa"/>
            <w:left w:w="108" w:type="dxa"/>
            <w:bottom w:w="0" w:type="dxa"/>
            <w:right w:w="108" w:type="dxa"/>
          </w:tblCellMar>
        </w:tblPrEx>
        <w:tc>
          <w:p w14:paraId="356ABEA6">
            <w:r>
              <w:rPr>
                <w:rFonts w:hint="eastAsia"/>
              </w:rPr>
              <w:t>无深度几何</w:t>
            </w:r>
          </w:p>
        </w:tc>
        <w:tc>
          <w:p w14:paraId="767ADD65">
            <w:pPr>
              <w:jc w:val="right"/>
            </w:pPr>
            <w:r>
              <w:rPr>
                <w:rFonts w:hint="eastAsia"/>
              </w:rPr>
              <w:t>待测</w:t>
            </w:r>
          </w:p>
        </w:tc>
        <w:tc>
          <w:p w14:paraId="2917AFE1">
            <w:pPr>
              <w:jc w:val="right"/>
            </w:pPr>
            <w:r>
              <w:rPr>
                <w:rFonts w:hint="eastAsia"/>
              </w:rPr>
              <w:t>待测</w:t>
            </w:r>
          </w:p>
        </w:tc>
        <w:tc>
          <w:p w14:paraId="71EF5A69">
            <w:pPr>
              <w:jc w:val="right"/>
            </w:pPr>
            <w:r>
              <w:rPr>
                <w:rFonts w:hint="eastAsia"/>
              </w:rPr>
              <w:t>待测</w:t>
            </w:r>
          </w:p>
        </w:tc>
        <w:tc>
          <w:p w14:paraId="47D0EFBF">
            <w:r>
              <w:rPr>
                <w:rFonts w:hint="eastAsia"/>
              </w:rPr>
              <w:t>待分类</w:t>
            </w:r>
          </w:p>
        </w:tc>
      </w:tr>
      <w:tr w14:paraId="0C09996A">
        <w:tblPrEx>
          <w:tblCellMar>
            <w:top w:w="0" w:type="dxa"/>
            <w:left w:w="108" w:type="dxa"/>
            <w:bottom w:w="0" w:type="dxa"/>
            <w:right w:w="108" w:type="dxa"/>
          </w:tblCellMar>
        </w:tblPrEx>
        <w:tc>
          <w:p w14:paraId="5E70251B">
            <w:r>
              <w:rPr>
                <w:rFonts w:hint="eastAsia"/>
              </w:rPr>
              <w:t>无</w:t>
            </w:r>
            <w:r>
              <w:t xml:space="preserve"> RGB </w:t>
            </w:r>
            <w:r>
              <w:rPr>
                <w:rFonts w:hint="eastAsia"/>
              </w:rPr>
              <w:t>回退</w:t>
            </w:r>
          </w:p>
        </w:tc>
        <w:tc>
          <w:p w14:paraId="00FEBA70">
            <w:pPr>
              <w:jc w:val="right"/>
            </w:pPr>
            <w:r>
              <w:rPr>
                <w:rFonts w:hint="eastAsia"/>
              </w:rPr>
              <w:t>待测</w:t>
            </w:r>
          </w:p>
        </w:tc>
        <w:tc>
          <w:p w14:paraId="6338DA95">
            <w:pPr>
              <w:jc w:val="right"/>
            </w:pPr>
            <w:r>
              <w:rPr>
                <w:rFonts w:hint="eastAsia"/>
              </w:rPr>
              <w:t>待测</w:t>
            </w:r>
          </w:p>
        </w:tc>
        <w:tc>
          <w:p w14:paraId="00C10F97">
            <w:pPr>
              <w:jc w:val="right"/>
            </w:pPr>
            <w:r>
              <w:rPr>
                <w:rFonts w:hint="eastAsia"/>
              </w:rPr>
              <w:t>待测</w:t>
            </w:r>
          </w:p>
        </w:tc>
        <w:tc>
          <w:p w14:paraId="7A3DE227">
            <w:r>
              <w:rPr>
                <w:rFonts w:hint="eastAsia"/>
              </w:rPr>
              <w:t>待分类</w:t>
            </w:r>
          </w:p>
        </w:tc>
      </w:tr>
      <w:tr w14:paraId="78D29DBD">
        <w:tblPrEx>
          <w:tblCellMar>
            <w:top w:w="0" w:type="dxa"/>
            <w:left w:w="108" w:type="dxa"/>
            <w:bottom w:w="0" w:type="dxa"/>
            <w:right w:w="108" w:type="dxa"/>
          </w:tblCellMar>
        </w:tblPrEx>
        <w:tc>
          <w:p w14:paraId="474E1173">
            <w:r>
              <w:rPr>
                <w:rFonts w:hint="eastAsia"/>
              </w:rPr>
              <w:t>无</w:t>
            </w:r>
            <w:r>
              <w:t xml:space="preserve"> RGB-D </w:t>
            </w:r>
            <w:r>
              <w:rPr>
                <w:rFonts w:hint="eastAsia"/>
              </w:rPr>
              <w:t>匹配</w:t>
            </w:r>
          </w:p>
        </w:tc>
        <w:tc>
          <w:p w14:paraId="49886329">
            <w:pPr>
              <w:jc w:val="right"/>
            </w:pPr>
            <w:r>
              <w:rPr>
                <w:rFonts w:hint="eastAsia"/>
              </w:rPr>
              <w:t>待测</w:t>
            </w:r>
          </w:p>
        </w:tc>
        <w:tc>
          <w:p w14:paraId="59B1A0AF">
            <w:pPr>
              <w:jc w:val="right"/>
            </w:pPr>
            <w:r>
              <w:rPr>
                <w:rFonts w:hint="eastAsia"/>
              </w:rPr>
              <w:t>待测</w:t>
            </w:r>
          </w:p>
        </w:tc>
        <w:tc>
          <w:p w14:paraId="48949DF9">
            <w:pPr>
              <w:jc w:val="right"/>
            </w:pPr>
            <w:r>
              <w:rPr>
                <w:rFonts w:hint="eastAsia"/>
              </w:rPr>
              <w:t>待测</w:t>
            </w:r>
          </w:p>
        </w:tc>
        <w:tc>
          <w:p w14:paraId="12E75FDF">
            <w:r>
              <w:rPr>
                <w:rFonts w:hint="eastAsia"/>
              </w:rPr>
              <w:t>待分类</w:t>
            </w:r>
          </w:p>
        </w:tc>
      </w:tr>
      <w:tr w14:paraId="58E7128E">
        <w:tblPrEx>
          <w:tblCellMar>
            <w:top w:w="0" w:type="dxa"/>
            <w:left w:w="108" w:type="dxa"/>
            <w:bottom w:w="0" w:type="dxa"/>
            <w:right w:w="108" w:type="dxa"/>
          </w:tblCellMar>
        </w:tblPrEx>
        <w:tc>
          <w:p w14:paraId="34A4B393">
            <w:r>
              <w:rPr>
                <w:rFonts w:hint="eastAsia"/>
              </w:rPr>
              <w:t>无二次定位</w:t>
            </w:r>
          </w:p>
        </w:tc>
        <w:tc>
          <w:p w14:paraId="2CB433D6">
            <w:pPr>
              <w:jc w:val="right"/>
            </w:pPr>
            <w:r>
              <w:rPr>
                <w:rFonts w:hint="eastAsia"/>
              </w:rPr>
              <w:t>待测</w:t>
            </w:r>
          </w:p>
        </w:tc>
        <w:tc>
          <w:p w14:paraId="41F57BDD">
            <w:pPr>
              <w:jc w:val="right"/>
            </w:pPr>
            <w:r>
              <w:rPr>
                <w:rFonts w:hint="eastAsia"/>
              </w:rPr>
              <w:t>待测</w:t>
            </w:r>
          </w:p>
        </w:tc>
        <w:tc>
          <w:p w14:paraId="584BD818">
            <w:pPr>
              <w:jc w:val="right"/>
            </w:pPr>
            <w:r>
              <w:rPr>
                <w:rFonts w:hint="eastAsia"/>
              </w:rPr>
              <w:t>待测</w:t>
            </w:r>
          </w:p>
        </w:tc>
        <w:tc>
          <w:p w14:paraId="35382D2E">
            <w:r>
              <w:rPr>
                <w:rFonts w:hint="eastAsia"/>
              </w:rPr>
              <w:t>待分类</w:t>
            </w:r>
          </w:p>
        </w:tc>
      </w:tr>
    </w:tbl>
    <w:p w14:paraId="56AFE0A5">
      <w:pPr>
        <w:pStyle w:val="19"/>
        <w:spacing w:before="40" w:after="120"/>
        <w:ind w:firstLine="0"/>
        <w:jc w:val="center"/>
      </w:pPr>
      <w:r>
        <w:rPr>
          <w:rFonts w:hint="eastAsia" w:ascii="Times New Roman" w:hAnsi="Times New Roman" w:eastAsia="宋体" w:cs="Times New Roman"/>
          <w:b/>
          <w:color w:val="000000"/>
          <w:sz w:val="19"/>
        </w:rPr>
        <w:t>表</w:t>
      </w:r>
      <w:r>
        <w:rPr>
          <w:rFonts w:ascii="Times New Roman" w:hAnsi="Times New Roman" w:eastAsia="宋体" w:cs="Times New Roman"/>
          <w:b/>
          <w:color w:val="000000"/>
          <w:sz w:val="19"/>
        </w:rPr>
        <w:t xml:space="preserve"> 2 </w:t>
      </w:r>
      <w:r>
        <w:rPr>
          <w:rFonts w:hint="eastAsia" w:ascii="Times New Roman" w:hAnsi="Times New Roman" w:eastAsia="宋体" w:cs="Times New Roman"/>
          <w:b/>
          <w:color w:val="000000"/>
          <w:sz w:val="19"/>
        </w:rPr>
        <w:t>和表</w:t>
      </w:r>
      <w:r>
        <w:rPr>
          <w:rFonts w:ascii="Times New Roman" w:hAnsi="Times New Roman" w:eastAsia="宋体" w:cs="Times New Roman"/>
          <w:b/>
          <w:color w:val="000000"/>
          <w:sz w:val="19"/>
        </w:rPr>
        <w:t xml:space="preserve"> 3 </w:t>
      </w:r>
      <w:r>
        <w:rPr>
          <w:rFonts w:hint="eastAsia" w:ascii="Times New Roman" w:hAnsi="Times New Roman" w:eastAsia="宋体" w:cs="Times New Roman"/>
          <w:b/>
          <w:color w:val="000000"/>
          <w:sz w:val="19"/>
        </w:rPr>
        <w:t>仅用于说明后续正式实验的统计口径，当前不作为实验结果。</w:t>
      </w:r>
    </w:p>
    <w:bookmarkEnd w:id="18"/>
    <w:p w14:paraId="3CAE940B">
      <w:pPr>
        <w:pStyle w:val="5"/>
      </w:pPr>
      <w:bookmarkStart w:id="19" w:name="预期评价指标"/>
      <w:r>
        <w:t xml:space="preserve">5.3 </w:t>
      </w:r>
      <w:r>
        <w:rPr>
          <w:rFonts w:hint="eastAsia"/>
        </w:rPr>
        <w:t>预期评价指标</w:t>
      </w:r>
    </w:p>
    <w:p w14:paraId="7157CEF8">
      <w:r>
        <w:rPr>
          <w:rFonts w:hint="eastAsia"/>
        </w:rPr>
        <w:t>后续正式实验将从识别精度、执行效果和系统效率三个方面评估方法。</w:t>
      </w:r>
    </w:p>
    <w:p w14:paraId="61B914B3">
      <w:pPr>
        <w:pStyle w:val="19"/>
      </w:pPr>
      <w:r>
        <w:rPr>
          <w:rFonts w:hint="eastAsia"/>
        </w:rPr>
        <w:t>定位误差定义为预测抓取点与人工标注或机器人示教真值之间的欧氏距离，如式</w:t>
      </w:r>
      <w:r>
        <w:t xml:space="preserve"> (5-1) </w:t>
      </w:r>
      <w:r>
        <w:rPr>
          <w:rFonts w:hint="eastAsia"/>
        </w:rPr>
        <w:t>所示：</w:t>
      </w:r>
    </w:p>
    <w:p w14:paraId="09BD1BC4">
      <w:pPr>
        <w:pStyle w:val="19"/>
      </w:pPr>
      <m:oMathPara>
        <m:oMathParaPr>
          <m:jc m:val="center"/>
        </m:oMathParaPr>
        <m:oMath>
          <m:sSub>
            <m:sSubPr/>
            <m:e>
              <m:r>
                <m:rPr/>
                <m:t>e</m:t>
              </m:r>
            </m:e>
            <m:sub>
              <m:r>
                <m:rPr/>
                <m:t>p</m:t>
              </m:r>
            </m:sub>
          </m:sSub>
          <m:r>
            <m:rPr>
              <m:sty m:val="p"/>
            </m:rPr>
            <m:t>=</m:t>
          </m:r>
          <m:rad>
            <m:radPr>
              <m:degHide m:val="1"/>
            </m:radPr>
            <m:deg/>
            <m:e>
              <m:r>
                <m:rPr>
                  <m:sty m:val="p"/>
                </m:rPr>
                <m:t>(</m:t>
              </m:r>
              <m:r>
                <m:rPr/>
                <m:t>x</m:t>
              </m:r>
              <m:r>
                <m:rPr>
                  <m:sty m:val="p"/>
                </m:rPr>
                <m:t>−</m:t>
              </m:r>
              <m:acc>
                <m:accPr/>
                <m:e>
                  <m:r>
                    <m:rPr/>
                    <m:t>x</m:t>
                  </m:r>
                </m:e>
              </m:acc>
              <m:sSup>
                <m:sSupPr/>
                <m:e>
                  <m:r>
                    <m:rPr>
                      <m:sty m:val="p"/>
                    </m:rPr>
                    <m:t>)</m:t>
                  </m:r>
                </m:e>
                <m:sup>
                  <m:r>
                    <m:rPr/>
                    <m:t>2</m:t>
                  </m:r>
                </m:sup>
              </m:sSup>
              <m:r>
                <m:rPr>
                  <m:sty m:val="p"/>
                </m:rPr>
                <m:t>+(</m:t>
              </m:r>
              <m:r>
                <m:rPr/>
                <m:t>y</m:t>
              </m:r>
              <m:r>
                <m:rPr>
                  <m:sty m:val="p"/>
                </m:rPr>
                <m:t>−</m:t>
              </m:r>
              <m:acc>
                <m:accPr/>
                <m:e>
                  <m:r>
                    <m:rPr/>
                    <m:t>y</m:t>
                  </m:r>
                </m:e>
              </m:acc>
              <m:sSup>
                <m:sSupPr/>
                <m:e>
                  <m:r>
                    <m:rPr>
                      <m:sty m:val="p"/>
                    </m:rPr>
                    <m:t>)</m:t>
                  </m:r>
                </m:e>
                <m:sup>
                  <m:r>
                    <m:rPr/>
                    <m:t>2</m:t>
                  </m:r>
                </m:sup>
              </m:sSup>
            </m:e>
          </m:rad>
          <m:r>
            <m:rPr/>
            <m:t>  </m:t>
          </m:r>
          <m:r>
            <m:rPr>
              <m:nor/>
              <m:sty m:val="p"/>
            </m:rPr>
            <w:rPr>
              <w:b w:val="0"/>
              <w:i w:val="0"/>
            </w:rPr>
            <m:t>(5-1)</m:t>
          </m:r>
        </m:oMath>
      </m:oMathPara>
    </w:p>
    <w:p w14:paraId="6F0990A1">
      <w:r>
        <w:rPr>
          <w:rFonts w:hint="eastAsia"/>
        </w:rPr>
        <w:t>角度误差定义为预测角度与真值角度的最小周期差，如式</w:t>
      </w:r>
      <w:r>
        <w:t xml:space="preserve"> (5-2) </w:t>
      </w:r>
      <w:r>
        <w:rPr>
          <w:rFonts w:hint="eastAsia"/>
        </w:rPr>
        <w:t>所示：</w:t>
      </w:r>
    </w:p>
    <w:p w14:paraId="0D5D1074">
      <w:pPr>
        <w:pStyle w:val="19"/>
      </w:pPr>
      <m:oMathPara>
        <m:oMathParaPr>
          <m:jc m:val="center"/>
        </m:oMathParaPr>
        <m:oMath>
          <m:sSub>
            <m:sSubPr/>
            <m:e>
              <m:r>
                <m:rPr/>
                <m:t>e</m:t>
              </m:r>
            </m:e>
            <m:sub>
              <m:r>
                <m:rPr/>
                <m:t>θ</m:t>
              </m:r>
            </m:sub>
          </m:sSub>
          <m:r>
            <m:rPr>
              <m:sty m:val="p"/>
            </m:rPr>
            <m:t>=min(|</m:t>
          </m:r>
          <m:r>
            <m:rPr/>
            <m:t>θ</m:t>
          </m:r>
          <m:r>
            <m:rPr>
              <m:sty m:val="p"/>
            </m:rPr>
            <m:t>−</m:t>
          </m:r>
          <m:acc>
            <m:accPr/>
            <m:e>
              <m:r>
                <m:rPr/>
                <m:t>θ</m:t>
              </m:r>
            </m:e>
          </m:acc>
          <m:r>
            <m:rPr>
              <m:sty m:val="p"/>
            </m:rPr>
            <m:t>|,</m:t>
          </m:r>
          <m:sSup>
            <m:sSupPr/>
            <m:e>
              <m:r>
                <m:rPr/>
                <m:t>180</m:t>
              </m:r>
            </m:e>
            <m:sup>
              <m:r>
                <m:rPr>
                  <m:sty m:val="p"/>
                </m:rPr>
                <m:t>∘</m:t>
              </m:r>
            </m:sup>
          </m:sSup>
          <m:r>
            <m:rPr>
              <m:sty m:val="p"/>
            </m:rPr>
            <m:t>−|</m:t>
          </m:r>
          <m:r>
            <m:rPr/>
            <m:t>θ</m:t>
          </m:r>
          <m:r>
            <m:rPr>
              <m:sty m:val="p"/>
            </m:rPr>
            <m:t>−</m:t>
          </m:r>
          <m:acc>
            <m:accPr/>
            <m:e>
              <m:r>
                <m:rPr/>
                <m:t>θ</m:t>
              </m:r>
            </m:e>
          </m:acc>
          <m:r>
            <m:rPr>
              <m:sty m:val="p"/>
            </m:rPr>
            <m:t>|)</m:t>
          </m:r>
          <m:r>
            <m:rPr/>
            <m:t>  </m:t>
          </m:r>
          <m:r>
            <m:rPr>
              <m:nor/>
              <m:sty m:val="p"/>
            </m:rPr>
            <w:rPr>
              <w:b w:val="0"/>
              <w:i w:val="0"/>
            </w:rPr>
            <m:t>(5-2)</m:t>
          </m:r>
        </m:oMath>
      </m:oMathPara>
    </w:p>
    <w:p w14:paraId="67881398">
      <w:r>
        <w:rPr>
          <w:rFonts w:hint="eastAsia"/>
        </w:rPr>
        <w:t>抓取成功率定义为成功吸取并移动目标砖块的次数占总尝试次数的比例，如式</w:t>
      </w:r>
      <w:r>
        <w:t xml:space="preserve"> (5-3) </w:t>
      </w:r>
      <w:r>
        <w:rPr>
          <w:rFonts w:hint="eastAsia"/>
        </w:rPr>
        <w:t>所示：</w:t>
      </w:r>
    </w:p>
    <w:p w14:paraId="3F517B42">
      <w:pPr>
        <w:pStyle w:val="19"/>
      </w:pPr>
      <m:oMathPara>
        <m:oMathParaPr>
          <m:jc m:val="center"/>
        </m:oMathParaPr>
        <m:oMath>
          <m:sSub>
            <m:sSubPr/>
            <m:e>
              <m:r>
                <m:rPr/>
                <m:t>R</m:t>
              </m:r>
            </m:e>
            <m:sub>
              <m:r>
                <m:rPr/>
                <m:t>g</m:t>
              </m:r>
            </m:sub>
          </m:sSub>
          <m:r>
            <m:rPr>
              <m:sty m:val="p"/>
            </m:rPr>
            <m:t>=</m:t>
          </m:r>
          <m:f>
            <m:fPr/>
            <m:num>
              <m:sSub>
                <m:sSubPr/>
                <m:e>
                  <m:r>
                    <m:rPr/>
                    <m:t>N</m:t>
                  </m:r>
                </m:e>
                <m:sub>
                  <m:r>
                    <m:rPr/>
                    <m:t>success</m:t>
                  </m:r>
                </m:sub>
              </m:sSub>
            </m:num>
            <m:den>
              <m:sSub>
                <m:sSubPr/>
                <m:e>
                  <m:r>
                    <m:rPr/>
                    <m:t>N</m:t>
                  </m:r>
                </m:e>
                <m:sub>
                  <m:r>
                    <m:rPr/>
                    <m:t>total</m:t>
                  </m:r>
                </m:sub>
              </m:sSub>
            </m:den>
          </m:f>
          <m:r>
            <m:rPr/>
            <m:t>  </m:t>
          </m:r>
          <m:r>
            <m:rPr>
              <m:nor/>
              <m:sty m:val="p"/>
            </m:rPr>
            <w:rPr>
              <w:b w:val="0"/>
              <w:i w:val="0"/>
            </w:rPr>
            <m:t>(5-3)</m:t>
          </m:r>
        </m:oMath>
      </m:oMathPara>
    </w:p>
    <w:p w14:paraId="7A454C0E">
      <w:r>
        <w:rPr>
          <w:rFonts w:hint="eastAsia"/>
        </w:rPr>
        <w:t>此外，系统还计划统计候选缺失率、误检率、二次定位成功率、平均处理时间和离线复盘一致率。</w:t>
      </w:r>
    </w:p>
    <w:bookmarkEnd w:id="16"/>
    <w:bookmarkEnd w:id="19"/>
    <w:p w14:paraId="7C748F58">
      <w:pPr>
        <w:pStyle w:val="4"/>
      </w:pPr>
      <w:bookmarkStart w:id="20" w:name="讨论"/>
      <w:r>
        <w:t xml:space="preserve">6 </w:t>
      </w:r>
      <w:r>
        <w:rPr>
          <w:rFonts w:hint="eastAsia"/>
        </w:rPr>
        <w:t>讨论</w:t>
      </w:r>
    </w:p>
    <w:p w14:paraId="0CAE9E67">
      <w:r>
        <w:rPr>
          <w:rFonts w:hint="eastAsia"/>
        </w:rPr>
        <w:t>从方法设计看，本文方法的核心优势不在于提出新的大规模深度网络，而在于针对规则砖块抓取任务构建了可解释、可部署、可复盘的</w:t>
      </w:r>
      <w:r>
        <w:t xml:space="preserve"> RGB-D </w:t>
      </w:r>
      <w:r>
        <w:rPr>
          <w:rFonts w:hint="eastAsia"/>
        </w:rPr>
        <w:t>融合流程。与纯</w:t>
      </w:r>
      <w:r>
        <w:t xml:space="preserve"> RGB </w:t>
      </w:r>
      <w:r>
        <w:rPr>
          <w:rFonts w:hint="eastAsia"/>
        </w:rPr>
        <w:t>方法相比，深度几何分支能够利用砖块高度、矩形形状和平面性等先验信息，对</w:t>
      </w:r>
      <w:r>
        <w:t xml:space="preserve"> RGB </w:t>
      </w:r>
      <w:r>
        <w:rPr>
          <w:rFonts w:hint="eastAsia"/>
        </w:rPr>
        <w:t>分割结果进行验证或替代；与纯深度方法相比，RGB</w:t>
      </w:r>
      <w:r>
        <w:t xml:space="preserve"> </w:t>
      </w:r>
      <w:r>
        <w:rPr>
          <w:rFonts w:hint="eastAsia"/>
        </w:rPr>
        <w:t>分支能够在深度缺失时提供语义回退，并在复杂背景中帮助区分目标与非目标区域。深度优先、RGB</w:t>
      </w:r>
      <w:r>
        <w:t xml:space="preserve"> </w:t>
      </w:r>
      <w:r>
        <w:rPr>
          <w:rFonts w:hint="eastAsia"/>
        </w:rPr>
        <w:t>回退机制使系统在不同数据质量条件下具有更灵活的决策能力。</w:t>
      </w:r>
    </w:p>
    <w:p w14:paraId="66FB86AD">
      <w:pPr>
        <w:pStyle w:val="19"/>
      </w:pPr>
      <w:r>
        <w:rPr>
          <w:rFonts w:hint="eastAsia"/>
        </w:rPr>
        <w:t>工程实现方面，过程记录和离线复盘模块对论文实验具有重要意义。它们不仅保存识别结果，还保存原始输入、运行状态和机器人执行信息，使每一次成功或失败都能被复查。这种闭环数据结构可以支撑后续的参数调优、失败分类和消融实验。对于大创、竞赛或工程应用论文而言，该部分能够体现系统完整性和实验可追溯性。</w:t>
      </w:r>
    </w:p>
    <w:p w14:paraId="5ABE1E17">
      <w:pPr>
        <w:pStyle w:val="19"/>
      </w:pPr>
      <w:r>
        <w:rPr>
          <w:rFonts w:hint="eastAsia"/>
        </w:rPr>
        <w:t>本文当前仍存在局限。首先，现有预实验样本量较小，不能直接证明方法在多种现场条件下优于纯</w:t>
      </w:r>
      <w:r>
        <w:t xml:space="preserve"> RGB </w:t>
      </w:r>
      <w:r>
        <w:rPr>
          <w:rFonts w:hint="eastAsia"/>
        </w:rPr>
        <w:t>方法。其次，深度几何阈值仍依赖人工经验，需要在更大数据集上进行系统调参。第三，当前方法主要针对形状规则、尺寸先验明确的砖块目标，对于形状复杂或柔性物体的泛化能力有限。最后，二次定位阶段的失败恢复策略仍较保守，后续可结合在线质量评价或闭环视觉伺服进一步优化。</w:t>
      </w:r>
    </w:p>
    <w:bookmarkEnd w:id="20"/>
    <w:p w14:paraId="6B07A678">
      <w:pPr>
        <w:pStyle w:val="4"/>
      </w:pPr>
      <w:bookmarkStart w:id="21" w:name="结论"/>
      <w:r>
        <w:t xml:space="preserve">7 </w:t>
      </w:r>
      <w:r>
        <w:rPr>
          <w:rFonts w:hint="eastAsia"/>
        </w:rPr>
        <w:t>结论</w:t>
      </w:r>
    </w:p>
    <w:p w14:paraId="6A90A75D">
      <w:r>
        <w:rPr>
          <w:rFonts w:hint="eastAsia"/>
        </w:rPr>
        <w:t>本文面向协作机器人砖块抓取工作站，设计并实现一种基于</w:t>
      </w:r>
      <w:r>
        <w:t xml:space="preserve"> RGB-D </w:t>
      </w:r>
      <w:r>
        <w:rPr>
          <w:rFonts w:hint="eastAsia"/>
        </w:rPr>
        <w:t>融合与深度几何验证的抓取定位方法。该方法将</w:t>
      </w:r>
      <w:r>
        <w:t xml:space="preserve"> RGB </w:t>
      </w:r>
      <w:r>
        <w:rPr>
          <w:rFonts w:hint="eastAsia"/>
        </w:rPr>
        <w:t>实例分割的语义识别能力与深度图中的几何约束相结合，通过候选匹配、深度优先决策和</w:t>
      </w:r>
      <w:r>
        <w:t xml:space="preserve"> RGB </w:t>
      </w:r>
      <w:r>
        <w:rPr>
          <w:rFonts w:hint="eastAsia"/>
        </w:rPr>
        <w:t>回退机制输出可执行抓取位姿，并进一步引入二次定位、旋转补偿、过程记录和离线复盘模块。预实验验证了系统流程可行，说明当前系统已经具备真实</w:t>
      </w:r>
      <w:r>
        <w:t xml:space="preserve"> RGB-D </w:t>
      </w:r>
      <w:r>
        <w:rPr>
          <w:rFonts w:hint="eastAsia"/>
        </w:rPr>
        <w:t>数据采集、多阶段运行记录和离线一致性检查能力。后续工作将补充大规模真实抓取实验，系统比较纯</w:t>
      </w:r>
      <w:r>
        <w:t xml:space="preserve"> </w:t>
      </w:r>
      <w:r>
        <w:rPr>
          <w:rFonts w:hint="eastAsia"/>
        </w:rPr>
        <w:t>RGB、纯深度和</w:t>
      </w:r>
      <w:r>
        <w:t xml:space="preserve"> RGB-D </w:t>
      </w:r>
      <w:r>
        <w:rPr>
          <w:rFonts w:hint="eastAsia"/>
        </w:rPr>
        <w:t>融合方法在定位误差、角度误差、抓取成功率和处理时间方面的差异，并进一步优化深度几何评分和失败重试策略。</w:t>
      </w:r>
    </w:p>
    <w:bookmarkEnd w:id="21"/>
    <w:p w14:paraId="0929B9BB">
      <w:pPr>
        <w:pStyle w:val="4"/>
      </w:pPr>
      <w:bookmarkStart w:id="22" w:name="参考文献"/>
      <w:r>
        <w:rPr>
          <w:rFonts w:hint="eastAsia"/>
        </w:rPr>
        <w:t>参考文献</w:t>
      </w:r>
    </w:p>
    <w:p w14:paraId="125A8FFD">
      <w:r>
        <w:t xml:space="preserve">[1] I. Lenz, H. Lee, and A. Saxena, “Deep Learning for Detecting Robotic Grasps,” </w:t>
      </w:r>
      <w:r>
        <w:rPr>
          <w:i/>
          <w:iCs/>
        </w:rPr>
        <w:t>The International Journal of Robotics Research</w:t>
      </w:r>
      <w:r>
        <w:t>, vol. 34, no. 4-5, pp. 705-724, 2015. DOI: 10.1177/0278364914549607.</w:t>
      </w:r>
    </w:p>
    <w:p w14:paraId="559A527F">
      <w:pPr>
        <w:pStyle w:val="19"/>
      </w:pPr>
      <w:r>
        <w:t xml:space="preserve">[2] J. Mahler, J. Liang, S. Niyaz, M. Laskey, R. Doan, X. Liu, J. A. Ojea, and K. Goldberg, “Dex-Net 2.0: Deep Learning to Plan Robust Grasps with Synthetic Point Clouds and Analytic Grasp Metrics,” in </w:t>
      </w:r>
      <w:r>
        <w:rPr>
          <w:i/>
          <w:iCs/>
        </w:rPr>
        <w:t>Robotics: Science and Systems</w:t>
      </w:r>
      <w:r>
        <w:t>, 2017.</w:t>
      </w:r>
    </w:p>
    <w:p w14:paraId="27FA5BA5">
      <w:pPr>
        <w:pStyle w:val="19"/>
      </w:pPr>
      <w:r>
        <w:t xml:space="preserve">[3] D. Morrison, P. Corke, and J. Leitner, “Learning robust, real-time, reactive robotic grasping,” </w:t>
      </w:r>
      <w:r>
        <w:rPr>
          <w:i/>
          <w:iCs/>
        </w:rPr>
        <w:t>The International Journal of Robotics Research</w:t>
      </w:r>
      <w:r>
        <w:t>, vol. 39, no. 2-3, pp. 183-201, 2020. DOI: 10.1177/0278364919859066.</w:t>
      </w:r>
    </w:p>
    <w:p w14:paraId="57DD8D1D">
      <w:pPr>
        <w:pStyle w:val="19"/>
      </w:pPr>
      <w:r>
        <w:t xml:space="preserve">[4] K. He, G. Gkioxari, P. Dollar, and R. Girshick, “Mask R-CNN,” in </w:t>
      </w:r>
      <w:r>
        <w:rPr>
          <w:i/>
          <w:iCs/>
        </w:rPr>
        <w:t>Proceedings of the IEEE International Conference on Computer Vision</w:t>
      </w:r>
      <w:r>
        <w:t>, 2017, pp. 2961-2969.</w:t>
      </w:r>
    </w:p>
    <w:p w14:paraId="69824348">
      <w:pPr>
        <w:pStyle w:val="19"/>
      </w:pPr>
      <w:r>
        <w:t>[5] Ultralytics, “Ultralytics YOLOv8 Documentation,” 2024. [Online]. Available: https://docs.ultralytics.com/</w:t>
      </w:r>
    </w:p>
    <w:p w14:paraId="787EDE45">
      <w:pPr>
        <w:pStyle w:val="19"/>
      </w:pPr>
      <w:r>
        <w:t>[6] R. Qin, H. Ma, B. Gao, and D. Huang, “RGB-D Grasp Detection via Depth Guided Learning with Cross-modal Attention,” arXiv preprint arXiv:2302.14264, 2023.</w:t>
      </w:r>
    </w:p>
    <w:p w14:paraId="403763FB">
      <w:pPr>
        <w:pStyle w:val="19"/>
      </w:pPr>
      <w:r>
        <w:t xml:space="preserve">[7] A. ten Pas, M. Gualtieri, K. Saenko, and R. Platt, “Grasp Pose Detection in Point Clouds,” </w:t>
      </w:r>
      <w:r>
        <w:rPr>
          <w:i/>
          <w:iCs/>
        </w:rPr>
        <w:t>The International Journal of Robotics Research</w:t>
      </w:r>
      <w:r>
        <w:t>, vol. 36, no. 13-14, pp. 1455-1473, 2017.</w:t>
      </w:r>
    </w:p>
    <w:p w14:paraId="265E1E03">
      <w:pPr>
        <w:pStyle w:val="19"/>
      </w:pPr>
      <w:r>
        <w:t xml:space="preserve">[8] R. B. Rusu and S. Cousins, “3D is Here: Point Cloud Library (PCL),” in </w:t>
      </w:r>
      <w:r>
        <w:rPr>
          <w:i/>
          <w:iCs/>
        </w:rPr>
        <w:t>IEEE International Conference on Robotics and Automation Workshops</w:t>
      </w:r>
      <w:r>
        <w:t>, 2011.</w:t>
      </w:r>
    </w:p>
    <w:bookmarkEnd w:id="22"/>
    <w:p w14:paraId="7A7F88AA">
      <w:pPr>
        <w:pStyle w:val="4"/>
      </w:pPr>
      <w:bookmarkStart w:id="23" w:name="投稿前待完成清单"/>
      <w:bookmarkStart w:id="24" w:name="_GoBack"/>
      <w:bookmarkEnd w:id="24"/>
      <w:r>
        <w:rPr>
          <w:rFonts w:hint="eastAsia"/>
        </w:rPr>
        <w:t>前待完成清单</w:t>
      </w:r>
    </w:p>
    <w:p w14:paraId="6D23D7D0">
      <w:pPr>
        <w:numPr>
          <w:ilvl w:val="0"/>
          <w:numId w:val="12"/>
        </w:numPr>
      </w:pPr>
      <w:r>
        <w:rPr>
          <w:rFonts w:hint="eastAsia"/>
        </w:rPr>
        <w:t>补采不少于</w:t>
      </w:r>
      <w:r>
        <w:t xml:space="preserve"> 100 </w:t>
      </w:r>
      <w:r>
        <w:rPr>
          <w:rFonts w:hint="eastAsia"/>
        </w:rPr>
        <w:t>组</w:t>
      </w:r>
      <w:r>
        <w:t xml:space="preserve"> RGB-D </w:t>
      </w:r>
      <w:r>
        <w:rPr>
          <w:rFonts w:hint="eastAsia"/>
        </w:rPr>
        <w:t>场景，建议目标为</w:t>
      </w:r>
      <w:r>
        <w:t xml:space="preserve"> 200 </w:t>
      </w:r>
      <w:r>
        <w:rPr>
          <w:rFonts w:hint="eastAsia"/>
        </w:rPr>
        <w:t>组以上。</w:t>
      </w:r>
    </w:p>
    <w:p w14:paraId="71E830FA">
      <w:pPr>
        <w:numPr>
          <w:ilvl w:val="0"/>
          <w:numId w:val="12"/>
        </w:numPr>
      </w:pPr>
      <w:r>
        <w:rPr>
          <w:rFonts w:hint="eastAsia"/>
        </w:rPr>
        <w:t>为每组样本建立人工真值或机器人示教真值，至少包含抓取中心、角度和执行结果。</w:t>
      </w:r>
    </w:p>
    <w:p w14:paraId="4B9111E6">
      <w:pPr>
        <w:numPr>
          <w:ilvl w:val="0"/>
          <w:numId w:val="12"/>
        </w:numPr>
      </w:pPr>
      <w:r>
        <w:rPr>
          <w:rFonts w:hint="eastAsia"/>
        </w:rPr>
        <w:t>运行</w:t>
      </w:r>
      <w:r>
        <w:t xml:space="preserve"> RGB-only、Depth-only、RGB-D legacy、Ours </w:t>
      </w:r>
      <w:r>
        <w:rPr>
          <w:rFonts w:hint="eastAsia"/>
        </w:rPr>
        <w:t>和</w:t>
      </w:r>
      <w:r>
        <w:t xml:space="preserve"> Ours + secondary </w:t>
      </w:r>
      <w:r>
        <w:rPr>
          <w:rFonts w:hint="eastAsia"/>
        </w:rPr>
        <w:t>五组对比。</w:t>
      </w:r>
    </w:p>
    <w:p w14:paraId="63F9FA7A">
      <w:pPr>
        <w:numPr>
          <w:ilvl w:val="0"/>
          <w:numId w:val="12"/>
        </w:numPr>
      </w:pPr>
      <w:r>
        <w:rPr>
          <w:rFonts w:hint="eastAsia"/>
        </w:rPr>
        <w:t>生成定位误差、角度误差、成功率和处理时间统计表。</w:t>
      </w:r>
    </w:p>
    <w:p w14:paraId="421FCF29">
      <w:pPr>
        <w:numPr>
          <w:ilvl w:val="0"/>
          <w:numId w:val="12"/>
        </w:numPr>
      </w:pPr>
      <w:r>
        <w:rPr>
          <w:rFonts w:hint="eastAsia"/>
        </w:rPr>
        <w:t>补充</w:t>
      </w:r>
      <w:r>
        <w:t xml:space="preserve"> 3-5 </w:t>
      </w:r>
      <w:r>
        <w:rPr>
          <w:rFonts w:hint="eastAsia"/>
        </w:rPr>
        <w:t>张论文图：系统平台图、方法流程图、深度几何处理过程图、对比结果图、失败案例图。</w:t>
      </w:r>
    </w:p>
    <w:p w14:paraId="7E42C91E">
      <w:pPr>
        <w:numPr>
          <w:ilvl w:val="0"/>
          <w:numId w:val="12"/>
        </w:numPr>
      </w:pPr>
      <w:r>
        <w:rPr>
          <w:rFonts w:hint="eastAsia"/>
        </w:rPr>
        <w:t>根据目标期刊或会议格式改写为中文普刊稿或</w:t>
      </w:r>
      <w:r>
        <w:t xml:space="preserve"> IEEE </w:t>
      </w:r>
      <w:r>
        <w:rPr>
          <w:rFonts w:hint="eastAsia"/>
        </w:rPr>
        <w:t>英文稿。</w:t>
      </w:r>
    </w:p>
    <w:bookmarkEnd w:id="0"/>
    <w:bookmarkEnd w:id="23"/>
    <w:sectPr>
      <w:footerReference r:id="rId5" w:type="default"/>
      <w:pgSz w:w="11906" w:h="16838"/>
      <w:pgMar w:top="1440" w:right="1440" w:bottom="1440" w:left="1440" w:header="794" w:footer="79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37D1B">
    <w:pPr>
      <w:pStyle w:val="24"/>
      <w:jc w:val="center"/>
    </w:pPr>
    <w:r>
      <w:rPr>
        <w:rFonts w:ascii="Times New Roman" w:hAnsi="Times New Roman" w:eastAsia="宋体" w:cs="Times New Roman"/>
        <w:color w:val="5A5A5A"/>
        <w:sz w:val="18"/>
      </w:rPr>
      <w:t xml:space="preserve">- </w:t>
    </w:r>
    <w:r>
      <w:rPr>
        <w:rFonts w:ascii="Times New Roman" w:hAnsi="Times New Roman" w:eastAsia="宋体" w:cs="Times New Roman"/>
        <w:color w:val="5A5A5A"/>
        <w:sz w:val="18"/>
      </w:rPr>
      <w:fldChar w:fldCharType="begin"/>
    </w:r>
    <w:r>
      <w:rPr>
        <w:rFonts w:ascii="Times New Roman" w:hAnsi="Times New Roman" w:eastAsia="宋体" w:cs="Times New Roman"/>
        <w:color w:val="5A5A5A"/>
        <w:sz w:val="18"/>
      </w:rPr>
      <w:instrText xml:space="preserve">PAGE</w:instrText>
    </w:r>
    <w:r>
      <w:rPr>
        <w:rFonts w:ascii="Times New Roman" w:hAnsi="Times New Roman" w:eastAsia="宋体" w:cs="Times New Roman"/>
        <w:color w:val="5A5A5A"/>
        <w:sz w:val="18"/>
      </w:rPr>
      <w:fldChar w:fldCharType="separate"/>
    </w:r>
    <w:r>
      <w:rPr>
        <w:rFonts w:ascii="Times New Roman" w:hAnsi="Times New Roman" w:eastAsia="宋体" w:cs="Times New Roman"/>
        <w:color w:val="5A5A5A"/>
        <w:sz w:val="18"/>
      </w:rPr>
      <w:t>1</w:t>
    </w:r>
    <w:r>
      <w:rPr>
        <w:rFonts w:ascii="Times New Roman" w:hAnsi="Times New Roman" w:eastAsia="宋体" w:cs="Times New Roman"/>
        <w:color w:val="5A5A5A"/>
        <w:sz w:val="18"/>
      </w:rPr>
      <w:fldChar w:fldCharType="end"/>
    </w:r>
    <w:r>
      <w:rPr>
        <w:rFonts w:ascii="Times New Roman" w:hAnsi="Times New Roman" w:eastAsia="宋体" w:cs="Times New Roman"/>
        <w:color w:val="5A5A5A"/>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4D078B"/>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00" w:lineRule="auto"/>
      <w:ind w:firstLine="420"/>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200" w:after="120"/>
      <w:ind w:firstLine="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160" w:after="80"/>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5"/>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ource Code"/>
    <w:basedOn w:val="1"/>
    <w:uiPriority w:val="0"/>
    <w:pPr>
      <w:wordWrap w:val="0"/>
    </w:pPr>
  </w:style>
  <w:style w:type="character" w:customStyle="1" w:styleId="165">
    <w:name w:val="KeywordTok"/>
    <w:uiPriority w:val="0"/>
    <w:rPr>
      <w:b/>
      <w:color w:val="007020"/>
    </w:rPr>
  </w:style>
  <w:style w:type="character" w:customStyle="1" w:styleId="166">
    <w:name w:val="DataTypeTok"/>
    <w:uiPriority w:val="0"/>
    <w:rPr>
      <w:color w:val="902000"/>
    </w:rPr>
  </w:style>
  <w:style w:type="character" w:customStyle="1" w:styleId="167">
    <w:name w:val="DecValTok"/>
    <w:uiPriority w:val="0"/>
    <w:rPr>
      <w:color w:val="40A070"/>
    </w:rPr>
  </w:style>
  <w:style w:type="character" w:customStyle="1" w:styleId="168">
    <w:name w:val="BaseNTok"/>
    <w:uiPriority w:val="0"/>
    <w:rPr>
      <w:color w:val="40A070"/>
    </w:rPr>
  </w:style>
  <w:style w:type="character" w:customStyle="1" w:styleId="169">
    <w:name w:val="FloatTok"/>
    <w:uiPriority w:val="0"/>
    <w:rPr>
      <w:color w:val="40A070"/>
    </w:rPr>
  </w:style>
  <w:style w:type="character" w:customStyle="1" w:styleId="170">
    <w:name w:val="ConstantTok"/>
    <w:uiPriority w:val="0"/>
    <w:rPr>
      <w:color w:val="880000"/>
    </w:rPr>
  </w:style>
  <w:style w:type="character" w:customStyle="1" w:styleId="171">
    <w:name w:val="CharTok"/>
    <w:uiPriority w:val="0"/>
    <w:rPr>
      <w:color w:val="4070A0"/>
    </w:rPr>
  </w:style>
  <w:style w:type="character" w:customStyle="1" w:styleId="172">
    <w:name w:val="SpecialCharTok"/>
    <w:uiPriority w:val="0"/>
    <w:rPr>
      <w:color w:val="4070A0"/>
    </w:rPr>
  </w:style>
  <w:style w:type="character" w:customStyle="1" w:styleId="173">
    <w:name w:val="StringTok"/>
    <w:uiPriority w:val="0"/>
    <w:rPr>
      <w:color w:val="4070A0"/>
    </w:rPr>
  </w:style>
  <w:style w:type="character" w:customStyle="1" w:styleId="174">
    <w:name w:val="VerbatimStringTok"/>
    <w:uiPriority w:val="0"/>
    <w:rPr>
      <w:color w:val="4070A0"/>
    </w:rPr>
  </w:style>
  <w:style w:type="character" w:customStyle="1" w:styleId="175">
    <w:name w:val="SpecialStringTok"/>
    <w:uiPriority w:val="0"/>
    <w:rPr>
      <w:color w:val="BB6688"/>
    </w:rPr>
  </w:style>
  <w:style w:type="character" w:customStyle="1" w:styleId="176">
    <w:name w:val="ImportTok"/>
    <w:uiPriority w:val="0"/>
    <w:rPr>
      <w:b/>
      <w:color w:val="008000"/>
    </w:rPr>
  </w:style>
  <w:style w:type="character" w:customStyle="1" w:styleId="177">
    <w:name w:val="CommentTok"/>
    <w:uiPriority w:val="0"/>
    <w:rPr>
      <w:i/>
      <w:color w:val="60A0B0"/>
    </w:rPr>
  </w:style>
  <w:style w:type="character" w:customStyle="1" w:styleId="178">
    <w:name w:val="DocumentationTok"/>
    <w:uiPriority w:val="0"/>
    <w:rPr>
      <w:i/>
      <w:color w:val="BA2121"/>
    </w:rPr>
  </w:style>
  <w:style w:type="character" w:customStyle="1" w:styleId="179">
    <w:name w:val="AnnotationTok"/>
    <w:uiPriority w:val="0"/>
    <w:rPr>
      <w:b/>
      <w:i/>
      <w:color w:val="60A0B0"/>
    </w:rPr>
  </w:style>
  <w:style w:type="character" w:customStyle="1" w:styleId="180">
    <w:name w:val="CommentVarTok"/>
    <w:uiPriority w:val="0"/>
    <w:rPr>
      <w:b/>
      <w:i/>
      <w:color w:val="60A0B0"/>
    </w:rPr>
  </w:style>
  <w:style w:type="character" w:customStyle="1" w:styleId="181">
    <w:name w:val="OtherTok"/>
    <w:uiPriority w:val="0"/>
    <w:rPr>
      <w:color w:val="007020"/>
    </w:rPr>
  </w:style>
  <w:style w:type="character" w:customStyle="1" w:styleId="182">
    <w:name w:val="FunctionTok"/>
    <w:uiPriority w:val="0"/>
    <w:rPr>
      <w:color w:val="06287E"/>
    </w:rPr>
  </w:style>
  <w:style w:type="character" w:customStyle="1" w:styleId="183">
    <w:name w:val="VariableTok"/>
    <w:uiPriority w:val="0"/>
    <w:rPr>
      <w:color w:val="19177C"/>
    </w:rPr>
  </w:style>
  <w:style w:type="character" w:customStyle="1" w:styleId="184">
    <w:name w:val="ControlFlowTok"/>
    <w:uiPriority w:val="0"/>
    <w:rPr>
      <w:b/>
      <w:color w:val="007020"/>
    </w:rPr>
  </w:style>
  <w:style w:type="character" w:customStyle="1" w:styleId="185">
    <w:name w:val="OperatorTok"/>
    <w:uiPriority w:val="0"/>
    <w:rPr>
      <w:color w:val="666666"/>
    </w:rPr>
  </w:style>
  <w:style w:type="character" w:customStyle="1" w:styleId="186">
    <w:name w:val="BuiltInTok"/>
    <w:uiPriority w:val="0"/>
    <w:rPr>
      <w:color w:val="008000"/>
    </w:rPr>
  </w:style>
  <w:style w:type="character" w:customStyle="1" w:styleId="187">
    <w:name w:val="ExtensionTok"/>
    <w:uiPriority w:val="0"/>
  </w:style>
  <w:style w:type="character" w:customStyle="1" w:styleId="188">
    <w:name w:val="PreprocessorTok"/>
    <w:uiPriority w:val="0"/>
    <w:rPr>
      <w:color w:val="BC7A00"/>
    </w:rPr>
  </w:style>
  <w:style w:type="character" w:customStyle="1" w:styleId="189">
    <w:name w:val="AttributeTok"/>
    <w:uiPriority w:val="0"/>
    <w:rPr>
      <w:color w:val="7D9029"/>
    </w:rPr>
  </w:style>
  <w:style w:type="character" w:customStyle="1" w:styleId="190">
    <w:name w:val="RegionMarkerTok"/>
    <w:uiPriority w:val="0"/>
  </w:style>
  <w:style w:type="character" w:customStyle="1" w:styleId="191">
    <w:name w:val="InformationTok"/>
    <w:uiPriority w:val="0"/>
    <w:rPr>
      <w:b/>
      <w:i/>
      <w:color w:val="60A0B0"/>
    </w:rPr>
  </w:style>
  <w:style w:type="character" w:customStyle="1" w:styleId="192">
    <w:name w:val="WarningTok"/>
    <w:uiPriority w:val="0"/>
    <w:rPr>
      <w:b/>
      <w:i/>
      <w:color w:val="60A0B0"/>
    </w:rPr>
  </w:style>
  <w:style w:type="character" w:customStyle="1" w:styleId="193">
    <w:name w:val="AlertTok"/>
    <w:uiPriority w:val="0"/>
    <w:rPr>
      <w:b/>
      <w:color w:val="FF0000"/>
    </w:rPr>
  </w:style>
  <w:style w:type="character" w:customStyle="1" w:styleId="194">
    <w:name w:val="ErrorTok"/>
    <w:uiPriority w:val="0"/>
    <w:rPr>
      <w:b/>
      <w:color w:val="FF0000"/>
    </w:rPr>
  </w:style>
  <w:style w:type="character" w:customStyle="1" w:styleId="195">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3107</Words>
  <Characters>3341</Characters>
  <Lines>0</Lines>
  <Paragraphs>0</Paragraphs>
  <TotalTime>0</TotalTime>
  <ScaleCrop>false</ScaleCrop>
  <LinksUpToDate>false</LinksUpToDate>
  <CharactersWithSpaces>3460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2026-04-24T03:24:00Z</dcterms:created>
  <dc:creator>睡觉药锦</dc:creator>
  <cp:lastModifiedBy>睡觉药锦</cp:lastModifiedBy>
  <dcterms:modified xsi:type="dcterms:W3CDTF">2026-04-24T03:47:31Z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eyJoZGlkIjoiYjllNThmZmQ1NmMzMDQ4ZGQwM2JhMmUyZDM5MzNhZmEiLCJ1c2VySWQiOiIxNjI1NjM2MDA2In0=</vt:lpwstr>
  </property>
  <property fmtid="{D5CDD505-2E9C-101B-9397-08002B2CF9AE}" pid="3" name="KSOProductBuildVer">
    <vt:lpwstr>2052-12.1.0.25225</vt:lpwstr>
  </property>
  <property fmtid="{D5CDD505-2E9C-101B-9397-08002B2CF9AE}" pid="4" name="ICV">
    <vt:lpwstr>4B88B19CB8C747F5B3C05807E89B9BB7_12</vt:lpwstr>
  </property>
</Properties>
</file>