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黄丽婷_内容运营作品集_附链接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黄丽婷  |  内容运营作品集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新媒体运营经理 / 内容运营负责人 / 小红书运营负责人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5年经验 · 11人团队管理 · 抖音+小红书双平台 · 垂类IP商业化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电话：181-2422-9102  |  邮箱：1720142065@qq.com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目录</w:t>
      </w:r>
      <w:bookmarkEnd w:id="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Part 1  爆款案例：单条视频破亿播放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Part 2  商业变现：账号营收翻10倍+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Part 3  跨平台增长：小红书0-1冷启动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Part 4 AI赋能与品牌跨界合作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Part 5  团队管理：从2人到11人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Part 6 方法论：可复用的内容模型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Part 1  爆款案例：单条视频破亿播放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案例：许向前「烫伤急救」科普视频</w:t>
      </w:r>
      <w:r>
        <w:rPr>
          <w:rFonts w:eastAsia="等线" w:ascii="Arial" w:cs="Arial" w:hAnsi="Arial"/>
          <w:b w:val="true"/>
          <w:sz w:val="22"/>
        </w:rPr>
        <w:t xml:space="preserve">  </w:t>
      </w:r>
      <w:r>
        <w:rPr>
          <w:rFonts w:eastAsia="等线" w:ascii="Arial" w:cs="Arial" w:hAnsi="Arial"/>
          <w:sz w:val="22"/>
          <w:shd w:fill="bbbfc4"/>
        </w:rPr>
        <w:t xml:space="preserve">   https://v.douyin.c</w:t>
      </w:r>
      <w:r>
        <w:rPr>
          <w:rFonts w:eastAsia="等线" w:ascii="Arial" w:cs="Arial" w:hAnsi="Arial"/>
          <w:sz w:val="22"/>
          <w:shd w:fill="bbbfc4"/>
        </w:rPr>
        <w:t xml:space="preserve">om/1M1_n1MfB1s/ 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平台：抖音  |  时间：2022.10  角色：全流程独立负责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挑战：</w:t>
      </w:r>
      <w:r>
        <w:rPr>
          <w:rFonts w:eastAsia="等线" w:ascii="Arial" w:cs="Arial" w:hAnsi="Arial"/>
          <w:sz w:val="22"/>
        </w:rPr>
        <w:t>接手时账号仅6万粉，已停更3个月，知识内容门槛高，用户易觉枯燥，完播率低。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关键动作：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1、将复杂医学知识降维成大众可记忆的行动指令（原创"冲脱泡盖送 "五字口诀）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2、迭代 3 版：从 8万赞下架 → 迭代被限流 → 破亿播放，通过评论区争议点反向重塑开头钩子，实现破亿。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结果：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• 单条视频播放量 </w:t>
      </w:r>
      <w:r>
        <w:rPr>
          <w:rFonts w:eastAsia="等线" w:ascii="Arial" w:cs="Arial" w:hAnsi="Arial"/>
          <w:b w:val="true"/>
          <w:sz w:val="22"/>
        </w:rPr>
        <w:t>1亿+</w:t>
      </w:r>
      <w:r>
        <w:rPr>
          <w:rFonts w:eastAsia="等线" w:ascii="Arial" w:cs="Arial" w:hAnsi="Arial"/>
          <w:sz w:val="22"/>
        </w:rPr>
        <w:t>，登抖音实时热榜，点赞 200万+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单条涨粉</w:t>
      </w:r>
      <w:r>
        <w:rPr>
          <w:rFonts w:eastAsia="等线" w:ascii="Arial" w:cs="Arial" w:hAnsi="Arial"/>
          <w:b w:val="true"/>
          <w:sz w:val="22"/>
        </w:rPr>
        <w:t xml:space="preserve"> 20万+</w:t>
      </w:r>
      <w:r>
        <w:rPr>
          <w:rFonts w:eastAsia="等线" w:ascii="Arial" w:cs="Arial" w:hAnsi="Arial"/>
          <w:sz w:val="22"/>
        </w:rPr>
        <w:t>，账号从 30万粉 增长至 50万+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可迁移价值：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提炼误区纠正+信任建立+行动指令爆款模型，可直接复用于美妆护肤 ：成分误区纠正（如"早C晚A真的适合所有人吗"）、使用场景 教育（如"敏感肌如何建立耐受"）。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1315"/>
        <w:gridCol w:w="1314"/>
        <w:gridCol w:w="5650"/>
      </w:tblGrid>
      <w:tr>
        <w:tc>
          <w:tcPr>
            <w:tcW w:w="1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676275" cy="147637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676275" cy="14668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429000" cy="16859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Part 2  商业变现：账号营收翻10倍+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案例：张振颖账号商业化转型</w:t>
      </w:r>
      <w:r>
        <w:rPr>
          <w:rFonts w:eastAsia="等线" w:ascii="Arial" w:cs="Arial" w:hAnsi="Arial"/>
          <w:b w:val="true"/>
          <w:sz w:val="22"/>
        </w:rPr>
        <w:t xml:space="preserve">  链接：</w:t>
      </w:r>
      <w:r>
        <w:rPr>
          <w:rFonts w:eastAsia="等线" w:ascii="Arial" w:cs="Arial" w:hAnsi="Arial"/>
          <w:sz w:val="22"/>
          <w:shd w:fill="bbbfc4"/>
        </w:rPr>
        <w:t xml:space="preserve"> https://v.douyi</w:t>
      </w:r>
      <w:r>
        <w:rPr>
          <w:rFonts w:eastAsia="等线" w:ascii="Arial" w:cs="Arial" w:hAnsi="Arial"/>
          <w:sz w:val="22"/>
          <w:shd w:fill="bbbfc4"/>
        </w:rPr>
        <w:t>n.com/OKuxDinxJ_4/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平台：抖音 + 视频号  |  时间：2025.12 - 2026.04  | 我的角色：内容策略 + 团队统筹 + 商务联动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ea121"/>
          <w:sz w:val="22"/>
        </w:rPr>
        <w:t>挑战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200万粉账号数据低迷 ，点赞仅几百 ，商务合作月仅1-2条。内容形式单一 ，品牌方投放意愿低，变现天花板明显。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ea121"/>
          <w:sz w:val="22"/>
        </w:rPr>
        <w:t>关键动作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从流量思维转向信任思维：15秒短视频→3分钟中长视频，提升 用户信任深度与商业溢价空间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内容前置变现：让商务团队参与选题策划 ，在脚本阶段预留品牌 植入接口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建立「高敏感度话题切入→长期问题信任建立→ 日常降维」三阶 段选题路径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ea121"/>
          <w:sz w:val="22"/>
        </w:rPr>
        <w:t>可迁移价值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验证「内容即销售」闭环模型：内容设计阶段预留变现接口→中长视 频提升信任深度→商务溢价空间扩大。可直接复用于美妆护肤品牌的 内容种草与转化体系。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928"/>
        <w:gridCol w:w="4351"/>
      </w:tblGrid>
      <w:tr>
        <w:tc>
          <w:tcPr>
            <w:tcW w:w="392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333625" cy="115252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609850" cy="116205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1382"/>
        <w:gridCol w:w="6897"/>
      </w:tblGrid>
      <w:tr>
        <w:tc>
          <w:tcPr>
            <w:tcW w:w="138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723900" cy="154305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9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219575" cy="1800225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Part 3  跨平台增长点：小红书0-1启动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核心逻辑：主账号模型跑通后 ，横向复制寻找增量。同一内容公式 ，调整信任建 立方式适配新平台。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ea121"/>
          <w:sz w:val="22"/>
        </w:rPr>
        <w:t>平台适配策略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抖音：强钩子、高密度、快节奏 ，靠冲突和节奏抓用户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小红书：精致封面、关键词标题、利他性开头 ，靠审美和细节建 立信任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ea121"/>
          <w:sz w:val="22"/>
        </w:rPr>
        <w:t>验证结果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陈史宏单账号3个月涨粉50万  </w:t>
      </w:r>
      <w:hyperlink r:id="rId11">
        <w:r>
          <w:rPr>
            <w:rFonts w:eastAsia="等线" w:ascii="Arial" w:cs="Arial" w:hAnsi="Arial"/>
            <w:color w:val="3370ff"/>
            <w:sz w:val="22"/>
          </w:rPr>
          <w:t>https://xhslink</w:t>
        </w:r>
      </w:hyperlink>
      <w:hyperlink r:id="rId12">
        <w:r>
          <w:rPr>
            <w:rFonts w:eastAsia="等线" w:ascii="Arial" w:cs="Arial" w:hAnsi="Arial"/>
            <w:color w:val="3370ff"/>
            <w:sz w:val="22"/>
          </w:rPr>
          <w:t>.cn/o/7OLDoFmOKih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成功孵化4个垂类IP小红书账号，实现从0到1冷启动 组内80%账号实现破冰（全都是从0到1破万粉丝）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矩阵小号批量复制：同一公式 ，替换病种和专家人设 ，多个小号 快速产出爆款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ea121"/>
          <w:sz w:val="22"/>
        </w:rPr>
        <w:t>可迁移价值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小红书被称为"女生自己的百度"，搜索权重高。已验证的冷启动模型 可直接复用于美妆护肤品牌的小红书种草体系。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264"/>
        <w:gridCol w:w="3264"/>
        <w:gridCol w:w="875"/>
        <w:gridCol w:w="875"/>
      </w:tblGrid>
      <w:tr>
        <w:tc>
          <w:tcPr>
            <w:tcW w:w="326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14525" cy="1076325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14525" cy="1076325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00050" cy="876300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00050" cy="876300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Part 4  AI</w:t>
      </w:r>
      <w:r>
        <w:rPr>
          <w:rFonts w:eastAsia="等线" w:ascii="Arial" w:cs="Arial" w:hAnsi="Arial"/>
          <w:b w:val="true"/>
          <w:sz w:val="30"/>
        </w:rPr>
        <w:t>赋能与品牌跨界合作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AI内容生产管线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案端：熟练运用GPT、DeepSeek及Chatbox等工具，建立并迭代行业专属的“爆款文案公式”。通过将历史爆款内容输入模型进行逆向拆解，提炼出高转化的内容框架与话题切入点，实现文案初稿的高效生成与口语化润色，日常文案产出效率提升约40%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视觉端：采用即梦、豆包、libtv等AI工具生成科普配图与场景素材，降低实拍成本，提升内容更新频率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数据端：利用AI进行评论区情感分析与爆款元素提取 ，反哺于后续的选题策划和内容优化。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品牌跨界合作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C咖新品发布会 ：主导医生IP专家站台内容逻辑 ，协调品牌方与IP 专业背书内容共创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护发品牌直播：独立撰写专家采访Q&amp;A大纲 ，把控直播内容节奏 与专业调性 ，助力品牌信任种草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915"/>
        <w:gridCol w:w="5364"/>
      </w:tblGrid>
      <w:tr>
        <w:tc>
          <w:tcPr>
            <w:tcW w:w="2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95450" cy="2362200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248025" cy="2438400"/>
                  <wp:docPr id="12" name="Drawing 1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025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 xml:space="preserve">Part </w:t>
      </w:r>
      <w:r>
        <w:rPr>
          <w:rFonts w:eastAsia="等线" w:ascii="Arial" w:cs="Arial" w:hAnsi="Arial"/>
          <w:b w:val="true"/>
          <w:sz w:val="30"/>
        </w:rPr>
        <w:t>5</w:t>
      </w:r>
      <w:r>
        <w:rPr>
          <w:rFonts w:eastAsia="等线" w:ascii="Arial" w:cs="Arial" w:hAnsi="Arial"/>
          <w:b w:val="true"/>
          <w:sz w:val="30"/>
        </w:rPr>
        <w:t xml:space="preserve">  团队管理：从2人到11人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团队成长时间线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20"/>
        <w:gridCol w:w="1560"/>
        <w:gridCol w:w="4800"/>
      </w:tblGrid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团队规模</w:t>
            </w:r>
          </w:p>
        </w:tc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关键事件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2021.09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1人</w:t>
            </w:r>
          </w:p>
        </w:tc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个人执行，深耕内容一线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2022.07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2人</w:t>
            </w:r>
          </w:p>
        </w:tc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晋升组长，开始带教新人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7人</w:t>
            </w:r>
          </w:p>
        </w:tc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账号增至4个，建立标准化流程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2024-2026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11人</w:t>
            </w:r>
          </w:p>
        </w:tc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推行导师制，实现管理者外出期间团队自运转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核心管理数据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管理幅度增长：450%（2人 → 11人）负责6个百万级IP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新人上手周期：缩短 50%（设计三阶段带教SOP）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周会效率：2小时 → 40分钟，决议执行率 60% → 90%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人才培养：3人获公司优秀员工，均可独立负责百万级IP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团队韧性：2024年行业低谷期，数据下滑20% → 3个月后回升至120%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团队赋能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获公司内部认证内训师资质，荣获年度优秀讲师;参与领导力管理班、骨干精英班;牵头多场业务分享会，赋能跨部门同事。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662"/>
        <w:gridCol w:w="1968"/>
        <w:gridCol w:w="2648"/>
      </w:tblGrid>
      <w:tr>
        <w:tc>
          <w:tcPr>
            <w:tcW w:w="366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171700" cy="2857500"/>
                  <wp:docPr id="13" name="Drawing 1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月报模版</w:t>
              <w:br/>
            </w:r>
          </w:p>
        </w:tc>
        <w:tc>
          <w:tcPr>
            <w:tcW w:w="196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95375" cy="2705100"/>
                  <wp:docPr id="14" name="Drawing 1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组内运营sop</w:t>
              <w:br/>
            </w:r>
          </w:p>
        </w:tc>
        <w:tc>
          <w:tcPr>
            <w:tcW w:w="26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24000" cy="2790825"/>
                  <wp:docPr id="15" name="Drawing 1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P</w:t>
      </w:r>
      <w:r>
        <w:rPr>
          <w:rFonts w:eastAsia="等线" w:ascii="Arial" w:cs="Arial" w:hAnsi="Arial"/>
          <w:b w:val="true"/>
          <w:sz w:val="30"/>
        </w:rPr>
        <w:t>art6  部分可复用的文档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1、爆款分析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2、数据分析思路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3、如何0-1起一个账号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4、管理思路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5、怎么写文案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6、如何培养出一名优秀运营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7、周会/月报模板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1744"/>
        <w:gridCol w:w="3116"/>
        <w:gridCol w:w="2066"/>
        <w:gridCol w:w="1352"/>
      </w:tblGrid>
      <w:tr>
        <w:tc>
          <w:tcPr>
            <w:tcW w:w="174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52500" cy="1524000"/>
                  <wp:docPr id="16" name="Drawing 1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19275" cy="1619250"/>
                  <wp:docPr id="17" name="Drawing 1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52525" cy="1562100"/>
                  <wp:docPr id="18" name="Drawing 1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04850" cy="1466850"/>
                  <wp:docPr id="19" name="Drawing 1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724400" cy="282892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感谢阅读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期待与您探讨内容运营与团队管理的更多可能性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电话：181-2422-9102  |  邮箱：1720142065@qq.com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https://xhslink.cn/o/7OLDoFmOKih" TargetMode="External" Type="http://schemas.openxmlformats.org/officeDocument/2006/relationships/hyperlink"/><Relationship Id="rId12" Target="https://xhslink.cn/o/7OLDoFmOKih" TargetMode="External" Type="http://schemas.openxmlformats.org/officeDocument/2006/relationships/hyperlink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jpeg" Type="http://schemas.openxmlformats.org/officeDocument/2006/relationships/image"/><Relationship Id="rId18" Target="media/image13.jpeg" Type="http://schemas.openxmlformats.org/officeDocument/2006/relationships/image"/><Relationship Id="rId19" Target="media/image14.png" Type="http://schemas.openxmlformats.org/officeDocument/2006/relationships/image"/><Relationship Id="rId2" Target="styles.xml" Type="http://schemas.openxmlformats.org/officeDocument/2006/relationships/styles"/><Relationship Id="rId20" Target="media/image15.png" Type="http://schemas.openxmlformats.org/officeDocument/2006/relationships/image"/><Relationship Id="rId21" Target="media/image16.png" Type="http://schemas.openxmlformats.org/officeDocument/2006/relationships/image"/><Relationship Id="rId22" Target="media/image17.png" Type="http://schemas.openxmlformats.org/officeDocument/2006/relationships/image"/><Relationship Id="rId23" Target="media/image18.png" Type="http://schemas.openxmlformats.org/officeDocument/2006/relationships/image"/><Relationship Id="rId24" Target="media/image19.png" Type="http://schemas.openxmlformats.org/officeDocument/2006/relationships/image"/><Relationship Id="rId25" Target="media/image20.png" Type="http://schemas.openxmlformats.org/officeDocument/2006/relationships/image"/><Relationship Id="rId26" Target="media/image21.png" Type="http://schemas.openxmlformats.org/officeDocument/2006/relationships/image"/><Relationship Id="rId27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jpe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2026-09-24T12:02:16Z</dcterms:created>
  <dc:creator>Apache POI</dc:creator>
</cp:coreProperties>
</file>