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A32552">
      <w:pPr>
        <w:widowControl w:val="0"/>
        <w:spacing w:after="0" w:line="240" w:lineRule="auto"/>
        <w:ind w:firstLine="0" w:firstLineChars="0"/>
        <w:jc w:val="both"/>
        <w:rPr>
          <w:rFonts w:ascii="宋体" w:hAnsi="宋体" w:cs="Times New Roman"/>
          <w:kern w:val="2"/>
          <w14:ligatures w14:val="none"/>
        </w:rPr>
      </w:pPr>
      <w:bookmarkStart w:id="0" w:name="X28b5b89682c887b32283fcd59458e6a339f8f14"/>
    </w:p>
    <w:p w14:paraId="31869D78">
      <w:pPr>
        <w:widowControl w:val="0"/>
        <w:wordWrap w:val="0"/>
        <w:spacing w:after="0" w:line="240" w:lineRule="auto"/>
        <w:ind w:firstLine="0" w:firstLineChars="0"/>
        <w:jc w:val="right"/>
        <w:rPr>
          <w:rFonts w:ascii="Times New Roman" w:hAnsi="Times New Roman" w:cs="Times New Roman"/>
          <w:b/>
          <w:kern w:val="2"/>
          <w:sz w:val="18"/>
          <w:szCs w:val="20"/>
          <w14:ligatures w14:val="none"/>
        </w:rPr>
      </w:pPr>
      <w:r>
        <w:rPr>
          <w:rFonts w:ascii="Times New Roman" w:hAnsi="Times New Roman" w:cs="Times New Roman"/>
          <w:kern w:val="2"/>
          <w:u w:val="single"/>
          <w14:ligatures w14:val="none"/>
        </w:rPr>
        <w:t xml:space="preserve"> 20</w:t>
      </w:r>
      <w:r>
        <w:rPr>
          <w:rFonts w:hint="eastAsia" w:ascii="Times New Roman" w:hAnsi="Times New Roman" w:cs="Times New Roman"/>
          <w:kern w:val="2"/>
          <w:u w:val="single"/>
          <w14:ligatures w14:val="none"/>
        </w:rPr>
        <w:t>25</w:t>
      </w:r>
      <w:r>
        <w:rPr>
          <w:rFonts w:ascii="Times New Roman" w:hAnsi="Times New Roman" w:cs="Times New Roman"/>
          <w:kern w:val="2"/>
          <w:u w:val="single"/>
          <w14:ligatures w14:val="none"/>
        </w:rPr>
        <w:t xml:space="preserve"> </w:t>
      </w:r>
      <w:r>
        <w:rPr>
          <w:rFonts w:ascii="Times New Roman" w:hAnsi="Times New Roman" w:cs="Times New Roman"/>
          <w:kern w:val="2"/>
          <w14:ligatures w14:val="none"/>
        </w:rPr>
        <w:t xml:space="preserve"> - </w:t>
      </w:r>
      <w:r>
        <w:rPr>
          <w:rFonts w:ascii="Times New Roman" w:hAnsi="Times New Roman" w:cs="Times New Roman"/>
          <w:kern w:val="2"/>
          <w:u w:val="single"/>
          <w14:ligatures w14:val="none"/>
        </w:rPr>
        <w:t xml:space="preserve"> 20</w:t>
      </w:r>
      <w:r>
        <w:rPr>
          <w:rFonts w:hint="eastAsia" w:ascii="Times New Roman" w:hAnsi="Times New Roman" w:cs="Times New Roman"/>
          <w:kern w:val="2"/>
          <w:u w:val="single"/>
          <w14:ligatures w14:val="none"/>
        </w:rPr>
        <w:t>26</w:t>
      </w:r>
      <w:r>
        <w:rPr>
          <w:rFonts w:ascii="Times New Roman" w:hAnsi="Times New Roman" w:cs="Times New Roman"/>
          <w:kern w:val="2"/>
          <w:u w:val="single"/>
          <w14:ligatures w14:val="none"/>
        </w:rPr>
        <w:t xml:space="preserve"> </w:t>
      </w:r>
      <w:r>
        <w:rPr>
          <w:rFonts w:ascii="Times New Roman" w:hAnsi="Times New Roman" w:cs="Times New Roman"/>
          <w:kern w:val="2"/>
          <w14:ligatures w14:val="none"/>
        </w:rPr>
        <w:t>学年第</w:t>
      </w:r>
      <w:r>
        <w:rPr>
          <w:rFonts w:ascii="Times New Roman" w:hAnsi="Times New Roman" w:cs="Times New Roman"/>
          <w:kern w:val="2"/>
          <w:u w:val="single"/>
          <w14:ligatures w14:val="none"/>
        </w:rPr>
        <w:t xml:space="preserve"> </w:t>
      </w:r>
      <w:r>
        <w:rPr>
          <w:rFonts w:hint="eastAsia" w:cs="Times New Roman"/>
          <w:kern w:val="2"/>
          <w:u w:val="single"/>
          <w:lang w:val="en-US" w:eastAsia="zh-CN"/>
          <w14:ligatures w14:val="none"/>
        </w:rPr>
        <w:t>2</w:t>
      </w:r>
      <w:r>
        <w:rPr>
          <w:rFonts w:ascii="Times New Roman" w:hAnsi="Times New Roman" w:cs="Times New Roman"/>
          <w:kern w:val="2"/>
          <w:u w:val="single"/>
          <w14:ligatures w14:val="none"/>
        </w:rPr>
        <w:t xml:space="preserve"> </w:t>
      </w:r>
      <w:r>
        <w:rPr>
          <w:rFonts w:ascii="Times New Roman" w:hAnsi="Times New Roman" w:cs="Times New Roman"/>
          <w:kern w:val="2"/>
          <w14:ligatures w14:val="none"/>
        </w:rPr>
        <w:t>学期</w:t>
      </w:r>
    </w:p>
    <w:p w14:paraId="3080E3EC">
      <w:pPr>
        <w:widowControl w:val="0"/>
        <w:spacing w:after="0" w:line="240" w:lineRule="auto"/>
        <w:ind w:firstLine="0" w:firstLineChars="0"/>
        <w:jc w:val="center"/>
        <w:rPr>
          <w:rFonts w:ascii="华文行楷" w:hAnsi="Times New Roman" w:eastAsia="华文行楷" w:cs="Times New Roman"/>
          <w:b/>
          <w:spacing w:val="38"/>
          <w:kern w:val="2"/>
          <w:sz w:val="84"/>
          <w14:ligatures w14:val="none"/>
        </w:rPr>
      </w:pPr>
    </w:p>
    <w:p w14:paraId="11B64107">
      <w:pPr>
        <w:widowControl w:val="0"/>
        <w:spacing w:after="0" w:line="240" w:lineRule="auto"/>
        <w:ind w:firstLine="0" w:firstLineChars="0"/>
        <w:jc w:val="center"/>
        <w:rPr>
          <w:rFonts w:ascii="华文行楷" w:hAnsi="Times New Roman" w:eastAsia="华文行楷" w:cs="Times New Roman"/>
          <w:b/>
          <w:spacing w:val="38"/>
          <w:kern w:val="2"/>
          <w:sz w:val="72"/>
          <w14:ligatures w14:val="none"/>
        </w:rPr>
      </w:pPr>
      <w:r>
        <w:rPr>
          <w:rFonts w:hint="eastAsia" w:ascii="华文行楷" w:hAnsi="Times New Roman" w:eastAsia="华文行楷" w:cs="Times New Roman"/>
          <w:b/>
          <w:spacing w:val="38"/>
          <w:kern w:val="2"/>
          <w:sz w:val="72"/>
          <w14:ligatures w14:val="none"/>
        </w:rPr>
        <w:t>商务智能课程</w:t>
      </w:r>
    </w:p>
    <w:p w14:paraId="37CC0054">
      <w:pPr>
        <w:widowControl w:val="0"/>
        <w:spacing w:after="0" w:line="240" w:lineRule="auto"/>
        <w:ind w:firstLine="0" w:firstLineChars="0"/>
        <w:jc w:val="center"/>
        <w:rPr>
          <w:rFonts w:ascii="Microsoft YaHei UI" w:hAnsi="Microsoft YaHei UI" w:eastAsia="Microsoft YaHei UI" w:cs="Times New Roman"/>
          <w:b/>
          <w:w w:val="120"/>
          <w:kern w:val="2"/>
          <w:sz w:val="84"/>
          <w14:ligatures w14:val="none"/>
        </w:rPr>
      </w:pPr>
      <w:r>
        <w:rPr>
          <w:rFonts w:ascii="Microsoft YaHei UI" w:hAnsi="Microsoft YaHei UI" w:eastAsia="Microsoft YaHei UI" w:cs="Times New Roman"/>
          <w:w w:val="90"/>
          <w:kern w:val="2"/>
          <w:sz w:val="36"/>
          <w14:ligatures w14:val="none"/>
        </w:rPr>
        <w:t xml:space="preserve">Business Intelligence Course </w:t>
      </w:r>
    </w:p>
    <w:p w14:paraId="4483F6E2">
      <w:pPr>
        <w:widowControl w:val="0"/>
        <w:tabs>
          <w:tab w:val="left" w:pos="3465"/>
          <w:tab w:val="left" w:pos="3675"/>
          <w:tab w:val="left" w:pos="4515"/>
        </w:tabs>
        <w:spacing w:after="0" w:line="240" w:lineRule="auto"/>
        <w:ind w:firstLine="571"/>
        <w:jc w:val="both"/>
        <w:rPr>
          <w:rFonts w:ascii="Times New Roman" w:hAnsi="Times New Roman" w:eastAsia="黑体" w:cs="Times New Roman"/>
          <w:b/>
          <w:kern w:val="2"/>
          <w:sz w:val="28"/>
          <w14:ligatures w14:val="none"/>
        </w:rPr>
      </w:pPr>
    </w:p>
    <w:p w14:paraId="09EF46E0">
      <w:pPr>
        <w:widowControl w:val="0"/>
        <w:tabs>
          <w:tab w:val="left" w:pos="4305"/>
          <w:tab w:val="left" w:pos="4410"/>
        </w:tabs>
        <w:spacing w:after="0" w:line="240" w:lineRule="auto"/>
        <w:ind w:left="-19" w:leftChars="-50" w:hanging="101" w:hangingChars="14"/>
        <w:jc w:val="center"/>
        <w:rPr>
          <w:rFonts w:ascii="华文行楷" w:hAnsi="Times New Roman" w:eastAsia="华文行楷" w:cs="Times New Roman"/>
          <w:b/>
          <w:kern w:val="2"/>
          <w:sz w:val="72"/>
          <w:szCs w:val="72"/>
          <w14:ligatures w14:val="none"/>
        </w:rPr>
      </w:pPr>
      <w:r>
        <w:rPr>
          <w:rFonts w:hint="eastAsia" w:ascii="华文行楷" w:hAnsi="Times New Roman" w:eastAsia="华文行楷" w:cs="Times New Roman"/>
          <w:b/>
          <w:kern w:val="2"/>
          <w:sz w:val="72"/>
          <w:szCs w:val="72"/>
          <w14:ligatures w14:val="none"/>
        </w:rPr>
        <w:t>综合项目报告</w:t>
      </w:r>
    </w:p>
    <w:p w14:paraId="5083F262">
      <w:pPr>
        <w:widowControl w:val="0"/>
        <w:tabs>
          <w:tab w:val="left" w:pos="4305"/>
          <w:tab w:val="left" w:pos="4410"/>
        </w:tabs>
        <w:spacing w:after="0" w:line="240" w:lineRule="auto"/>
        <w:ind w:left="-19" w:leftChars="-50" w:hanging="101" w:hangingChars="14"/>
        <w:jc w:val="center"/>
        <w:rPr>
          <w:rFonts w:ascii="华文行楷" w:hAnsi="Times New Roman" w:eastAsia="华文行楷" w:cs="Times New Roman"/>
          <w:b/>
          <w:kern w:val="2"/>
          <w:sz w:val="72"/>
          <w:szCs w:val="72"/>
          <w14:ligatures w14:val="none"/>
        </w:rPr>
      </w:pPr>
    </w:p>
    <w:p w14:paraId="5FDC36F2">
      <w:pPr>
        <w:widowControl w:val="0"/>
        <w:tabs>
          <w:tab w:val="left" w:pos="2880"/>
        </w:tabs>
        <w:spacing w:after="0" w:line="240" w:lineRule="auto"/>
        <w:ind w:firstLine="711" w:firstLineChars="253"/>
        <w:jc w:val="left"/>
        <w:rPr>
          <w:rFonts w:hint="eastAsia" w:ascii="Times New Roman" w:hAnsi="Times New Roman" w:cs="Times New Roman"/>
          <w:b/>
          <w:kern w:val="2"/>
          <w:sz w:val="28"/>
          <w:szCs w:val="20"/>
          <w:u w:val="single"/>
          <w14:ligatures w14:val="none"/>
        </w:rPr>
      </w:pPr>
      <w:r>
        <w:rPr>
          <w:rFonts w:hint="eastAsia" w:ascii="Times New Roman" w:hAnsi="Times New Roman" w:cs="Times New Roman"/>
          <w:b/>
          <w:kern w:val="2"/>
          <w:sz w:val="28"/>
          <w:szCs w:val="20"/>
          <w14:ligatures w14:val="none"/>
        </w:rPr>
        <w:t>题目：</w:t>
      </w:r>
      <w:r>
        <w:rPr>
          <w:rFonts w:hint="eastAsia" w:ascii="Times New Roman" w:hAnsi="Times New Roman" w:cs="Times New Roman"/>
          <w:b/>
          <w:kern w:val="2"/>
          <w:sz w:val="28"/>
          <w:szCs w:val="20"/>
          <w:u w:val="single"/>
          <w14:ligatures w14:val="none"/>
        </w:rPr>
        <w:t>基于RFM模型的B2B在线零售客户价值分层</w:t>
      </w:r>
      <w:r>
        <w:rPr>
          <w:rFonts w:hint="eastAsia" w:ascii="Times New Roman" w:hAnsi="Times New Roman" w:cs="Times New Roman"/>
          <w:b/>
          <w:kern w:val="2"/>
          <w:sz w:val="28"/>
          <w:szCs w:val="20"/>
          <w:u w:val="single"/>
          <w14:ligatures w14:val="none"/>
        </w:rPr>
        <w:br w:type="textWrapping"/>
      </w:r>
      <w:r>
        <w:rPr>
          <w:rFonts w:hint="eastAsia" w:cs="Times New Roman"/>
          <w:b/>
          <w:kern w:val="2"/>
          <w:sz w:val="28"/>
          <w:szCs w:val="20"/>
          <w:u w:val="none"/>
          <w:lang w:val="en-US" w:eastAsia="zh-CN"/>
          <w14:ligatures w14:val="none"/>
        </w:rPr>
        <w:tab/>
      </w:r>
      <w:r>
        <w:rPr>
          <w:rFonts w:hint="eastAsia" w:ascii="Times New Roman" w:hAnsi="Times New Roman" w:cs="Times New Roman"/>
          <w:b/>
          <w:kern w:val="2"/>
          <w:sz w:val="28"/>
          <w:szCs w:val="20"/>
          <w:u w:val="single"/>
          <w14:ligatures w14:val="none"/>
        </w:rPr>
        <w:t>与精准运营策略研究</w:t>
      </w:r>
    </w:p>
    <w:p w14:paraId="30E473E1">
      <w:pPr>
        <w:widowControl w:val="0"/>
        <w:tabs>
          <w:tab w:val="left" w:pos="4410"/>
        </w:tabs>
        <w:spacing w:after="0" w:line="240" w:lineRule="auto"/>
        <w:ind w:firstLine="711" w:firstLineChars="253"/>
        <w:jc w:val="left"/>
        <w:rPr>
          <w:rFonts w:ascii="Times New Roman" w:hAnsi="Times New Roman" w:cs="Times New Roman"/>
          <w:b/>
          <w:kern w:val="2"/>
          <w:sz w:val="28"/>
          <w:szCs w:val="20"/>
          <w:u w:val="none"/>
          <w14:ligatures w14:val="none"/>
        </w:rPr>
      </w:pPr>
      <w:r>
        <w:rPr>
          <w:rFonts w:hint="eastAsia" w:ascii="Times New Roman" w:hAnsi="Times New Roman" w:cs="Times New Roman"/>
          <w:b/>
          <w:kern w:val="2"/>
          <w:sz w:val="28"/>
          <w:szCs w:val="20"/>
          <w:u w:val="none"/>
          <w14:ligatures w14:val="none"/>
        </w:rPr>
        <w:t xml:space="preserve">           </w:t>
      </w:r>
    </w:p>
    <w:p w14:paraId="4FCE43D1">
      <w:pPr>
        <w:widowControl w:val="0"/>
        <w:tabs>
          <w:tab w:val="left" w:pos="4410"/>
        </w:tabs>
        <w:spacing w:after="0" w:line="240" w:lineRule="auto"/>
        <w:ind w:firstLine="1566" w:firstLineChars="557"/>
        <w:jc w:val="left"/>
        <w:rPr>
          <w:rFonts w:hint="eastAsia" w:ascii="Times New Roman" w:hAnsi="Times New Roman" w:cs="Times New Roman"/>
          <w:b/>
          <w:kern w:val="2"/>
          <w:sz w:val="28"/>
          <w:szCs w:val="20"/>
          <w:u w:val="none"/>
          <w14:ligatures w14:val="none"/>
        </w:rPr>
      </w:pPr>
      <w:r>
        <w:rPr>
          <w:rFonts w:hint="eastAsia" w:ascii="Times New Roman" w:hAnsi="Times New Roman" w:cs="Times New Roman"/>
          <w:b/>
          <w:kern w:val="2"/>
          <w:sz w:val="28"/>
          <w:szCs w:val="20"/>
          <w:u w:val="none"/>
          <w14:ligatures w14:val="none"/>
        </w:rPr>
        <w:t xml:space="preserve">                                               </w:t>
      </w:r>
    </w:p>
    <w:p w14:paraId="5563F015">
      <w:pPr>
        <w:widowControl w:val="0"/>
        <w:spacing w:after="0" w:line="360" w:lineRule="auto"/>
        <w:ind w:firstLine="868" w:firstLineChars="0"/>
        <w:jc w:val="both"/>
        <w:rPr>
          <w:rFonts w:ascii="宋体" w:hAnsi="宋体" w:cs="Times New Roman"/>
          <w:b/>
          <w:bCs/>
          <w:kern w:val="2"/>
          <w:sz w:val="30"/>
          <w14:ligatures w14:val="none"/>
        </w:rPr>
      </w:pPr>
      <w:r>
        <w:rPr>
          <w:rFonts w:hint="eastAsia" w:ascii="宋体" w:hAnsi="宋体" w:cs="Times New Roman"/>
          <w:b/>
          <w:bCs/>
          <w:kern w:val="2"/>
          <w:sz w:val="30"/>
          <w14:ligatures w14:val="none"/>
        </w:rPr>
        <w:t xml:space="preserve">          </w:t>
      </w:r>
    </w:p>
    <w:p w14:paraId="1428AF10">
      <w:pPr>
        <w:widowControl w:val="0"/>
        <w:tabs>
          <w:tab w:val="left" w:pos="6660"/>
        </w:tabs>
        <w:spacing w:after="0" w:line="360" w:lineRule="auto"/>
        <w:ind w:firstLine="868" w:firstLineChars="0"/>
        <w:jc w:val="both"/>
        <w:rPr>
          <w:rFonts w:ascii="宋体" w:hAnsi="宋体" w:cs="Times New Roman"/>
          <w:b/>
          <w:bCs/>
          <w:kern w:val="2"/>
          <w:sz w:val="30"/>
          <w14:ligatures w14:val="none"/>
        </w:rPr>
      </w:pPr>
      <w:r>
        <w:rPr>
          <w:rFonts w:hint="eastAsia" w:ascii="宋体" w:hAnsi="宋体" w:cs="Times New Roman"/>
          <w:b/>
          <w:bCs/>
          <w:kern w:val="2"/>
          <w:sz w:val="30"/>
          <w14:ligatures w14:val="none"/>
        </w:rPr>
        <w:t xml:space="preserve">          专      业：</w:t>
      </w:r>
      <w:r>
        <w:rPr>
          <w:rFonts w:hint="eastAsia" w:ascii="宋体" w:hAnsi="宋体" w:cs="Times New Roman"/>
          <w:b/>
          <w:bCs/>
          <w:kern w:val="2"/>
          <w:sz w:val="30"/>
          <w:u w:val="single"/>
          <w:lang w:val="en-US" w:eastAsia="zh-CN"/>
          <w14:ligatures w14:val="none"/>
        </w:rPr>
        <w:t>电子商务23级</w:t>
      </w:r>
      <w:r>
        <w:rPr>
          <w:rFonts w:hint="eastAsia" w:ascii="宋体" w:hAnsi="宋体" w:cs="Times New Roman"/>
          <w:b/>
          <w:bCs/>
          <w:kern w:val="2"/>
          <w:sz w:val="30"/>
          <w:u w:val="single"/>
          <w:lang w:val="en-US" w:eastAsia="zh-CN"/>
          <w14:ligatures w14:val="none"/>
        </w:rPr>
        <w:tab/>
      </w:r>
    </w:p>
    <w:p w14:paraId="43023263">
      <w:pPr>
        <w:widowControl w:val="0"/>
        <w:tabs>
          <w:tab w:val="left" w:pos="6660"/>
        </w:tabs>
        <w:spacing w:after="0" w:line="360" w:lineRule="auto"/>
        <w:ind w:firstLine="868" w:firstLineChars="0"/>
        <w:jc w:val="both"/>
        <w:rPr>
          <w:rFonts w:hint="eastAsia" w:ascii="宋体" w:hAnsi="宋体" w:eastAsia="宋体" w:cs="Times New Roman"/>
          <w:b/>
          <w:bCs/>
          <w:kern w:val="2"/>
          <w:sz w:val="30"/>
          <w:lang w:eastAsia="zh-CN"/>
          <w14:ligatures w14:val="none"/>
        </w:rPr>
      </w:pPr>
      <w:r>
        <w:rPr>
          <w:rFonts w:hint="eastAsia" w:ascii="宋体" w:hAnsi="宋体" w:cs="Times New Roman"/>
          <w:b/>
          <w:bCs/>
          <w:kern w:val="2"/>
          <w:sz w:val="30"/>
          <w14:ligatures w14:val="none"/>
        </w:rPr>
        <w:t xml:space="preserve">          班      级：</w:t>
      </w:r>
      <w:r>
        <w:rPr>
          <w:rFonts w:hint="eastAsia" w:ascii="宋体" w:hAnsi="宋体" w:cs="Times New Roman"/>
          <w:b/>
          <w:bCs/>
          <w:kern w:val="2"/>
          <w:sz w:val="30"/>
          <w:u w:val="single"/>
          <w:lang w:val="en-US" w:eastAsia="zh-CN"/>
          <w14:ligatures w14:val="none"/>
        </w:rPr>
        <w:t>2班</w:t>
      </w:r>
      <w:r>
        <w:rPr>
          <w:rFonts w:hint="eastAsia" w:ascii="宋体" w:hAnsi="宋体" w:cs="Times New Roman"/>
          <w:b/>
          <w:bCs/>
          <w:kern w:val="2"/>
          <w:sz w:val="30"/>
          <w:u w:val="single"/>
          <w:lang w:val="en-US" w:eastAsia="zh-CN"/>
          <w14:ligatures w14:val="none"/>
        </w:rPr>
        <w:tab/>
      </w:r>
    </w:p>
    <w:p w14:paraId="487140F2">
      <w:pPr>
        <w:widowControl w:val="0"/>
        <w:tabs>
          <w:tab w:val="left" w:pos="6510"/>
          <w:tab w:val="left" w:pos="6615"/>
          <w:tab w:val="left" w:pos="6660"/>
        </w:tabs>
        <w:spacing w:after="0" w:line="360" w:lineRule="auto"/>
        <w:ind w:right="2081" w:rightChars="867" w:firstLine="904" w:firstLineChars="300"/>
        <w:jc w:val="both"/>
        <w:rPr>
          <w:rFonts w:hint="eastAsia" w:ascii="宋体" w:hAnsi="宋体" w:eastAsia="宋体" w:cs="Times New Roman"/>
          <w:b/>
          <w:bCs/>
          <w:kern w:val="2"/>
          <w:sz w:val="30"/>
          <w:lang w:eastAsia="zh-CN"/>
          <w14:ligatures w14:val="none"/>
        </w:rPr>
      </w:pPr>
      <w:r>
        <w:rPr>
          <w:rFonts w:hint="eastAsia" w:ascii="宋体" w:hAnsi="宋体" w:cs="Times New Roman"/>
          <w:b/>
          <w:bCs/>
          <w:kern w:val="2"/>
          <w:sz w:val="30"/>
          <w14:ligatures w14:val="none"/>
        </w:rPr>
        <w:t xml:space="preserve">          </w:t>
      </w:r>
      <w:r>
        <w:rPr>
          <w:rFonts w:hint="eastAsia" w:ascii="宋体" w:hAnsi="宋体" w:cs="Times New Roman"/>
          <w:b/>
          <w:bCs/>
          <w:kern w:val="2"/>
          <w:sz w:val="30"/>
          <w:lang w:val="en-US" w:eastAsia="zh-CN"/>
          <w14:ligatures w14:val="none"/>
        </w:rPr>
        <w:t>学</w:t>
      </w:r>
      <w:r>
        <w:rPr>
          <w:rFonts w:hint="eastAsia" w:ascii="宋体" w:hAnsi="宋体" w:cs="Times New Roman"/>
          <w:b/>
          <w:bCs/>
          <w:kern w:val="2"/>
          <w:sz w:val="30"/>
          <w14:ligatures w14:val="none"/>
        </w:rPr>
        <w:t xml:space="preserve">      </w:t>
      </w:r>
      <w:r>
        <w:rPr>
          <w:rFonts w:hint="eastAsia" w:ascii="宋体" w:hAnsi="宋体" w:cs="Times New Roman"/>
          <w:b/>
          <w:bCs/>
          <w:kern w:val="2"/>
          <w:sz w:val="30"/>
          <w:lang w:val="en-US" w:eastAsia="zh-CN"/>
          <w14:ligatures w14:val="none"/>
        </w:rPr>
        <w:t>号</w:t>
      </w:r>
      <w:r>
        <w:rPr>
          <w:rFonts w:hint="eastAsia" w:ascii="宋体" w:hAnsi="宋体" w:cs="Times New Roman"/>
          <w:b/>
          <w:bCs/>
          <w:kern w:val="2"/>
          <w:sz w:val="30"/>
          <w14:ligatures w14:val="none"/>
        </w:rPr>
        <w:t>：</w:t>
      </w:r>
      <w:r>
        <w:rPr>
          <w:rFonts w:hint="eastAsia" w:ascii="宋体" w:hAnsi="宋体" w:cs="Times New Roman"/>
          <w:b/>
          <w:bCs/>
          <w:kern w:val="2"/>
          <w:sz w:val="30"/>
          <w:u w:val="single"/>
          <w:lang w:val="en-US" w:eastAsia="zh-CN"/>
          <w14:ligatures w14:val="none"/>
        </w:rPr>
        <w:t>3232101206218</w:t>
      </w:r>
      <w:r>
        <w:rPr>
          <w:rFonts w:hint="eastAsia" w:ascii="宋体" w:hAnsi="宋体" w:cs="Times New Roman"/>
          <w:b/>
          <w:bCs/>
          <w:kern w:val="2"/>
          <w:sz w:val="30"/>
          <w:u w:val="single"/>
          <w:lang w:val="en-US" w:eastAsia="zh-CN"/>
          <w14:ligatures w14:val="none"/>
        </w:rPr>
        <w:tab/>
      </w:r>
    </w:p>
    <w:p w14:paraId="47748BA4">
      <w:pPr>
        <w:widowControl w:val="0"/>
        <w:tabs>
          <w:tab w:val="left" w:pos="6510"/>
          <w:tab w:val="left" w:pos="6615"/>
          <w:tab w:val="left" w:pos="6660"/>
        </w:tabs>
        <w:spacing w:after="0" w:line="360" w:lineRule="auto"/>
        <w:ind w:right="2081" w:rightChars="867" w:firstLine="904" w:firstLineChars="300"/>
        <w:jc w:val="both"/>
        <w:rPr>
          <w:rFonts w:hint="eastAsia" w:ascii="宋体" w:hAnsi="宋体" w:cs="Times New Roman"/>
          <w:b/>
          <w:bCs/>
          <w:kern w:val="2"/>
          <w:sz w:val="30"/>
          <w:u w:val="single"/>
          <w:lang w:val="en-US" w:eastAsia="zh-CN"/>
          <w14:ligatures w14:val="none"/>
        </w:rPr>
      </w:pPr>
      <w:r>
        <w:rPr>
          <w:rFonts w:hint="eastAsia" w:ascii="宋体" w:hAnsi="宋体" w:cs="Times New Roman"/>
          <w:b/>
          <w:bCs/>
          <w:kern w:val="2"/>
          <w:sz w:val="30"/>
          <w14:ligatures w14:val="none"/>
        </w:rPr>
        <w:t xml:space="preserve">          </w:t>
      </w:r>
      <w:r>
        <w:rPr>
          <w:rFonts w:hint="eastAsia" w:ascii="宋体" w:hAnsi="宋体" w:cs="Times New Roman"/>
          <w:b/>
          <w:bCs/>
          <w:kern w:val="2"/>
          <w:sz w:val="30"/>
          <w:lang w:val="en-US" w:eastAsia="zh-CN"/>
          <w14:ligatures w14:val="none"/>
        </w:rPr>
        <w:t>姓</w:t>
      </w:r>
      <w:r>
        <w:rPr>
          <w:rFonts w:hint="eastAsia" w:ascii="宋体" w:hAnsi="宋体" w:cs="Times New Roman"/>
          <w:b/>
          <w:bCs/>
          <w:kern w:val="2"/>
          <w:sz w:val="30"/>
          <w14:ligatures w14:val="none"/>
        </w:rPr>
        <w:t xml:space="preserve">      </w:t>
      </w:r>
      <w:r>
        <w:rPr>
          <w:rFonts w:hint="eastAsia" w:ascii="宋体" w:hAnsi="宋体" w:cs="Times New Roman"/>
          <w:b/>
          <w:bCs/>
          <w:kern w:val="2"/>
          <w:sz w:val="30"/>
          <w:lang w:val="en-US" w:eastAsia="zh-CN"/>
          <w14:ligatures w14:val="none"/>
        </w:rPr>
        <w:t>名</w:t>
      </w:r>
      <w:r>
        <w:rPr>
          <w:rFonts w:hint="eastAsia" w:ascii="宋体" w:hAnsi="宋体" w:cs="Times New Roman"/>
          <w:b/>
          <w:bCs/>
          <w:kern w:val="2"/>
          <w:sz w:val="30"/>
          <w14:ligatures w14:val="none"/>
        </w:rPr>
        <w:t>：</w:t>
      </w:r>
      <w:r>
        <w:rPr>
          <w:rFonts w:hint="eastAsia" w:ascii="宋体" w:hAnsi="宋体" w:cs="Times New Roman"/>
          <w:b/>
          <w:bCs/>
          <w:kern w:val="2"/>
          <w:sz w:val="30"/>
          <w:u w:val="single"/>
          <w:lang w:val="en-US" w:eastAsia="zh-CN"/>
          <w14:ligatures w14:val="none"/>
        </w:rPr>
        <w:t>黄才申</w:t>
      </w:r>
      <w:r>
        <w:rPr>
          <w:rFonts w:hint="eastAsia" w:ascii="宋体" w:hAnsi="宋体" w:cs="Times New Roman"/>
          <w:b/>
          <w:bCs/>
          <w:kern w:val="2"/>
          <w:sz w:val="30"/>
          <w:u w:val="single"/>
          <w:lang w:val="en-US" w:eastAsia="zh-CN"/>
          <w14:ligatures w14:val="none"/>
        </w:rPr>
        <w:tab/>
      </w:r>
    </w:p>
    <w:p w14:paraId="0A55E7DE">
      <w:pPr>
        <w:widowControl w:val="0"/>
        <w:spacing w:after="0" w:line="360" w:lineRule="auto"/>
        <w:ind w:firstLine="868" w:firstLineChars="0"/>
        <w:jc w:val="both"/>
        <w:rPr>
          <w:rFonts w:ascii="宋体" w:hAnsi="宋体" w:cs="Times New Roman"/>
          <w:b/>
          <w:bCs/>
          <w:kern w:val="2"/>
          <w:sz w:val="30"/>
          <w:u w:val="single"/>
          <w14:ligatures w14:val="none"/>
        </w:rPr>
      </w:pPr>
      <w:r>
        <w:rPr>
          <w:rFonts w:hint="eastAsia" w:ascii="宋体" w:hAnsi="宋体" w:cs="Times New Roman"/>
          <w:b/>
          <w:bCs/>
          <w:kern w:val="2"/>
          <w:sz w:val="30"/>
          <w14:ligatures w14:val="none"/>
        </w:rPr>
        <w:t xml:space="preserve">          </w:t>
      </w:r>
      <w:r>
        <w:rPr>
          <w:rFonts w:hint="eastAsia" w:ascii="宋体" w:hAnsi="宋体" w:cs="Times New Roman"/>
          <w:b/>
          <w:bCs/>
          <w:spacing w:val="40"/>
          <w:kern w:val="2"/>
          <w:sz w:val="30"/>
          <w14:ligatures w14:val="none"/>
        </w:rPr>
        <w:t>指导教师</w:t>
      </w:r>
      <w:r>
        <w:rPr>
          <w:rFonts w:hint="eastAsia" w:ascii="宋体" w:hAnsi="宋体" w:cs="Times New Roman"/>
          <w:b/>
          <w:bCs/>
          <w:kern w:val="2"/>
          <w:sz w:val="30"/>
          <w14:ligatures w14:val="none"/>
        </w:rPr>
        <w:t>：</w:t>
      </w:r>
      <w:r>
        <w:rPr>
          <w:rFonts w:hint="eastAsia" w:ascii="宋体" w:hAnsi="宋体" w:cs="Times New Roman"/>
          <w:b/>
          <w:bCs/>
          <w:kern w:val="2"/>
          <w:sz w:val="30"/>
          <w:u w:val="single"/>
          <w:lang w:val="en-US" w:eastAsia="zh-CN"/>
          <w14:ligatures w14:val="none"/>
        </w:rPr>
        <w:t>韦向远</w:t>
      </w:r>
      <w:r>
        <w:rPr>
          <w:rFonts w:hint="eastAsia" w:ascii="宋体" w:hAnsi="宋体" w:cs="Times New Roman"/>
          <w:b/>
          <w:bCs/>
          <w:kern w:val="2"/>
          <w:sz w:val="30"/>
          <w:u w:val="single"/>
          <w14:ligatures w14:val="none"/>
        </w:rPr>
        <w:t xml:space="preserve">        </w:t>
      </w:r>
      <w:r>
        <w:rPr>
          <w:rFonts w:ascii="宋体" w:hAnsi="宋体" w:cs="Times New Roman"/>
          <w:b/>
          <w:bCs/>
          <w:kern w:val="2"/>
          <w:sz w:val="30"/>
          <w:u w:val="single"/>
          <w14:ligatures w14:val="none"/>
        </w:rPr>
        <w:t xml:space="preserve"> </w:t>
      </w:r>
    </w:p>
    <w:p w14:paraId="0E52342A">
      <w:pPr>
        <w:widowControl w:val="0"/>
        <w:tabs>
          <w:tab w:val="left" w:pos="6510"/>
          <w:tab w:val="left" w:pos="6615"/>
        </w:tabs>
        <w:spacing w:after="0" w:line="360" w:lineRule="auto"/>
        <w:ind w:right="2081" w:rightChars="867" w:firstLine="904" w:firstLineChars="300"/>
        <w:jc w:val="both"/>
        <w:rPr>
          <w:rFonts w:hint="eastAsia" w:ascii="宋体" w:hAnsi="宋体" w:cs="Times New Roman"/>
          <w:b/>
          <w:bCs/>
          <w:kern w:val="2"/>
          <w:sz w:val="30"/>
          <w14:ligatures w14:val="none"/>
        </w:rPr>
      </w:pPr>
      <w:bookmarkStart w:id="104" w:name="_GoBack"/>
      <w:bookmarkEnd w:id="104"/>
    </w:p>
    <w:p w14:paraId="0EA26236">
      <w:pPr>
        <w:widowControl w:val="0"/>
        <w:tabs>
          <w:tab w:val="left" w:pos="6510"/>
          <w:tab w:val="left" w:pos="6615"/>
        </w:tabs>
        <w:spacing w:after="0" w:line="360" w:lineRule="auto"/>
        <w:ind w:firstLine="0" w:firstLineChars="0"/>
        <w:jc w:val="center"/>
        <w:rPr>
          <w:rFonts w:ascii="宋体" w:hAnsi="宋体" w:cs="Times New Roman"/>
          <w:b/>
          <w:bCs/>
          <w:kern w:val="2"/>
          <w:sz w:val="28"/>
          <w14:ligatures w14:val="none"/>
        </w:rPr>
      </w:pPr>
      <w:r>
        <w:rPr>
          <w:rFonts w:hint="eastAsia" w:ascii="宋体" w:hAnsi="宋体" w:cs="Times New Roman"/>
          <w:b/>
          <w:bCs/>
          <w:kern w:val="2"/>
          <w:sz w:val="28"/>
          <w14:ligatures w14:val="none"/>
        </w:rPr>
        <w:t>商学院信息管理系</w:t>
      </w:r>
    </w:p>
    <w:p w14:paraId="1FA19B1F">
      <w:pPr>
        <w:widowControl w:val="0"/>
        <w:tabs>
          <w:tab w:val="left" w:pos="6510"/>
          <w:tab w:val="left" w:pos="6615"/>
        </w:tabs>
        <w:spacing w:after="0" w:line="360" w:lineRule="auto"/>
        <w:ind w:right="2081" w:rightChars="867" w:firstLine="2212" w:firstLineChars="787"/>
        <w:jc w:val="center"/>
        <w:rPr>
          <w:rFonts w:ascii="宋体" w:hAnsi="宋体" w:cs="Times New Roman"/>
          <w:b/>
          <w:bCs/>
          <w:kern w:val="2"/>
          <w:sz w:val="28"/>
          <w14:ligatures w14:val="none"/>
        </w:rPr>
      </w:pPr>
      <w:r>
        <w:rPr>
          <w:rFonts w:hint="eastAsia" w:ascii="宋体" w:hAnsi="宋体" w:cs="Times New Roman"/>
          <w:b/>
          <w:bCs/>
          <w:kern w:val="2"/>
          <w:sz w:val="28"/>
          <w14:ligatures w14:val="none"/>
        </w:rPr>
        <w:t xml:space="preserve">2026年 </w:t>
      </w:r>
      <w:r>
        <w:rPr>
          <w:rFonts w:hint="eastAsia" w:ascii="宋体" w:hAnsi="宋体" w:cs="Times New Roman"/>
          <w:b/>
          <w:bCs/>
          <w:kern w:val="2"/>
          <w:sz w:val="28"/>
          <w:lang w:val="en-US" w:eastAsia="zh-CN"/>
          <w14:ligatures w14:val="none"/>
        </w:rPr>
        <w:t>7</w:t>
      </w:r>
      <w:r>
        <w:rPr>
          <w:rFonts w:hint="eastAsia" w:ascii="宋体" w:hAnsi="宋体" w:cs="Times New Roman"/>
          <w:b/>
          <w:bCs/>
          <w:kern w:val="2"/>
          <w:sz w:val="28"/>
          <w14:ligatures w14:val="none"/>
        </w:rPr>
        <w:t xml:space="preserve">月 </w:t>
      </w:r>
      <w:r>
        <w:rPr>
          <w:rFonts w:hint="eastAsia" w:ascii="宋体" w:hAnsi="宋体" w:cs="Times New Roman"/>
          <w:b/>
          <w:bCs/>
          <w:kern w:val="2"/>
          <w:sz w:val="28"/>
          <w:lang w:val="en-US" w:eastAsia="zh-CN"/>
          <w14:ligatures w14:val="none"/>
        </w:rPr>
        <w:t>2</w:t>
      </w:r>
      <w:r>
        <w:rPr>
          <w:rFonts w:ascii="宋体" w:hAnsi="宋体" w:cs="Times New Roman"/>
          <w:b/>
          <w:bCs/>
          <w:kern w:val="2"/>
          <w:sz w:val="28"/>
          <w14:ligatures w14:val="none"/>
        </w:rPr>
        <w:t>日</w:t>
      </w:r>
    </w:p>
    <w:p w14:paraId="307002B1">
      <w:pPr>
        <w:pStyle w:val="2"/>
        <w:bidi w:val="0"/>
        <w:outlineLvl w:val="9"/>
      </w:pPr>
      <w:r>
        <w:br w:type="page"/>
      </w:r>
    </w:p>
    <w:sdt>
      <w:sdtPr>
        <w:rPr>
          <w:rFonts w:ascii="宋体" w:hAnsi="宋体" w:eastAsia="宋体" w:cstheme="minorBidi"/>
          <w:color w:val="000000" w:themeColor="text1"/>
          <w:sz w:val="21"/>
          <w:szCs w:val="24"/>
          <w:lang w:val="en-US" w:eastAsia="zh-CN" w:bidi="ar-SA"/>
        </w:rPr>
        <w:id w:val="147453734"/>
        <w15:color w:val="DBDBDB"/>
        <w:docPartObj>
          <w:docPartGallery w:val="Table of Contents"/>
          <w:docPartUnique/>
        </w:docPartObj>
      </w:sdtPr>
      <w:sdtEndPr>
        <w:rPr>
          <w:rFonts w:ascii="Times New Roman" w:hAnsi="Times New Roman" w:eastAsia="宋体" w:cstheme="minorBidi"/>
          <w:b/>
          <w:color w:val="000000" w:themeColor="text1"/>
          <w:sz w:val="24"/>
          <w:szCs w:val="24"/>
          <w:lang w:val="en-US" w:eastAsia="zh-CN" w:bidi="ar-SA"/>
        </w:rPr>
      </w:sdtEndPr>
      <w:sdtContent>
        <w:p w14:paraId="0DA6CB48">
          <w:pPr>
            <w:spacing w:before="0" w:beforeLines="0" w:after="0" w:afterLines="0" w:line="240" w:lineRule="auto"/>
            <w:ind w:left="0" w:leftChars="0" w:right="0" w:rightChars="0" w:firstLine="0" w:firstLineChars="0"/>
            <w:jc w:val="center"/>
          </w:pPr>
          <w:r>
            <w:rPr>
              <w:rFonts w:ascii="宋体" w:hAnsi="宋体" w:eastAsia="宋体"/>
              <w:sz w:val="21"/>
            </w:rPr>
            <w:t>目录</w:t>
          </w:r>
        </w:p>
        <w:p w14:paraId="752128A6">
          <w:pPr>
            <w:pStyle w:val="88"/>
            <w:tabs>
              <w:tab w:val="right" w:leader="dot" w:pos="8640"/>
            </w:tabs>
            <w:rPr>
              <w:b/>
            </w:rPr>
          </w:pPr>
          <w:r>
            <w:fldChar w:fldCharType="begin"/>
          </w:r>
          <w:r>
            <w:instrText xml:space="preserve">TOC \o "1-2" \h \u </w:instrText>
          </w:r>
          <w:r>
            <w:fldChar w:fldCharType="separate"/>
          </w:r>
          <w:r>
            <w:rPr>
              <w:b/>
            </w:rPr>
            <w:fldChar w:fldCharType="begin"/>
          </w:r>
          <w:r>
            <w:rPr>
              <w:b/>
            </w:rPr>
            <w:instrText xml:space="preserve"> HYPERLINK \l _Toc18948 </w:instrText>
          </w:r>
          <w:r>
            <w:rPr>
              <w:b/>
            </w:rPr>
            <w:fldChar w:fldCharType="separate"/>
          </w:r>
          <w:r>
            <w:rPr>
              <w:b/>
            </w:rPr>
            <w:t xml:space="preserve">1. </w:t>
          </w:r>
          <w:r>
            <w:rPr>
              <w:rFonts w:hint="eastAsia"/>
              <w:b/>
            </w:rPr>
            <w:t>项目背景与问题定义</w:t>
          </w:r>
          <w:r>
            <w:rPr>
              <w:b/>
            </w:rPr>
            <w:tab/>
          </w:r>
          <w:r>
            <w:rPr>
              <w:b/>
            </w:rPr>
            <w:fldChar w:fldCharType="begin"/>
          </w:r>
          <w:r>
            <w:rPr>
              <w:b/>
            </w:rPr>
            <w:instrText xml:space="preserve"> PAGEREF _Toc18948 \h </w:instrText>
          </w:r>
          <w:r>
            <w:rPr>
              <w:b/>
            </w:rPr>
            <w:fldChar w:fldCharType="separate"/>
          </w:r>
          <w:r>
            <w:rPr>
              <w:b/>
            </w:rPr>
            <w:t>3</w:t>
          </w:r>
          <w:r>
            <w:rPr>
              <w:b/>
            </w:rPr>
            <w:fldChar w:fldCharType="end"/>
          </w:r>
          <w:r>
            <w:rPr>
              <w:b/>
            </w:rPr>
            <w:fldChar w:fldCharType="end"/>
          </w:r>
        </w:p>
        <w:p w14:paraId="04447EDE">
          <w:pPr>
            <w:pStyle w:val="89"/>
            <w:tabs>
              <w:tab w:val="right" w:leader="dot" w:pos="8640"/>
            </w:tabs>
          </w:pPr>
          <w:r>
            <w:fldChar w:fldCharType="begin"/>
          </w:r>
          <w:r>
            <w:instrText xml:space="preserve"> HYPERLINK \l _Toc14495 </w:instrText>
          </w:r>
          <w:r>
            <w:fldChar w:fldCharType="separate"/>
          </w:r>
          <w:r>
            <w:t xml:space="preserve">1.1 </w:t>
          </w:r>
          <w:r>
            <w:rPr>
              <w:rFonts w:hint="eastAsia"/>
            </w:rPr>
            <w:t>选题背景</w:t>
          </w:r>
          <w:r>
            <w:tab/>
          </w:r>
          <w:r>
            <w:fldChar w:fldCharType="begin"/>
          </w:r>
          <w:r>
            <w:instrText xml:space="preserve"> PAGEREF _Toc14495 \h </w:instrText>
          </w:r>
          <w:r>
            <w:fldChar w:fldCharType="separate"/>
          </w:r>
          <w:r>
            <w:t>3</w:t>
          </w:r>
          <w:r>
            <w:fldChar w:fldCharType="end"/>
          </w:r>
          <w:r>
            <w:fldChar w:fldCharType="end"/>
          </w:r>
        </w:p>
        <w:p w14:paraId="6D0BFFE2">
          <w:pPr>
            <w:pStyle w:val="89"/>
            <w:tabs>
              <w:tab w:val="right" w:leader="dot" w:pos="8640"/>
            </w:tabs>
          </w:pPr>
          <w:r>
            <w:fldChar w:fldCharType="begin"/>
          </w:r>
          <w:r>
            <w:instrText xml:space="preserve"> HYPERLINK \l _Toc16084 </w:instrText>
          </w:r>
          <w:r>
            <w:fldChar w:fldCharType="separate"/>
          </w:r>
          <w:r>
            <w:t xml:space="preserve">1.2 </w:t>
          </w:r>
          <w:r>
            <w:rPr>
              <w:rFonts w:hint="eastAsia"/>
            </w:rPr>
            <w:t>业务痛点</w:t>
          </w:r>
          <w:r>
            <w:tab/>
          </w:r>
          <w:r>
            <w:fldChar w:fldCharType="begin"/>
          </w:r>
          <w:r>
            <w:instrText xml:space="preserve"> PAGEREF _Toc16084 \h </w:instrText>
          </w:r>
          <w:r>
            <w:fldChar w:fldCharType="separate"/>
          </w:r>
          <w:r>
            <w:t>3</w:t>
          </w:r>
          <w:r>
            <w:fldChar w:fldCharType="end"/>
          </w:r>
          <w:r>
            <w:fldChar w:fldCharType="end"/>
          </w:r>
        </w:p>
        <w:p w14:paraId="0E3402CD">
          <w:pPr>
            <w:pStyle w:val="89"/>
            <w:tabs>
              <w:tab w:val="right" w:leader="dot" w:pos="8640"/>
            </w:tabs>
          </w:pPr>
          <w:r>
            <w:fldChar w:fldCharType="begin"/>
          </w:r>
          <w:r>
            <w:instrText xml:space="preserve"> HYPERLINK \l _Toc10644 </w:instrText>
          </w:r>
          <w:r>
            <w:fldChar w:fldCharType="separate"/>
          </w:r>
          <w:r>
            <w:t xml:space="preserve">1.3 </w:t>
          </w:r>
          <w:r>
            <w:rPr>
              <w:rFonts w:hint="eastAsia"/>
            </w:rPr>
            <w:t>数据来源</w:t>
          </w:r>
          <w:r>
            <w:tab/>
          </w:r>
          <w:r>
            <w:fldChar w:fldCharType="begin"/>
          </w:r>
          <w:r>
            <w:instrText xml:space="preserve"> PAGEREF _Toc10644 \h </w:instrText>
          </w:r>
          <w:r>
            <w:fldChar w:fldCharType="separate"/>
          </w:r>
          <w:r>
            <w:t>3</w:t>
          </w:r>
          <w:r>
            <w:fldChar w:fldCharType="end"/>
          </w:r>
          <w:r>
            <w:fldChar w:fldCharType="end"/>
          </w:r>
        </w:p>
        <w:p w14:paraId="330D51C8">
          <w:pPr>
            <w:pStyle w:val="89"/>
            <w:tabs>
              <w:tab w:val="right" w:leader="dot" w:pos="8640"/>
            </w:tabs>
          </w:pPr>
          <w:r>
            <w:fldChar w:fldCharType="begin"/>
          </w:r>
          <w:r>
            <w:instrText xml:space="preserve"> HYPERLINK \l _Toc22251 </w:instrText>
          </w:r>
          <w:r>
            <w:fldChar w:fldCharType="separate"/>
          </w:r>
          <w:r>
            <w:t xml:space="preserve">1.4 </w:t>
          </w:r>
          <w:r>
            <w:rPr>
              <w:rFonts w:hint="eastAsia"/>
            </w:rPr>
            <w:t>分析目标</w:t>
          </w:r>
          <w:r>
            <w:tab/>
          </w:r>
          <w:r>
            <w:fldChar w:fldCharType="begin"/>
          </w:r>
          <w:r>
            <w:instrText xml:space="preserve"> PAGEREF _Toc22251 \h </w:instrText>
          </w:r>
          <w:r>
            <w:fldChar w:fldCharType="separate"/>
          </w:r>
          <w:r>
            <w:t>4</w:t>
          </w:r>
          <w:r>
            <w:fldChar w:fldCharType="end"/>
          </w:r>
          <w:r>
            <w:fldChar w:fldCharType="end"/>
          </w:r>
        </w:p>
        <w:p w14:paraId="28C5A5D6">
          <w:pPr>
            <w:pStyle w:val="88"/>
            <w:tabs>
              <w:tab w:val="right" w:leader="dot" w:pos="8640"/>
            </w:tabs>
            <w:rPr>
              <w:b/>
            </w:rPr>
          </w:pPr>
          <w:r>
            <w:rPr>
              <w:b/>
            </w:rPr>
            <w:fldChar w:fldCharType="begin"/>
          </w:r>
          <w:r>
            <w:rPr>
              <w:b/>
            </w:rPr>
            <w:instrText xml:space="preserve"> HYPERLINK \l _Toc5394 </w:instrText>
          </w:r>
          <w:r>
            <w:rPr>
              <w:b/>
            </w:rPr>
            <w:fldChar w:fldCharType="separate"/>
          </w:r>
          <w:r>
            <w:rPr>
              <w:b/>
            </w:rPr>
            <w:t xml:space="preserve">2. </w:t>
          </w:r>
          <w:r>
            <w:rPr>
              <w:rFonts w:hint="eastAsia"/>
              <w:b/>
            </w:rPr>
            <w:t>数据探索与预处理</w:t>
          </w:r>
          <w:r>
            <w:rPr>
              <w:b/>
            </w:rPr>
            <w:tab/>
          </w:r>
          <w:r>
            <w:rPr>
              <w:b/>
            </w:rPr>
            <w:fldChar w:fldCharType="begin"/>
          </w:r>
          <w:r>
            <w:rPr>
              <w:b/>
            </w:rPr>
            <w:instrText xml:space="preserve"> PAGEREF _Toc5394 \h </w:instrText>
          </w:r>
          <w:r>
            <w:rPr>
              <w:b/>
            </w:rPr>
            <w:fldChar w:fldCharType="separate"/>
          </w:r>
          <w:r>
            <w:rPr>
              <w:b/>
            </w:rPr>
            <w:t>5</w:t>
          </w:r>
          <w:r>
            <w:rPr>
              <w:b/>
            </w:rPr>
            <w:fldChar w:fldCharType="end"/>
          </w:r>
          <w:r>
            <w:rPr>
              <w:b/>
            </w:rPr>
            <w:fldChar w:fldCharType="end"/>
          </w:r>
        </w:p>
        <w:p w14:paraId="2AF4B112">
          <w:pPr>
            <w:pStyle w:val="89"/>
            <w:tabs>
              <w:tab w:val="right" w:leader="dot" w:pos="8640"/>
            </w:tabs>
          </w:pPr>
          <w:r>
            <w:fldChar w:fldCharType="begin"/>
          </w:r>
          <w:r>
            <w:instrText xml:space="preserve"> HYPERLINK \l _Toc6987 </w:instrText>
          </w:r>
          <w:r>
            <w:fldChar w:fldCharType="separate"/>
          </w:r>
          <w:r>
            <w:t xml:space="preserve">2.1 </w:t>
          </w:r>
          <w:r>
            <w:rPr>
              <w:rFonts w:hint="eastAsia"/>
            </w:rPr>
            <w:t>原始数据概览</w:t>
          </w:r>
          <w:r>
            <w:tab/>
          </w:r>
          <w:r>
            <w:fldChar w:fldCharType="begin"/>
          </w:r>
          <w:r>
            <w:instrText xml:space="preserve"> PAGEREF _Toc6987 \h </w:instrText>
          </w:r>
          <w:r>
            <w:fldChar w:fldCharType="separate"/>
          </w:r>
          <w:r>
            <w:t>5</w:t>
          </w:r>
          <w:r>
            <w:fldChar w:fldCharType="end"/>
          </w:r>
          <w:r>
            <w:fldChar w:fldCharType="end"/>
          </w:r>
        </w:p>
        <w:p w14:paraId="52DA2B5E">
          <w:pPr>
            <w:pStyle w:val="89"/>
            <w:tabs>
              <w:tab w:val="right" w:leader="dot" w:pos="8640"/>
            </w:tabs>
          </w:pPr>
          <w:r>
            <w:fldChar w:fldCharType="begin"/>
          </w:r>
          <w:r>
            <w:instrText xml:space="preserve"> HYPERLINK \l _Toc19715 </w:instrText>
          </w:r>
          <w:r>
            <w:fldChar w:fldCharType="separate"/>
          </w:r>
          <w:r>
            <w:t xml:space="preserve">2.2 </w:t>
          </w:r>
          <w:r>
            <w:rPr>
              <w:rFonts w:hint="eastAsia"/>
            </w:rPr>
            <w:t>数据清洗</w:t>
          </w:r>
          <w:r>
            <w:tab/>
          </w:r>
          <w:r>
            <w:fldChar w:fldCharType="begin"/>
          </w:r>
          <w:r>
            <w:instrText xml:space="preserve"> PAGEREF _Toc19715 \h </w:instrText>
          </w:r>
          <w:r>
            <w:fldChar w:fldCharType="separate"/>
          </w:r>
          <w:r>
            <w:t>5</w:t>
          </w:r>
          <w:r>
            <w:fldChar w:fldCharType="end"/>
          </w:r>
          <w:r>
            <w:fldChar w:fldCharType="end"/>
          </w:r>
        </w:p>
        <w:p w14:paraId="3FED9C86">
          <w:pPr>
            <w:pStyle w:val="89"/>
            <w:tabs>
              <w:tab w:val="right" w:leader="dot" w:pos="8640"/>
            </w:tabs>
          </w:pPr>
          <w:r>
            <w:fldChar w:fldCharType="begin"/>
          </w:r>
          <w:r>
            <w:instrText xml:space="preserve"> HYPERLINK \l _Toc5984 </w:instrText>
          </w:r>
          <w:r>
            <w:fldChar w:fldCharType="separate"/>
          </w:r>
          <w:r>
            <w:t xml:space="preserve">2.3 </w:t>
          </w:r>
          <w:r>
            <w:rPr>
              <w:rFonts w:hint="eastAsia"/>
            </w:rPr>
            <w:t>探索性数据分析</w:t>
          </w:r>
          <w:r>
            <w:tab/>
          </w:r>
          <w:r>
            <w:fldChar w:fldCharType="begin"/>
          </w:r>
          <w:r>
            <w:instrText xml:space="preserve"> PAGEREF _Toc5984 \h </w:instrText>
          </w:r>
          <w:r>
            <w:fldChar w:fldCharType="separate"/>
          </w:r>
          <w:r>
            <w:t>6</w:t>
          </w:r>
          <w:r>
            <w:fldChar w:fldCharType="end"/>
          </w:r>
          <w:r>
            <w:fldChar w:fldCharType="end"/>
          </w:r>
        </w:p>
        <w:p w14:paraId="14CEFC12">
          <w:pPr>
            <w:pStyle w:val="88"/>
            <w:tabs>
              <w:tab w:val="right" w:leader="dot" w:pos="8640"/>
            </w:tabs>
            <w:rPr>
              <w:b/>
            </w:rPr>
          </w:pPr>
          <w:r>
            <w:rPr>
              <w:b/>
            </w:rPr>
            <w:fldChar w:fldCharType="begin"/>
          </w:r>
          <w:r>
            <w:rPr>
              <w:b/>
            </w:rPr>
            <w:instrText xml:space="preserve"> HYPERLINK \l _Toc21416 </w:instrText>
          </w:r>
          <w:r>
            <w:rPr>
              <w:b/>
            </w:rPr>
            <w:fldChar w:fldCharType="separate"/>
          </w:r>
          <w:r>
            <w:rPr>
              <w:b/>
            </w:rPr>
            <w:t xml:space="preserve">3. </w:t>
          </w:r>
          <w:r>
            <w:rPr>
              <w:rFonts w:hint="eastAsia"/>
              <w:b/>
            </w:rPr>
            <w:t>数据挖掘分析</w:t>
          </w:r>
          <w:r>
            <w:rPr>
              <w:b/>
            </w:rPr>
            <w:tab/>
          </w:r>
          <w:r>
            <w:rPr>
              <w:b/>
            </w:rPr>
            <w:fldChar w:fldCharType="begin"/>
          </w:r>
          <w:r>
            <w:rPr>
              <w:b/>
            </w:rPr>
            <w:instrText xml:space="preserve"> PAGEREF _Toc21416 \h </w:instrText>
          </w:r>
          <w:r>
            <w:rPr>
              <w:b/>
            </w:rPr>
            <w:fldChar w:fldCharType="separate"/>
          </w:r>
          <w:r>
            <w:rPr>
              <w:b/>
            </w:rPr>
            <w:t>11</w:t>
          </w:r>
          <w:r>
            <w:rPr>
              <w:b/>
            </w:rPr>
            <w:fldChar w:fldCharType="end"/>
          </w:r>
          <w:r>
            <w:rPr>
              <w:b/>
            </w:rPr>
            <w:fldChar w:fldCharType="end"/>
          </w:r>
        </w:p>
        <w:p w14:paraId="462B610C">
          <w:pPr>
            <w:pStyle w:val="89"/>
            <w:tabs>
              <w:tab w:val="right" w:leader="dot" w:pos="8640"/>
            </w:tabs>
          </w:pPr>
          <w:r>
            <w:fldChar w:fldCharType="begin"/>
          </w:r>
          <w:r>
            <w:instrText xml:space="preserve"> HYPERLINK \l _Toc24291 </w:instrText>
          </w:r>
          <w:r>
            <w:fldChar w:fldCharType="separate"/>
          </w:r>
          <w:r>
            <w:t xml:space="preserve">3.1 </w:t>
          </w:r>
          <w:r>
            <w:rPr>
              <w:rFonts w:hint="eastAsia"/>
            </w:rPr>
            <w:t>基于K-means聚类的用户价值分群</w:t>
          </w:r>
          <w:r>
            <w:tab/>
          </w:r>
          <w:r>
            <w:fldChar w:fldCharType="begin"/>
          </w:r>
          <w:r>
            <w:instrText xml:space="preserve"> PAGEREF _Toc24291 \h </w:instrText>
          </w:r>
          <w:r>
            <w:fldChar w:fldCharType="separate"/>
          </w:r>
          <w:r>
            <w:t>11</w:t>
          </w:r>
          <w:r>
            <w:fldChar w:fldCharType="end"/>
          </w:r>
          <w:r>
            <w:fldChar w:fldCharType="end"/>
          </w:r>
        </w:p>
        <w:p w14:paraId="5797E836">
          <w:pPr>
            <w:pStyle w:val="89"/>
            <w:tabs>
              <w:tab w:val="right" w:leader="dot" w:pos="8640"/>
            </w:tabs>
          </w:pPr>
          <w:r>
            <w:fldChar w:fldCharType="begin"/>
          </w:r>
          <w:r>
            <w:instrText xml:space="preserve"> HYPERLINK \l _Toc1641 </w:instrText>
          </w:r>
          <w:r>
            <w:fldChar w:fldCharType="separate"/>
          </w:r>
          <w:r>
            <w:t xml:space="preserve">3.2 </w:t>
          </w:r>
          <w:r>
            <w:rPr>
              <w:rFonts w:hint="eastAsia"/>
            </w:rPr>
            <w:t>基于RFM模型的用户分层分析</w:t>
          </w:r>
          <w:r>
            <w:tab/>
          </w:r>
          <w:r>
            <w:fldChar w:fldCharType="begin"/>
          </w:r>
          <w:r>
            <w:instrText xml:space="preserve"> PAGEREF _Toc1641 \h </w:instrText>
          </w:r>
          <w:r>
            <w:fldChar w:fldCharType="separate"/>
          </w:r>
          <w:r>
            <w:t>16</w:t>
          </w:r>
          <w:r>
            <w:fldChar w:fldCharType="end"/>
          </w:r>
          <w:r>
            <w:fldChar w:fldCharType="end"/>
          </w:r>
        </w:p>
        <w:p w14:paraId="46D09858">
          <w:pPr>
            <w:pStyle w:val="89"/>
            <w:tabs>
              <w:tab w:val="right" w:leader="dot" w:pos="8640"/>
            </w:tabs>
          </w:pPr>
          <w:r>
            <w:fldChar w:fldCharType="begin"/>
          </w:r>
          <w:r>
            <w:instrText xml:space="preserve"> HYPERLINK \l _Toc22505 </w:instrText>
          </w:r>
          <w:r>
            <w:fldChar w:fldCharType="separate"/>
          </w:r>
          <w:r>
            <w:t xml:space="preserve">3.3 </w:t>
          </w:r>
          <w:r>
            <w:rPr>
              <w:rFonts w:hint="eastAsia"/>
            </w:rPr>
            <w:t>基于BCG矩阵的商品分类分析</w:t>
          </w:r>
          <w:r>
            <w:tab/>
          </w:r>
          <w:r>
            <w:fldChar w:fldCharType="begin"/>
          </w:r>
          <w:r>
            <w:instrText xml:space="preserve"> PAGEREF _Toc22505 \h </w:instrText>
          </w:r>
          <w:r>
            <w:fldChar w:fldCharType="separate"/>
          </w:r>
          <w:r>
            <w:t>20</w:t>
          </w:r>
          <w:r>
            <w:fldChar w:fldCharType="end"/>
          </w:r>
          <w:r>
            <w:fldChar w:fldCharType="end"/>
          </w:r>
        </w:p>
        <w:p w14:paraId="630169A6">
          <w:pPr>
            <w:pStyle w:val="89"/>
            <w:tabs>
              <w:tab w:val="right" w:leader="dot" w:pos="8640"/>
            </w:tabs>
          </w:pPr>
          <w:r>
            <w:fldChar w:fldCharType="begin"/>
          </w:r>
          <w:r>
            <w:instrText xml:space="preserve"> HYPERLINK \l _Toc24615 </w:instrText>
          </w:r>
          <w:r>
            <w:fldChar w:fldCharType="separate"/>
          </w:r>
          <w:r>
            <w:t xml:space="preserve">3.4 </w:t>
          </w:r>
          <w:r>
            <w:rPr>
              <w:rFonts w:hint="eastAsia"/>
            </w:rPr>
            <w:t>基于Apriori算法的商品关联规则分析</w:t>
          </w:r>
          <w:r>
            <w:tab/>
          </w:r>
          <w:r>
            <w:fldChar w:fldCharType="begin"/>
          </w:r>
          <w:r>
            <w:instrText xml:space="preserve"> PAGEREF _Toc24615 \h </w:instrText>
          </w:r>
          <w:r>
            <w:fldChar w:fldCharType="separate"/>
          </w:r>
          <w:r>
            <w:t>23</w:t>
          </w:r>
          <w:r>
            <w:fldChar w:fldCharType="end"/>
          </w:r>
          <w:r>
            <w:fldChar w:fldCharType="end"/>
          </w:r>
        </w:p>
        <w:p w14:paraId="5ACA5973">
          <w:pPr>
            <w:pStyle w:val="88"/>
            <w:tabs>
              <w:tab w:val="right" w:leader="dot" w:pos="8640"/>
            </w:tabs>
            <w:rPr>
              <w:b/>
            </w:rPr>
          </w:pPr>
          <w:r>
            <w:rPr>
              <w:b/>
            </w:rPr>
            <w:fldChar w:fldCharType="begin"/>
          </w:r>
          <w:r>
            <w:rPr>
              <w:b/>
            </w:rPr>
            <w:instrText xml:space="preserve"> HYPERLINK \l _Toc4705 </w:instrText>
          </w:r>
          <w:r>
            <w:rPr>
              <w:b/>
            </w:rPr>
            <w:fldChar w:fldCharType="separate"/>
          </w:r>
          <w:r>
            <w:rPr>
              <w:b/>
            </w:rPr>
            <w:t xml:space="preserve">4. </w:t>
          </w:r>
          <w:r>
            <w:rPr>
              <w:rFonts w:hint="eastAsia"/>
              <w:b/>
            </w:rPr>
            <w:t>多维交叉分析与策略转化</w:t>
          </w:r>
          <w:r>
            <w:rPr>
              <w:b/>
            </w:rPr>
            <w:tab/>
          </w:r>
          <w:r>
            <w:rPr>
              <w:b/>
            </w:rPr>
            <w:fldChar w:fldCharType="begin"/>
          </w:r>
          <w:r>
            <w:rPr>
              <w:b/>
            </w:rPr>
            <w:instrText xml:space="preserve"> PAGEREF _Toc4705 \h </w:instrText>
          </w:r>
          <w:r>
            <w:rPr>
              <w:b/>
            </w:rPr>
            <w:fldChar w:fldCharType="separate"/>
          </w:r>
          <w:r>
            <w:rPr>
              <w:b/>
            </w:rPr>
            <w:t>31</w:t>
          </w:r>
          <w:r>
            <w:rPr>
              <w:b/>
            </w:rPr>
            <w:fldChar w:fldCharType="end"/>
          </w:r>
          <w:r>
            <w:rPr>
              <w:b/>
            </w:rPr>
            <w:fldChar w:fldCharType="end"/>
          </w:r>
        </w:p>
        <w:p w14:paraId="3C278C75">
          <w:pPr>
            <w:pStyle w:val="89"/>
            <w:tabs>
              <w:tab w:val="right" w:leader="dot" w:pos="8640"/>
            </w:tabs>
          </w:pPr>
          <w:r>
            <w:fldChar w:fldCharType="begin"/>
          </w:r>
          <w:r>
            <w:instrText xml:space="preserve"> HYPERLINK \l _Toc5958 </w:instrText>
          </w:r>
          <w:r>
            <w:fldChar w:fldCharType="separate"/>
          </w:r>
          <w:r>
            <w:t xml:space="preserve">4.1 </w:t>
          </w:r>
          <w:r>
            <w:rPr>
              <w:rFonts w:hint="eastAsia"/>
            </w:rPr>
            <w:t>关联规则与BCG矩阵的交叉联动分析</w:t>
          </w:r>
          <w:r>
            <w:tab/>
          </w:r>
          <w:r>
            <w:fldChar w:fldCharType="begin"/>
          </w:r>
          <w:r>
            <w:instrText xml:space="preserve"> PAGEREF _Toc5958 \h </w:instrText>
          </w:r>
          <w:r>
            <w:fldChar w:fldCharType="separate"/>
          </w:r>
          <w:r>
            <w:t>31</w:t>
          </w:r>
          <w:r>
            <w:fldChar w:fldCharType="end"/>
          </w:r>
          <w:r>
            <w:fldChar w:fldCharType="end"/>
          </w:r>
        </w:p>
        <w:p w14:paraId="620D3865">
          <w:pPr>
            <w:pStyle w:val="89"/>
            <w:tabs>
              <w:tab w:val="right" w:leader="dot" w:pos="8640"/>
            </w:tabs>
          </w:pPr>
          <w:r>
            <w:fldChar w:fldCharType="begin"/>
          </w:r>
          <w:r>
            <w:instrText xml:space="preserve"> HYPERLINK \l _Toc143 </w:instrText>
          </w:r>
          <w:r>
            <w:fldChar w:fldCharType="separate"/>
          </w:r>
          <w:r>
            <w:t xml:space="preserve">4.2 </w:t>
          </w:r>
          <w:r>
            <w:rPr>
              <w:rFonts w:hint="eastAsia"/>
            </w:rPr>
            <w:t>RFM分层与关联规则的交叉验证：以23301高增长原因为例</w:t>
          </w:r>
          <w:r>
            <w:tab/>
          </w:r>
          <w:r>
            <w:fldChar w:fldCharType="begin"/>
          </w:r>
          <w:r>
            <w:instrText xml:space="preserve"> PAGEREF _Toc143 \h </w:instrText>
          </w:r>
          <w:r>
            <w:fldChar w:fldCharType="separate"/>
          </w:r>
          <w:r>
            <w:t>41</w:t>
          </w:r>
          <w:r>
            <w:fldChar w:fldCharType="end"/>
          </w:r>
          <w:r>
            <w:fldChar w:fldCharType="end"/>
          </w:r>
        </w:p>
        <w:p w14:paraId="072FA6DD">
          <w:pPr>
            <w:pStyle w:val="89"/>
            <w:tabs>
              <w:tab w:val="right" w:leader="dot" w:pos="8640"/>
            </w:tabs>
          </w:pPr>
          <w:r>
            <w:fldChar w:fldCharType="begin"/>
          </w:r>
          <w:r>
            <w:instrText xml:space="preserve"> HYPERLINK \l _Toc15550 </w:instrText>
          </w:r>
          <w:r>
            <w:fldChar w:fldCharType="separate"/>
          </w:r>
          <w:r>
            <w:t xml:space="preserve">4.3 </w:t>
          </w:r>
          <w:r>
            <w:rPr>
              <w:rFonts w:hint="eastAsia"/>
            </w:rPr>
            <w:t>精准运营策略总览</w:t>
          </w:r>
          <w:r>
            <w:tab/>
          </w:r>
          <w:r>
            <w:fldChar w:fldCharType="begin"/>
          </w:r>
          <w:r>
            <w:instrText xml:space="preserve"> PAGEREF _Toc15550 \h </w:instrText>
          </w:r>
          <w:r>
            <w:fldChar w:fldCharType="separate"/>
          </w:r>
          <w:r>
            <w:t>45</w:t>
          </w:r>
          <w:r>
            <w:fldChar w:fldCharType="end"/>
          </w:r>
          <w:r>
            <w:fldChar w:fldCharType="end"/>
          </w:r>
        </w:p>
        <w:p w14:paraId="2983AAF5">
          <w:pPr>
            <w:pStyle w:val="89"/>
            <w:tabs>
              <w:tab w:val="right" w:leader="dot" w:pos="8640"/>
            </w:tabs>
          </w:pPr>
          <w:r>
            <w:fldChar w:fldCharType="begin"/>
          </w:r>
          <w:r>
            <w:instrText xml:space="preserve"> HYPERLINK \l _Toc16449 </w:instrText>
          </w:r>
          <w:r>
            <w:fldChar w:fldCharType="separate"/>
          </w:r>
          <w:r>
            <w:t xml:space="preserve">4.3.1 </w:t>
          </w:r>
          <w:r>
            <w:rPr>
              <w:rFonts w:hint="eastAsia"/>
            </w:rPr>
            <w:t>客户分层策略矩阵：以RFM为主轴，K-means为辅助</w:t>
          </w:r>
          <w:r>
            <w:tab/>
          </w:r>
          <w:r>
            <w:fldChar w:fldCharType="begin"/>
          </w:r>
          <w:r>
            <w:instrText xml:space="preserve"> PAGEREF _Toc16449 \h </w:instrText>
          </w:r>
          <w:r>
            <w:fldChar w:fldCharType="separate"/>
          </w:r>
          <w:r>
            <w:t>45</w:t>
          </w:r>
          <w:r>
            <w:fldChar w:fldCharType="end"/>
          </w:r>
          <w:r>
            <w:fldChar w:fldCharType="end"/>
          </w:r>
        </w:p>
        <w:p w14:paraId="7A3705D1">
          <w:pPr>
            <w:pStyle w:val="88"/>
            <w:tabs>
              <w:tab w:val="right" w:leader="dot" w:pos="8640"/>
            </w:tabs>
            <w:rPr>
              <w:b/>
            </w:rPr>
          </w:pPr>
          <w:r>
            <w:rPr>
              <w:b/>
            </w:rPr>
            <w:fldChar w:fldCharType="begin"/>
          </w:r>
          <w:r>
            <w:rPr>
              <w:b/>
            </w:rPr>
            <w:instrText xml:space="preserve"> HYPERLINK \l _Toc27892 </w:instrText>
          </w:r>
          <w:r>
            <w:rPr>
              <w:b/>
            </w:rPr>
            <w:fldChar w:fldCharType="separate"/>
          </w:r>
          <w:r>
            <w:rPr>
              <w:b/>
            </w:rPr>
            <w:t xml:space="preserve">5. </w:t>
          </w:r>
          <w:r>
            <w:rPr>
              <w:rFonts w:hint="eastAsia"/>
              <w:b/>
            </w:rPr>
            <w:t>总结与局限性分析</w:t>
          </w:r>
          <w:r>
            <w:rPr>
              <w:b/>
            </w:rPr>
            <w:tab/>
          </w:r>
          <w:r>
            <w:rPr>
              <w:b/>
            </w:rPr>
            <w:fldChar w:fldCharType="begin"/>
          </w:r>
          <w:r>
            <w:rPr>
              <w:b/>
            </w:rPr>
            <w:instrText xml:space="preserve"> PAGEREF _Toc27892 \h </w:instrText>
          </w:r>
          <w:r>
            <w:rPr>
              <w:b/>
            </w:rPr>
            <w:fldChar w:fldCharType="separate"/>
          </w:r>
          <w:r>
            <w:rPr>
              <w:b/>
            </w:rPr>
            <w:t>51</w:t>
          </w:r>
          <w:r>
            <w:rPr>
              <w:b/>
            </w:rPr>
            <w:fldChar w:fldCharType="end"/>
          </w:r>
          <w:r>
            <w:rPr>
              <w:b/>
            </w:rPr>
            <w:fldChar w:fldCharType="end"/>
          </w:r>
        </w:p>
        <w:p w14:paraId="58A28EE3">
          <w:pPr>
            <w:pStyle w:val="89"/>
            <w:tabs>
              <w:tab w:val="right" w:leader="dot" w:pos="8640"/>
            </w:tabs>
          </w:pPr>
          <w:r>
            <w:fldChar w:fldCharType="begin"/>
          </w:r>
          <w:r>
            <w:instrText xml:space="preserve"> HYPERLINK \l _Toc25302 </w:instrText>
          </w:r>
          <w:r>
            <w:fldChar w:fldCharType="separate"/>
          </w:r>
          <w:r>
            <w:t xml:space="preserve">5.1 </w:t>
          </w:r>
          <w:r>
            <w:rPr>
              <w:rFonts w:hint="eastAsia"/>
            </w:rPr>
            <w:t>主要研究发现</w:t>
          </w:r>
          <w:r>
            <w:tab/>
          </w:r>
          <w:r>
            <w:fldChar w:fldCharType="begin"/>
          </w:r>
          <w:r>
            <w:instrText xml:space="preserve"> PAGEREF _Toc25302 \h </w:instrText>
          </w:r>
          <w:r>
            <w:fldChar w:fldCharType="separate"/>
          </w:r>
          <w:r>
            <w:t>51</w:t>
          </w:r>
          <w:r>
            <w:fldChar w:fldCharType="end"/>
          </w:r>
          <w:r>
            <w:fldChar w:fldCharType="end"/>
          </w:r>
        </w:p>
        <w:p w14:paraId="028F8C7F">
          <w:pPr>
            <w:pStyle w:val="89"/>
            <w:tabs>
              <w:tab w:val="right" w:leader="dot" w:pos="8640"/>
            </w:tabs>
          </w:pPr>
          <w:r>
            <w:fldChar w:fldCharType="begin"/>
          </w:r>
          <w:r>
            <w:instrText xml:space="preserve"> HYPERLINK \l _Toc26672 </w:instrText>
          </w:r>
          <w:r>
            <w:fldChar w:fldCharType="separate"/>
          </w:r>
          <w:r>
            <w:t xml:space="preserve">5.2 </w:t>
          </w:r>
          <w:r>
            <w:rPr>
              <w:rFonts w:hint="eastAsia"/>
            </w:rPr>
            <w:t>研究局限性</w:t>
          </w:r>
          <w:r>
            <w:tab/>
          </w:r>
          <w:r>
            <w:fldChar w:fldCharType="begin"/>
          </w:r>
          <w:r>
            <w:instrText xml:space="preserve"> PAGEREF _Toc26672 \h </w:instrText>
          </w:r>
          <w:r>
            <w:fldChar w:fldCharType="separate"/>
          </w:r>
          <w:r>
            <w:t>54</w:t>
          </w:r>
          <w:r>
            <w:fldChar w:fldCharType="end"/>
          </w:r>
          <w:r>
            <w:fldChar w:fldCharType="end"/>
          </w:r>
        </w:p>
        <w:p w14:paraId="726DDD6B">
          <w:pPr>
            <w:pStyle w:val="89"/>
            <w:tabs>
              <w:tab w:val="right" w:leader="dot" w:pos="8640"/>
            </w:tabs>
          </w:pPr>
          <w:r>
            <w:fldChar w:fldCharType="begin"/>
          </w:r>
          <w:r>
            <w:instrText xml:space="preserve"> HYPERLINK \l _Toc21070 </w:instrText>
          </w:r>
          <w:r>
            <w:fldChar w:fldCharType="separate"/>
          </w:r>
          <w:r>
            <w:rPr>
              <w:rFonts w:hint="eastAsia"/>
            </w:rPr>
            <w:t>实验结论</w:t>
          </w:r>
          <w:r>
            <w:tab/>
          </w:r>
          <w:r>
            <w:fldChar w:fldCharType="begin"/>
          </w:r>
          <w:r>
            <w:instrText xml:space="preserve"> PAGEREF _Toc21070 \h </w:instrText>
          </w:r>
          <w:r>
            <w:fldChar w:fldCharType="separate"/>
          </w:r>
          <w:r>
            <w:t>55</w:t>
          </w:r>
          <w:r>
            <w:fldChar w:fldCharType="end"/>
          </w:r>
          <w:r>
            <w:fldChar w:fldCharType="end"/>
          </w:r>
        </w:p>
        <w:p w14:paraId="12744722">
          <w:pPr>
            <w:pStyle w:val="88"/>
            <w:tabs>
              <w:tab w:val="right" w:leader="dot" w:pos="8640"/>
            </w:tabs>
            <w:rPr>
              <w:b/>
            </w:rPr>
          </w:pPr>
          <w:r>
            <w:rPr>
              <w:b/>
            </w:rPr>
            <w:fldChar w:fldCharType="begin"/>
          </w:r>
          <w:r>
            <w:rPr>
              <w:b/>
            </w:rPr>
            <w:instrText xml:space="preserve"> HYPERLINK \l _Toc22503 </w:instrText>
          </w:r>
          <w:r>
            <w:rPr>
              <w:b/>
            </w:rPr>
            <w:fldChar w:fldCharType="separate"/>
          </w:r>
          <w:r>
            <w:rPr>
              <w:rFonts w:hint="eastAsia"/>
              <w:b/>
            </w:rPr>
            <w:t>参考文献</w:t>
          </w:r>
          <w:r>
            <w:rPr>
              <w:b/>
            </w:rPr>
            <w:tab/>
          </w:r>
          <w:r>
            <w:rPr>
              <w:b/>
            </w:rPr>
            <w:fldChar w:fldCharType="begin"/>
          </w:r>
          <w:r>
            <w:rPr>
              <w:b/>
            </w:rPr>
            <w:instrText xml:space="preserve"> PAGEREF _Toc22503 \h </w:instrText>
          </w:r>
          <w:r>
            <w:rPr>
              <w:b/>
            </w:rPr>
            <w:fldChar w:fldCharType="separate"/>
          </w:r>
          <w:r>
            <w:rPr>
              <w:b/>
            </w:rPr>
            <w:t>56</w:t>
          </w:r>
          <w:r>
            <w:rPr>
              <w:b/>
            </w:rPr>
            <w:fldChar w:fldCharType="end"/>
          </w:r>
          <w:r>
            <w:rPr>
              <w:b/>
            </w:rPr>
            <w:fldChar w:fldCharType="end"/>
          </w:r>
        </w:p>
        <w:p w14:paraId="563DF2BA">
          <w:pPr>
            <w:pStyle w:val="3"/>
            <w:rPr>
              <w:rFonts w:ascii="Times New Roman" w:hAnsi="Times New Roman" w:eastAsia="宋体" w:cstheme="minorBidi"/>
              <w:b/>
              <w:color w:val="000000" w:themeColor="text1"/>
              <w:sz w:val="24"/>
              <w:szCs w:val="24"/>
              <w:lang w:val="en-US" w:eastAsia="zh-CN" w:bidi="ar-SA"/>
            </w:rPr>
          </w:pPr>
          <w:r>
            <w:rPr>
              <w:b/>
            </w:rPr>
            <w:fldChar w:fldCharType="end"/>
          </w:r>
        </w:p>
      </w:sdtContent>
    </w:sdt>
    <w:p w14:paraId="430E1951">
      <w:pPr>
        <w:pStyle w:val="3"/>
        <w:rPr>
          <w:rFonts w:ascii="Times New Roman" w:hAnsi="Times New Roman" w:eastAsia="宋体" w:cstheme="minorBidi"/>
          <w:b/>
          <w:color w:val="000000" w:themeColor="text1"/>
          <w:sz w:val="24"/>
          <w:szCs w:val="24"/>
          <w:lang w:val="en-US" w:eastAsia="zh-CN" w:bidi="ar-SA"/>
        </w:rPr>
        <w:sectPr>
          <w:footnotePr>
            <w:numRestart w:val="eachSect"/>
          </w:footnotePr>
          <w:endnotePr>
            <w:numFmt w:val="decimal"/>
          </w:endnotePr>
          <w:pgBorders>
            <w:top w:val="none" w:sz="0" w:space="0"/>
            <w:left w:val="none" w:sz="0" w:space="0"/>
            <w:bottom w:val="none" w:sz="0" w:space="0"/>
            <w:right w:val="none" w:sz="0" w:space="0"/>
          </w:pgBorders>
          <w:cols w:space="720" w:num="1"/>
        </w:sectPr>
      </w:pPr>
    </w:p>
    <w:p w14:paraId="1A332E6A">
      <w:pPr>
        <w:pStyle w:val="2"/>
        <w:bidi w:val="0"/>
      </w:pPr>
      <w:bookmarkStart w:id="1" w:name="_Toc18948"/>
      <w:r>
        <w:t xml:space="preserve">1. </w:t>
      </w:r>
      <w:r>
        <w:rPr>
          <w:rFonts w:hint="eastAsia"/>
        </w:rPr>
        <w:t>项目背景与问题定义</w:t>
      </w:r>
      <w:bookmarkEnd w:id="1"/>
      <w:r>
        <w:t xml:space="preserve"> </w:t>
      </w:r>
    </w:p>
    <w:p w14:paraId="23291515">
      <w:pPr>
        <w:pStyle w:val="4"/>
      </w:pPr>
      <w:bookmarkStart w:id="2" w:name="_Toc14495"/>
      <w:bookmarkStart w:id="3" w:name="X8b11ab26b29137cef5c63f4a455f0260f261b0d"/>
      <w:r>
        <w:t xml:space="preserve">1.1 </w:t>
      </w:r>
      <w:r>
        <w:rPr>
          <w:rFonts w:hint="eastAsia"/>
        </w:rPr>
        <w:t>选题背景</w:t>
      </w:r>
      <w:bookmarkEnd w:id="2"/>
    </w:p>
    <w:p w14:paraId="049C27A0">
      <w:pPr>
        <w:pStyle w:val="28"/>
      </w:pPr>
      <w:r>
        <w:rPr>
          <w:rFonts w:hint="eastAsia"/>
        </w:rPr>
        <w:t>电商行业转型与数据驱动运营的趋势下，全球电子商务市场持续扩张，在线零售已从早期的"流量红利"阶段逐步迈入"存量精细化运营"阶段。随着获客成本的不断攀升与用户忠诚度的普遍下降，电商企业的竞争重心已从单纯的规模扩张转向以用户为核心的精准运营。在这一背景下，如何从海量的交易与行为数据中洞察用户价值、识别消费规律、预判流失风险，已成为企业构建差异化竞争力的关键命题。</w:t>
      </w:r>
    </w:p>
    <w:bookmarkEnd w:id="3"/>
    <w:p w14:paraId="71F7EBE1">
      <w:pPr>
        <w:pStyle w:val="4"/>
      </w:pPr>
      <w:bookmarkStart w:id="4" w:name="_Toc16084"/>
      <w:bookmarkStart w:id="5" w:name="Xf85e573fff2f66115bc5c0a1b404d9a8ecb73ba"/>
      <w:r>
        <w:t xml:space="preserve">1.2 </w:t>
      </w:r>
      <w:r>
        <w:rPr>
          <w:rFonts w:hint="eastAsia"/>
        </w:rPr>
        <w:t>业务痛点</w:t>
      </w:r>
      <w:bookmarkEnd w:id="4"/>
    </w:p>
    <w:p w14:paraId="454DE9A0">
      <w:pPr>
        <w:pStyle w:val="28"/>
      </w:pPr>
      <w:r>
        <w:rPr>
          <w:rFonts w:hint="eastAsia"/>
        </w:rPr>
        <w:t>传统的粗放式营销往往依赖经验判断与群体广播，难以兼顾营销效率与用户体验。而数据驱动的精准运营，则通过对用户购买行为、消费偏好、活跃周期等维度的系统化建模，实现从"千人一面"到"千人千面"的运营跃迁。这不仅有助于提升客户生命周期价值，更能有效降低流失率与营销资源浪费，最终推动企业从"流量运营"向"用户运营"的深度转型。</w:t>
      </w:r>
    </w:p>
    <w:bookmarkEnd w:id="5"/>
    <w:p w14:paraId="3675BC1A">
      <w:pPr>
        <w:pStyle w:val="4"/>
      </w:pPr>
      <w:bookmarkStart w:id="6" w:name="_Toc10644"/>
      <w:bookmarkStart w:id="7" w:name="Xcf0a22a7573c9ebbcd1ee013de51902acde7db3"/>
      <w:r>
        <w:t xml:space="preserve">1.3 </w:t>
      </w:r>
      <w:r>
        <w:rPr>
          <w:rFonts w:hint="eastAsia"/>
        </w:rPr>
        <w:t>数据来源</w:t>
      </w:r>
      <w:bookmarkEnd w:id="6"/>
    </w:p>
    <w:p w14:paraId="69D055EF">
      <w:pPr>
        <w:pStyle w:val="28"/>
      </w:pPr>
      <w:r>
        <w:rPr>
          <w:rFonts w:hint="eastAsia"/>
        </w:rPr>
        <w:t>本研究采用的数据集来源于一家在英国注册的非实体店在线零售商，记录了2010年12月1日至2011年9月12日期间约十个月的全部交易明细</w:t>
      </w:r>
      <w:r>
        <w:rPr>
          <w:rFonts w:hint="eastAsia"/>
          <w:vertAlign w:val="superscript"/>
          <w:lang w:eastAsia="zh-CN"/>
        </w:rPr>
        <w:fldChar w:fldCharType="begin"/>
      </w:r>
      <w:r>
        <w:rPr>
          <w:rFonts w:hint="eastAsia"/>
          <w:vertAlign w:val="superscript"/>
          <w:lang w:eastAsia="zh-CN"/>
        </w:rPr>
        <w:instrText xml:space="preserve"> REF _Ref16067 \r \h </w:instrText>
      </w:r>
      <w:r>
        <w:rPr>
          <w:rFonts w:hint="eastAsia"/>
          <w:vertAlign w:val="superscript"/>
          <w:lang w:eastAsia="zh-CN"/>
        </w:rPr>
        <w:fldChar w:fldCharType="separate"/>
      </w:r>
      <w:r>
        <w:rPr>
          <w:rFonts w:hint="eastAsia"/>
          <w:vertAlign w:val="superscript"/>
          <w:lang w:eastAsia="zh-CN"/>
        </w:rPr>
        <w:t>[1]</w:t>
      </w:r>
      <w:r>
        <w:rPr>
          <w:rFonts w:hint="eastAsia"/>
          <w:vertAlign w:val="superscript"/>
          <w:lang w:eastAsia="zh-CN"/>
        </w:rPr>
        <w:fldChar w:fldCharType="end"/>
      </w:r>
      <w:r>
        <w:rPr>
          <w:rFonts w:hint="eastAsia"/>
        </w:rPr>
        <w:t>。该公司主营业务为全场合礼品（all-occasion</w:t>
      </w:r>
      <w:r>
        <w:t xml:space="preserve"> </w:t>
      </w:r>
      <w:r>
        <w:rPr>
          <w:rFonts w:hint="eastAsia"/>
        </w:rPr>
        <w:t>gifts）的销售，产品涵盖装饰品、家居用品、节日礼品等多个品类，具有典型的非刚需、情感驱动型消费特征。</w:t>
      </w:r>
    </w:p>
    <w:p w14:paraId="3A8A496D">
      <w:pPr>
        <w:pStyle w:val="3"/>
      </w:pPr>
      <w:r>
        <w:rPr>
          <w:rFonts w:hint="eastAsia"/>
        </w:rPr>
        <w:t>值得特别关注的是，该公司的客户群体以批发商为主，呈现出显著的B2B（企业对企业）业务属性。这一特征意味着数据中存在大量批量采购行为，单笔订单数量波动较大，客户复购周期与采购决策逻辑均与面向个人消费者的B2C模式存在本质差异。因此，针对该数据集的分析需充分考虑批发场景下采购规律的特殊性，如季节性集中备货、大额订单波动等因素，而不能简单套用面向C端用户的分析框架。</w:t>
      </w:r>
    </w:p>
    <w:p w14:paraId="1A296413">
      <w:pPr>
        <w:pStyle w:val="3"/>
      </w:pPr>
      <w:r>
        <w:rPr>
          <w:rFonts w:hint="eastAsia"/>
        </w:rPr>
        <w:t>数据集共包含八个核心字段：InvoiceNo（发票编号）记录每笔交易的唯一标识，可用于区分正常订单与退货订单（以"C"开头的发票编号通常表示取消交易）；StockCode（商品代码）与Description（商品描述）共同标识具体商品及其名称；Quantity（数量）反映单笔交易中的商品采购量；InvoiceDate（发票日期）记录交易发生的时间，是进行时间序列与周期性分析的基础；UnitPrice（单价）表示商品单位价格；CustomerID（客户编号）是识别用户、构建用户画像与开展分层的唯一主键；Country（国家）则记录客户所在地区，为跨地域运营策略的制定提供了空间维度。</w:t>
      </w:r>
    </w:p>
    <w:p w14:paraId="4D9D1B60">
      <w:pPr>
        <w:pStyle w:val="3"/>
      </w:pPr>
      <w:r>
        <w:rPr>
          <w:rFonts w:hint="eastAsia"/>
        </w:rPr>
        <w:t>这些字段共同构成了从"用户—商品—时间—地域"四维交叉分析的基础数据底座，为后续的用户价值评估、商品关联挖掘、销售趋势预测与精准运营策略设计提供了充分的数据支撑。</w:t>
      </w:r>
    </w:p>
    <w:bookmarkEnd w:id="7"/>
    <w:p w14:paraId="1F716DFC">
      <w:pPr>
        <w:pStyle w:val="4"/>
      </w:pPr>
      <w:bookmarkStart w:id="8" w:name="_Toc22251"/>
      <w:bookmarkStart w:id="9" w:name="Xcc1342cc4f61100552d8ccb8943d3d2a254e36b"/>
      <w:r>
        <w:t xml:space="preserve">1.4 </w:t>
      </w:r>
      <w:r>
        <w:rPr>
          <w:rFonts w:hint="eastAsia"/>
        </w:rPr>
        <w:t>分析目标</w:t>
      </w:r>
      <w:bookmarkEnd w:id="8"/>
    </w:p>
    <w:p w14:paraId="54BF6597">
      <w:pPr>
        <w:pStyle w:val="28"/>
      </w:pPr>
      <w:r>
        <w:rPr>
          <w:rFonts w:hint="eastAsia"/>
        </w:rPr>
        <w:t>本研究的核心目标在于：基于上述在线零售交易数据，系统性地刻画用户行为特征与消费规律，构建用户价值分层体系，并据此设计可落地的精准运营策略，从而为企业提升客户留存、优化商品结构与营销资源配置提供数据驱动的决策依据。</w:t>
      </w:r>
    </w:p>
    <w:p w14:paraId="5E39A029">
      <w:pPr>
        <w:pStyle w:val="3"/>
      </w:pPr>
      <w:r>
        <w:rPr>
          <w:rFonts w:hint="eastAsia"/>
        </w:rPr>
        <w:t>本研究拟从以下四个维度展开深入分析：</w:t>
      </w:r>
    </w:p>
    <w:p w14:paraId="69DDD1B9">
      <w:pPr>
        <w:numPr>
          <w:ilvl w:val="0"/>
          <w:numId w:val="1"/>
        </w:numPr>
      </w:pPr>
      <w:r>
        <w:rPr>
          <w:rFonts w:hint="eastAsia"/>
        </w:rPr>
        <w:t>用户价值识别与分层。如何基于客户的消费频次、消费金额与最近一次购买时间等行为指标，运用RFM模型对客户群体进行科学分层，识别高价值客户、潜力客户与流失风险客户，并据此制定差异化的运营策略？</w:t>
      </w:r>
    </w:p>
    <w:p w14:paraId="3EEA0F49">
      <w:pPr>
        <w:numPr>
          <w:ilvl w:val="0"/>
          <w:numId w:val="1"/>
        </w:numPr>
      </w:pPr>
      <w:r>
        <w:rPr>
          <w:rFonts w:hint="eastAsia"/>
        </w:rPr>
        <w:t>用户消费行为模式挖掘。客户的购买行为在时间维度上呈现出怎样的周期性与季节性规律？不同客户群体的复购周期、客单价分布与采购品类偏好存在哪些显著差异？这些行为模式如何为促销时机的选择与商品推荐的优化提供依据？</w:t>
      </w:r>
    </w:p>
    <w:p w14:paraId="296B01D8">
      <w:pPr>
        <w:numPr>
          <w:ilvl w:val="0"/>
          <w:numId w:val="1"/>
        </w:numPr>
      </w:pPr>
      <w:r>
        <w:rPr>
          <w:rFonts w:hint="eastAsia"/>
        </w:rPr>
        <w:t>商品关联与销售规律分析。哪些商品之间存在显著的关联购买关系，可用于支撑交叉销售与捆绑营销策略？</w:t>
      </w:r>
    </w:p>
    <w:p w14:paraId="3DD53A1D">
      <w:pPr>
        <w:numPr>
          <w:ilvl w:val="0"/>
          <w:numId w:val="1"/>
        </w:numPr>
      </w:pPr>
      <w:r>
        <w:rPr>
          <w:rFonts w:hint="eastAsia"/>
        </w:rPr>
        <w:t>精准运营策略的制定与评估。</w:t>
      </w:r>
      <w:r>
        <w:t xml:space="preserve"> </w:t>
      </w:r>
      <w:r>
        <w:rPr>
          <w:rFonts w:hint="eastAsia"/>
        </w:rPr>
        <w:t>基于上述分析结果，如何针对不同价值层级的客户群体设计差异化的运营动作？如何结合地域分布特征优化区域化运营资源投放？</w:t>
      </w:r>
    </w:p>
    <w:p w14:paraId="2A939E01">
      <w:pPr>
        <w:pStyle w:val="28"/>
      </w:pPr>
      <w:r>
        <w:rPr>
          <w:rFonts w:hint="eastAsia"/>
        </w:rPr>
        <w:t>通过上述四个维度的递进式分析，本研究力求实现为在线零售企业的精准运营实践提供兼具理论依据与实操价值的方法论参考。</w:t>
      </w:r>
    </w:p>
    <w:bookmarkEnd w:id="0"/>
    <w:bookmarkEnd w:id="9"/>
    <w:p w14:paraId="0EA7E6E3">
      <w:pPr>
        <w:pStyle w:val="2"/>
      </w:pPr>
      <w:bookmarkStart w:id="10" w:name="_Toc5394"/>
      <w:bookmarkStart w:id="11" w:name="X0fef9afb0fa4f10b20b792e905cb50ee52afb93"/>
      <w:r>
        <w:t xml:space="preserve">2. </w:t>
      </w:r>
      <w:r>
        <w:rPr>
          <w:rFonts w:hint="eastAsia"/>
        </w:rPr>
        <w:t>数据探索与预处理</w:t>
      </w:r>
      <w:bookmarkEnd w:id="10"/>
      <w:r>
        <w:t xml:space="preserve"> </w:t>
      </w:r>
    </w:p>
    <w:p w14:paraId="3058D17E">
      <w:pPr>
        <w:pStyle w:val="4"/>
      </w:pPr>
      <w:bookmarkStart w:id="12" w:name="_Toc6987"/>
      <w:bookmarkStart w:id="13" w:name="Xee620fb1ba84fd013eccf46a457fca7a149f430"/>
      <w:r>
        <w:t xml:space="preserve">2.1 </w:t>
      </w:r>
      <w:r>
        <w:rPr>
          <w:rFonts w:hint="eastAsia"/>
        </w:rPr>
        <w:t>原始数据概览</w:t>
      </w:r>
      <w:bookmarkEnd w:id="12"/>
    </w:p>
    <w:p w14:paraId="6D117DDB">
      <w:pPr>
        <w:pStyle w:val="28"/>
      </w:pPr>
      <w:r>
        <w:rPr>
          <w:rFonts w:hint="eastAsia"/>
        </w:rPr>
        <w:t>本研究所使用的原始数据集包含约53万余条交易记录，时间跨度为2010年12月至2011年12月，涵盖发票编号（InvoiceNo）、商品代码（StockCode）、商品描述（Description）、数量（Quantity）、发票日期（InvoiceDate）、单价（UnitPrice）、客户编号（CustomerID）及国家（Country）共八个字段。每条记录代表一次交易中的单个商品行项目，一笔订单可包含多条记录。</w:t>
      </w:r>
    </w:p>
    <w:bookmarkEnd w:id="13"/>
    <w:p w14:paraId="2415626E">
      <w:pPr>
        <w:pStyle w:val="4"/>
      </w:pPr>
      <w:bookmarkStart w:id="14" w:name="_Toc19715"/>
      <w:bookmarkStart w:id="15" w:name="X0ae08a2a7313a4a8cb2b1839c1d0964aa08aa99"/>
      <w:r>
        <w:t xml:space="preserve">2.2 </w:t>
      </w:r>
      <w:r>
        <w:rPr>
          <w:rFonts w:hint="eastAsia"/>
        </w:rPr>
        <w:t>数据清洗</w:t>
      </w:r>
      <w:bookmarkEnd w:id="14"/>
    </w:p>
    <w:p w14:paraId="6B7E5E16">
      <w:pPr>
        <w:pStyle w:val="28"/>
      </w:pPr>
      <w:r>
        <w:rPr>
          <w:rFonts w:hint="eastAsia"/>
        </w:rPr>
        <w:t>本研究针对原始数据中存在的缺失值、重复值与异常值三类问题，依次开展了如下清洗操作：</w:t>
      </w:r>
    </w:p>
    <w:p w14:paraId="0A38E5FE">
      <w:pPr>
        <w:pStyle w:val="5"/>
      </w:pPr>
      <w:bookmarkStart w:id="16" w:name="Xab27fdf7fc40aa83c02365aba1f672ce6f21975"/>
      <w:r>
        <w:t xml:space="preserve">2.2.1 </w:t>
      </w:r>
      <w:r>
        <w:rPr>
          <w:rFonts w:hint="eastAsia"/>
        </w:rPr>
        <w:t>缺失值处理</w:t>
      </w:r>
    </w:p>
    <w:p w14:paraId="1B827763">
      <w:pPr>
        <w:pStyle w:val="28"/>
      </w:pPr>
      <w:r>
        <w:rPr>
          <w:rFonts w:hint="eastAsia"/>
        </w:rPr>
        <w:t>原始数据中存在两类缺失问题，分别是CustomerID</w:t>
      </w:r>
      <w:r>
        <w:t xml:space="preserve"> </w:t>
      </w:r>
      <w:r>
        <w:rPr>
          <w:rFonts w:hint="eastAsia"/>
        </w:rPr>
        <w:t>缺失，Description</w:t>
      </w:r>
      <w:r>
        <w:t xml:space="preserve"> </w:t>
      </w:r>
      <w:r>
        <w:rPr>
          <w:rFonts w:hint="eastAsia"/>
        </w:rPr>
        <w:t>缺失。</w:t>
      </w:r>
    </w:p>
    <w:p w14:paraId="4A3D6170">
      <w:pPr>
        <w:pStyle w:val="3"/>
      </w:pPr>
      <w:r>
        <w:rPr>
          <w:rFonts w:hint="eastAsia"/>
        </w:rPr>
        <w:t>针对CustomerID</w:t>
      </w:r>
      <w:r>
        <w:t xml:space="preserve"> </w:t>
      </w:r>
      <w:r>
        <w:rPr>
          <w:rFonts w:hint="eastAsia"/>
        </w:rPr>
        <w:t>缺失，首先经统计，CustomerID</w:t>
      </w:r>
      <w:r>
        <w:t xml:space="preserve"> </w:t>
      </w:r>
      <w:r>
        <w:rPr>
          <w:rFonts w:hint="eastAsia"/>
        </w:rPr>
        <w:t>字段缺失的记录共135,080行，占原始数据总量的约25%，比例较为显著。但由于</w:t>
      </w:r>
      <w:r>
        <w:t xml:space="preserve"> CustomerID </w:t>
      </w:r>
      <w:r>
        <w:rPr>
          <w:rFonts w:hint="eastAsia"/>
        </w:rPr>
        <w:t>是用户识别的唯一主键，是开展RFM分群、用户行为分析、客户生命周期管理等研究的必要前提，缺失该字段的记录无法关联到具体客户，不具备用户级分析价值。因此，本研究对</w:t>
      </w:r>
      <w:r>
        <w:t xml:space="preserve"> CustomerID </w:t>
      </w:r>
      <w:r>
        <w:rPr>
          <w:rFonts w:hint="eastAsia"/>
        </w:rPr>
        <w:t>缺失的行予以直接删除处理。</w:t>
      </w:r>
    </w:p>
    <w:p w14:paraId="793334CC">
      <w:pPr>
        <w:pStyle w:val="3"/>
      </w:pPr>
      <w:r>
        <w:rPr>
          <w:rFonts w:hint="eastAsia"/>
        </w:rPr>
        <w:t>针对Description</w:t>
      </w:r>
      <w:r>
        <w:t xml:space="preserve"> </w:t>
      </w:r>
      <w:r>
        <w:rPr>
          <w:rFonts w:hint="eastAsia"/>
        </w:rPr>
        <w:t>缺失，由于该字段与</w:t>
      </w:r>
      <w:r>
        <w:t xml:space="preserve"> StockCode </w:t>
      </w:r>
      <w:r>
        <w:rPr>
          <w:rFonts w:hint="eastAsia"/>
        </w:rPr>
        <w:t>存在一一对应关系，所以本研究采用基于</w:t>
      </w:r>
      <w:r>
        <w:t xml:space="preserve"> StockCode </w:t>
      </w:r>
      <w:r>
        <w:rPr>
          <w:rFonts w:hint="eastAsia"/>
        </w:rPr>
        <w:t>的众数填充策略：对每条</w:t>
      </w:r>
      <w:r>
        <w:t xml:space="preserve"> Description </w:t>
      </w:r>
      <w:r>
        <w:rPr>
          <w:rFonts w:hint="eastAsia"/>
        </w:rPr>
        <w:t>缺失的记录，查找相同</w:t>
      </w:r>
      <w:r>
        <w:t xml:space="preserve"> StockCode </w:t>
      </w:r>
      <w:r>
        <w:rPr>
          <w:rFonts w:hint="eastAsia"/>
        </w:rPr>
        <w:t>下出现频次最高的商品描述进行填充。对于极少数</w:t>
      </w:r>
      <w:r>
        <w:t xml:space="preserve"> StockCode </w:t>
      </w:r>
      <w:r>
        <w:rPr>
          <w:rFonts w:hint="eastAsia"/>
        </w:rPr>
        <w:t>本身也为空或无有效众数可参考的记录，则保留并标记</w:t>
      </w:r>
      <w:r>
        <w:t xml:space="preserve"> Unknown。</w:t>
      </w:r>
    </w:p>
    <w:bookmarkEnd w:id="16"/>
    <w:p w14:paraId="379217E9">
      <w:pPr>
        <w:pStyle w:val="5"/>
      </w:pPr>
      <w:bookmarkStart w:id="17" w:name="X0140fa57f7de65bfec462191dfeb96415082cf3"/>
      <w:r>
        <w:t xml:space="preserve">2.2.2 </w:t>
      </w:r>
      <w:r>
        <w:rPr>
          <w:rFonts w:hint="eastAsia"/>
        </w:rPr>
        <w:t>异常值处理</w:t>
      </w:r>
    </w:p>
    <w:p w14:paraId="28DB5343">
      <w:pPr>
        <w:pStyle w:val="28"/>
      </w:pPr>
      <w:r>
        <w:rPr>
          <w:rFonts w:hint="eastAsia"/>
        </w:rPr>
        <w:t>本研究采用基于四分位距（IQR）的异常值检测方法，针对大于3倍IQR的数据进行剔除，在有效去除噪声的同时最大限度地保留了数据的真实信息，尤其考虑到该数据集以批发商客户为主，大额批量采购本身属于正常业务行为。</w:t>
      </w:r>
    </w:p>
    <w:bookmarkEnd w:id="17"/>
    <w:p w14:paraId="4DB4F63C">
      <w:pPr>
        <w:pStyle w:val="5"/>
      </w:pPr>
      <w:bookmarkStart w:id="18" w:name="X9e080288501bc441eafc9337ba895fb934f2d5c"/>
      <w:r>
        <w:t xml:space="preserve">2.2.3 </w:t>
      </w:r>
      <w:r>
        <w:rPr>
          <w:rFonts w:hint="eastAsia"/>
        </w:rPr>
        <w:t>重复值处理</w:t>
      </w:r>
    </w:p>
    <w:p w14:paraId="671088CC">
      <w:pPr>
        <w:pStyle w:val="28"/>
      </w:pPr>
      <w:r>
        <w:rPr>
          <w:rFonts w:hint="eastAsia"/>
        </w:rPr>
        <w:t>经检测，原始数据中存在5,166行完全重复的记录，本研究对这5,166行重复记录进行了去重删除。</w:t>
      </w:r>
    </w:p>
    <w:p w14:paraId="45F7FBEF">
      <w:pPr>
        <w:pStyle w:val="3"/>
      </w:pPr>
      <w:r>
        <w:rPr>
          <w:rFonts w:hint="eastAsia"/>
        </w:rPr>
        <w:t>经过上述缺失值删除与去重操作后，数据集由原始规模缩减至391,288行，作为后续分析的基础数据集。</w:t>
      </w:r>
    </w:p>
    <w:bookmarkEnd w:id="15"/>
    <w:bookmarkEnd w:id="18"/>
    <w:p w14:paraId="207DE566">
      <w:pPr>
        <w:pStyle w:val="4"/>
      </w:pPr>
      <w:bookmarkStart w:id="19" w:name="_Toc5984"/>
      <w:bookmarkStart w:id="20" w:name="Xbd1fe454ebf13956bbf12371d426206fd31f412"/>
      <w:r>
        <w:t xml:space="preserve">2.3 </w:t>
      </w:r>
      <w:r>
        <w:rPr>
          <w:rFonts w:hint="eastAsia"/>
        </w:rPr>
        <w:t>探索性数据分析</w:t>
      </w:r>
      <w:bookmarkEnd w:id="19"/>
    </w:p>
    <w:p w14:paraId="24D2176E">
      <w:pPr>
        <w:pStyle w:val="28"/>
      </w:pPr>
      <w:r>
        <w:rPr>
          <w:rFonts w:hint="eastAsia"/>
        </w:rPr>
        <w:t>在完成数据清洗后，本研究从时间维度、地域维度、商品维度与订单价值维度对数据进行了探索性分析。</w:t>
      </w:r>
    </w:p>
    <w:p w14:paraId="1EC7962D">
      <w:pPr>
        <w:pStyle w:val="5"/>
      </w:pPr>
      <w:bookmarkStart w:id="21" w:name="X3b7b6da2fe6aecdc07aea6e4c49d4c50cfc2a79"/>
      <w:r>
        <w:t xml:space="preserve">2.3.1 </w:t>
      </w:r>
      <w:r>
        <w:rPr>
          <w:rFonts w:hint="eastAsia"/>
        </w:rPr>
        <w:t>销售时间规律分析</w:t>
      </w:r>
    </w:p>
    <w:p w14:paraId="3F43E42E">
      <w:pPr>
        <w:pStyle w:val="28"/>
      </w:pPr>
      <w:r>
        <w:rPr>
          <w:rFonts w:hint="eastAsia"/>
        </w:rPr>
        <w:t>月度销售趋势(</w:t>
      </w:r>
      <w:r>
        <w:rPr>
          <w:rFonts w:hint="eastAsia"/>
          <w:lang w:eastAsia="zh-CN"/>
        </w:rPr>
        <w:fldChar w:fldCharType="begin"/>
      </w:r>
      <w:r>
        <w:rPr>
          <w:rFonts w:hint="eastAsia"/>
          <w:lang w:eastAsia="zh-CN"/>
        </w:rPr>
        <w:instrText xml:space="preserve"> REF _Ref17318 \h </w:instrText>
      </w:r>
      <w:r>
        <w:rPr>
          <w:rFonts w:hint="eastAsia"/>
          <w:lang w:eastAsia="zh-CN"/>
        </w:rPr>
        <w:fldChar w:fldCharType="separate"/>
      </w:r>
      <w:r>
        <w:t>图 1</w:t>
      </w:r>
      <w:r>
        <w:rPr>
          <w:rFonts w:hint="eastAsia"/>
          <w:lang w:val="en-US" w:eastAsia="zh-CN"/>
        </w:rPr>
        <w:t xml:space="preserve"> </w:t>
      </w:r>
      <w:r>
        <w:rPr>
          <w:rFonts w:hint="eastAsia"/>
        </w:rPr>
        <w:t>Monthly Sales Trend</w:t>
      </w:r>
      <w:r>
        <w:rPr>
          <w:rFonts w:hint="eastAsia"/>
          <w:lang w:eastAsia="zh-CN"/>
        </w:rPr>
        <w:fldChar w:fldCharType="end"/>
      </w:r>
      <w:r>
        <w:rPr>
          <w:rFonts w:hint="eastAsia"/>
        </w:rPr>
        <w:t>)，从月度销售总额来看，2011年1月至3月销售额处于相对平稳区间，其中1月为539K、2月为543K，3月回落至426K。此后销售额逐月波动，整体呈现出下半年逐步攀升的趋势。这一走势与礼品零售行业的季节性特征高度吻合——作为全场合礼品销售商，下半年尤其是临近年末假日季时，客户备货需求显著增加，推动销售高峰的出现。该规律为企业提前规划库存备货与营销活动节奏提供了重要参考。</w:t>
      </w:r>
      <w:r>
        <w:drawing>
          <wp:inline distT="0" distB="0" distL="114300" distR="114300">
            <wp:extent cx="5334000" cy="2222500"/>
            <wp:effectExtent l="0" t="0" r="0" b="0"/>
            <wp:docPr id="2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title="fig:"/>
                    <pic:cNvPicPr>
                      <a:picLocks noChangeAspect="1" noChangeArrowheads="1"/>
                    </pic:cNvPicPr>
                  </pic:nvPicPr>
                  <pic:blipFill>
                    <a:blip r:embed="rId7"/>
                    <a:stretch>
                      <a:fillRect/>
                    </a:stretch>
                  </pic:blipFill>
                  <pic:spPr>
                    <a:xfrm>
                      <a:off x="0" y="0"/>
                      <a:ext cx="5334000" cy="2222500"/>
                    </a:xfrm>
                    <a:prstGeom prst="rect">
                      <a:avLst/>
                    </a:prstGeom>
                    <a:noFill/>
                    <a:ln w="9525">
                      <a:noFill/>
                    </a:ln>
                  </pic:spPr>
                </pic:pic>
              </a:graphicData>
            </a:graphic>
          </wp:inline>
        </w:drawing>
      </w:r>
    </w:p>
    <w:p w14:paraId="3B2B6214">
      <w:pPr>
        <w:pStyle w:val="12"/>
      </w:pPr>
      <w:bookmarkStart w:id="22" w:name="_Ref17112"/>
      <w:bookmarkStart w:id="23" w:name="_Ref17318"/>
      <w:r>
        <w:t xml:space="preserve">图 </w:t>
      </w:r>
      <w:r>
        <w:fldChar w:fldCharType="begin"/>
      </w:r>
      <w:r>
        <w:instrText xml:space="preserve"> SEQ 图 \* ARABIC </w:instrText>
      </w:r>
      <w:r>
        <w:fldChar w:fldCharType="separate"/>
      </w:r>
      <w:r>
        <w:t>1</w:t>
      </w:r>
      <w:r>
        <w:fldChar w:fldCharType="end"/>
      </w:r>
      <w:r>
        <w:rPr>
          <w:rFonts w:hint="eastAsia"/>
          <w:lang w:val="en-US" w:eastAsia="zh-CN"/>
        </w:rPr>
        <w:t xml:space="preserve"> </w:t>
      </w:r>
      <w:bookmarkEnd w:id="22"/>
      <w:r>
        <w:rPr>
          <w:rFonts w:hint="eastAsia"/>
        </w:rPr>
        <w:t>Monthly Sales Trend</w:t>
      </w:r>
      <w:bookmarkEnd w:id="23"/>
    </w:p>
    <w:p w14:paraId="0A4F9632">
      <w:pPr>
        <w:pStyle w:val="3"/>
      </w:pPr>
      <w:r>
        <w:rPr>
          <w:rFonts w:hint="eastAsia"/>
        </w:rPr>
        <w:t>周销售分布(</w:t>
      </w:r>
      <w:r>
        <w:rPr>
          <w:rFonts w:hint="eastAsia"/>
          <w:lang w:eastAsia="zh-CN"/>
        </w:rPr>
        <w:fldChar w:fldCharType="begin"/>
      </w:r>
      <w:r>
        <w:rPr>
          <w:rFonts w:hint="eastAsia"/>
          <w:lang w:eastAsia="zh-CN"/>
        </w:rPr>
        <w:instrText xml:space="preserve"> REF _Ref17226 \h </w:instrText>
      </w:r>
      <w:r>
        <w:rPr>
          <w:rFonts w:hint="eastAsia"/>
          <w:lang w:eastAsia="zh-CN"/>
        </w:rPr>
        <w:fldChar w:fldCharType="separate"/>
      </w:r>
      <w:r>
        <w:t>图 2</w:t>
      </w:r>
      <w:r>
        <w:rPr>
          <w:rFonts w:hint="eastAsia"/>
          <w:lang w:val="en-US" w:eastAsia="zh-CN"/>
        </w:rPr>
        <w:t xml:space="preserve"> Order Distribution by Hour of Day</w:t>
      </w:r>
      <w:r>
        <w:rPr>
          <w:rFonts w:hint="eastAsia"/>
          <w:lang w:eastAsia="zh-CN"/>
        </w:rPr>
        <w:fldChar w:fldCharType="end"/>
      </w:r>
      <w:r>
        <w:rPr>
          <w:rFonts w:hint="eastAsia"/>
        </w:rPr>
        <w:t>)，从一周内各天的销售额分布来看，周四（Thu）的销售额最高，成为一周内的销售峰值日；而周六（Sat）的销售额为零，表明该企业在周六不产生交易记录，这可能与企业运营时间安排或系统维护有关。其余工作日的销售额呈现一定波动，周一至周五整体保持较高活跃度。这一分布特征提示企业在工作日尤其是周中时段应加强运营资源投放，而周六的零交易现象则需结合企业实际运营制度进一步核实。</w:t>
      </w:r>
      <w:r>
        <w:drawing>
          <wp:inline distT="0" distB="0" distL="114300" distR="114300">
            <wp:extent cx="5334000" cy="3333115"/>
            <wp:effectExtent l="0" t="0" r="0" b="0"/>
            <wp:docPr id="23"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title="fig:"/>
                    <pic:cNvPicPr>
                      <a:picLocks noChangeAspect="1" noChangeArrowheads="1"/>
                    </pic:cNvPicPr>
                  </pic:nvPicPr>
                  <pic:blipFill>
                    <a:blip r:embed="rId8"/>
                    <a:stretch>
                      <a:fillRect/>
                    </a:stretch>
                  </pic:blipFill>
                  <pic:spPr>
                    <a:xfrm>
                      <a:off x="0" y="0"/>
                      <a:ext cx="5334000" cy="3333749"/>
                    </a:xfrm>
                    <a:prstGeom prst="rect">
                      <a:avLst/>
                    </a:prstGeom>
                    <a:noFill/>
                    <a:ln w="9525">
                      <a:noFill/>
                    </a:ln>
                  </pic:spPr>
                </pic:pic>
              </a:graphicData>
            </a:graphic>
          </wp:inline>
        </w:drawing>
      </w:r>
    </w:p>
    <w:p w14:paraId="0B587A25">
      <w:pPr>
        <w:pStyle w:val="12"/>
        <w:rPr>
          <w:rFonts w:hint="eastAsia" w:eastAsia="宋体"/>
          <w:lang w:val="en-US" w:eastAsia="zh-CN"/>
        </w:rPr>
      </w:pPr>
      <w:bookmarkStart w:id="24" w:name="_Ref17226"/>
      <w:r>
        <w:t xml:space="preserve">图 </w:t>
      </w:r>
      <w:r>
        <w:fldChar w:fldCharType="begin"/>
      </w:r>
      <w:r>
        <w:instrText xml:space="preserve"> SEQ 图 \* ARABIC </w:instrText>
      </w:r>
      <w:r>
        <w:fldChar w:fldCharType="separate"/>
      </w:r>
      <w:r>
        <w:t>2</w:t>
      </w:r>
      <w:r>
        <w:fldChar w:fldCharType="end"/>
      </w:r>
      <w:r>
        <w:rPr>
          <w:rFonts w:hint="eastAsia"/>
          <w:lang w:val="en-US" w:eastAsia="zh-CN"/>
        </w:rPr>
        <w:t xml:space="preserve"> Order Distribution by Hour of Day</w:t>
      </w:r>
      <w:bookmarkEnd w:id="24"/>
    </w:p>
    <w:p w14:paraId="57522C98">
      <w:pPr>
        <w:pStyle w:val="3"/>
      </w:pPr>
      <w:r>
        <w:rPr>
          <w:rFonts w:hint="eastAsia"/>
        </w:rPr>
        <w:t>日订单分布(</w:t>
      </w:r>
      <w:r>
        <w:rPr>
          <w:rFonts w:hint="eastAsia"/>
          <w:lang w:eastAsia="zh-CN"/>
        </w:rPr>
        <w:fldChar w:fldCharType="begin"/>
      </w:r>
      <w:r>
        <w:rPr>
          <w:rFonts w:hint="eastAsia"/>
          <w:lang w:eastAsia="zh-CN"/>
        </w:rPr>
        <w:instrText xml:space="preserve"> REF _Ref17458 \h </w:instrText>
      </w:r>
      <w:r>
        <w:rPr>
          <w:rFonts w:hint="eastAsia"/>
          <w:lang w:eastAsia="zh-CN"/>
        </w:rPr>
        <w:fldChar w:fldCharType="separate"/>
      </w:r>
      <w:r>
        <w:t>图 3</w:t>
      </w:r>
      <w:r>
        <w:rPr>
          <w:rFonts w:hint="eastAsia"/>
          <w:lang w:val="en-US" w:eastAsia="zh-CN"/>
        </w:rPr>
        <w:t xml:space="preserve"> </w:t>
      </w:r>
      <w:r>
        <w:rPr>
          <w:rFonts w:hint="eastAsia"/>
        </w:rPr>
        <w:t>Order Distribution by Hour of Day</w:t>
      </w:r>
      <w:r>
        <w:rPr>
          <w:rFonts w:hint="eastAsia"/>
          <w:lang w:eastAsia="zh-CN"/>
        </w:rPr>
        <w:fldChar w:fldCharType="end"/>
      </w:r>
      <w:r>
        <w:rPr>
          <w:rFonts w:hint="eastAsia"/>
        </w:rPr>
        <w:t>)，从每日各小时的订单量分布来看，订单活动主要集中在中午至下午时段，其中12点左右的订单量达到峰值，接近70,000单；13点、14点等午后时段的订单量也处于较高水平。早间与晚间时段的订单量则明显偏低。这一日内分布模式呈现出典型的"工作时间采购"特征，进一步印证了该企业客户群体以批发商为主的B2B业务属性。</w:t>
      </w:r>
      <w:r>
        <w:drawing>
          <wp:inline distT="0" distB="0" distL="114300" distR="114300">
            <wp:extent cx="5334000" cy="2667000"/>
            <wp:effectExtent l="0" t="0" r="0" b="0"/>
            <wp:docPr id="2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title="fig:"/>
                    <pic:cNvPicPr>
                      <a:picLocks noChangeAspect="1" noChangeArrowheads="1"/>
                    </pic:cNvPicPr>
                  </pic:nvPicPr>
                  <pic:blipFill>
                    <a:blip r:embed="rId9"/>
                    <a:stretch>
                      <a:fillRect/>
                    </a:stretch>
                  </pic:blipFill>
                  <pic:spPr>
                    <a:xfrm>
                      <a:off x="0" y="0"/>
                      <a:ext cx="5334000" cy="2667000"/>
                    </a:xfrm>
                    <a:prstGeom prst="rect">
                      <a:avLst/>
                    </a:prstGeom>
                    <a:noFill/>
                    <a:ln w="9525">
                      <a:noFill/>
                    </a:ln>
                  </pic:spPr>
                </pic:pic>
              </a:graphicData>
            </a:graphic>
          </wp:inline>
        </w:drawing>
      </w:r>
    </w:p>
    <w:p w14:paraId="2E7C89AD">
      <w:pPr>
        <w:pStyle w:val="12"/>
      </w:pPr>
      <w:bookmarkStart w:id="25" w:name="_Ref17458"/>
      <w:r>
        <w:t xml:space="preserve">图 </w:t>
      </w:r>
      <w:r>
        <w:fldChar w:fldCharType="begin"/>
      </w:r>
      <w:r>
        <w:instrText xml:space="preserve"> SEQ 图 \* ARABIC </w:instrText>
      </w:r>
      <w:r>
        <w:fldChar w:fldCharType="separate"/>
      </w:r>
      <w:r>
        <w:t>3</w:t>
      </w:r>
      <w:r>
        <w:fldChar w:fldCharType="end"/>
      </w:r>
      <w:r>
        <w:rPr>
          <w:rFonts w:hint="eastAsia"/>
          <w:lang w:val="en-US" w:eastAsia="zh-CN"/>
        </w:rPr>
        <w:t xml:space="preserve"> </w:t>
      </w:r>
      <w:r>
        <w:rPr>
          <w:rFonts w:hint="eastAsia"/>
        </w:rPr>
        <w:t>Order Distribution by Hour of Day</w:t>
      </w:r>
      <w:bookmarkEnd w:id="25"/>
    </w:p>
    <w:bookmarkEnd w:id="21"/>
    <w:p w14:paraId="0448FE09">
      <w:pPr>
        <w:pStyle w:val="5"/>
      </w:pPr>
      <w:bookmarkStart w:id="26" w:name="X591cfaaaad9845437aff554197033dc8330e299"/>
      <w:r>
        <w:t xml:space="preserve">2.3.2 </w:t>
      </w:r>
      <w:r>
        <w:rPr>
          <w:rFonts w:hint="eastAsia"/>
        </w:rPr>
        <w:t>地域分布特征</w:t>
      </w:r>
    </w:p>
    <w:p w14:paraId="22C46D7D">
      <w:pPr>
        <w:pStyle w:val="28"/>
      </w:pPr>
      <w:r>
        <w:rPr>
          <w:rFonts w:hint="eastAsia"/>
        </w:rPr>
        <w:t>从各国销售额排名（</w:t>
      </w:r>
      <w:r>
        <w:rPr>
          <w:rFonts w:hint="eastAsia"/>
          <w:lang w:eastAsia="zh-CN"/>
        </w:rPr>
        <w:fldChar w:fldCharType="begin"/>
      </w:r>
      <w:r>
        <w:rPr>
          <w:rFonts w:hint="eastAsia"/>
          <w:lang w:eastAsia="zh-CN"/>
        </w:rPr>
        <w:instrText xml:space="preserve"> REF _Ref17533 \h </w:instrText>
      </w:r>
      <w:r>
        <w:rPr>
          <w:rFonts w:hint="eastAsia"/>
          <w:lang w:eastAsia="zh-CN"/>
        </w:rPr>
        <w:fldChar w:fldCharType="separate"/>
      </w:r>
      <w:r>
        <w:t>图 4</w:t>
      </w:r>
      <w:r>
        <w:rPr>
          <w:rFonts w:hint="eastAsia"/>
          <w:lang w:val="en-US" w:eastAsia="zh-CN"/>
        </w:rPr>
        <w:t xml:space="preserve"> Top 10 Countries by Sales Amount</w:t>
      </w:r>
      <w:r>
        <w:rPr>
          <w:rFonts w:hint="eastAsia"/>
          <w:lang w:eastAsia="zh-CN"/>
        </w:rPr>
        <w:fldChar w:fldCharType="end"/>
      </w:r>
      <w:r>
        <w:rPr>
          <w:rFonts w:hint="eastAsia"/>
        </w:rPr>
        <w:t>）来看，英国（United</w:t>
      </w:r>
      <w:r>
        <w:t xml:space="preserve"> </w:t>
      </w:r>
      <w:r>
        <w:rPr>
          <w:rFonts w:hint="eastAsia"/>
        </w:rPr>
        <w:t>Kingdom）以接近700万的销售额遥遥领先，占据绝对主导地位，这与该企业注册地为英国、主要服务本土市场的背景一致。荷兰（Netherlands）、爱尔兰（Eire）、德国（Germany）等国家紧随其后，但销售额规模与英国存在明显的差距。这一分布表明，企业的核心市场高度集中于英国本土，海外市场虽有布局但贡献有限。在运营策略上，企业应在稳固本土市场优势的同时，评估海外高潜力市场（如荷兰、德国）的拓展价值，针对性制定区域化策略。</w:t>
      </w:r>
      <w:r>
        <w:drawing>
          <wp:inline distT="0" distB="0" distL="114300" distR="114300">
            <wp:extent cx="5334000" cy="3199765"/>
            <wp:effectExtent l="0" t="0" r="0" b="0"/>
            <wp:docPr id="3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title="fig:"/>
                    <pic:cNvPicPr>
                      <a:picLocks noChangeAspect="1" noChangeArrowheads="1"/>
                    </pic:cNvPicPr>
                  </pic:nvPicPr>
                  <pic:blipFill>
                    <a:blip r:embed="rId10"/>
                    <a:stretch>
                      <a:fillRect/>
                    </a:stretch>
                  </pic:blipFill>
                  <pic:spPr>
                    <a:xfrm>
                      <a:off x="0" y="0"/>
                      <a:ext cx="5334000" cy="3200399"/>
                    </a:xfrm>
                    <a:prstGeom prst="rect">
                      <a:avLst/>
                    </a:prstGeom>
                    <a:noFill/>
                    <a:ln w="9525">
                      <a:noFill/>
                    </a:ln>
                  </pic:spPr>
                </pic:pic>
              </a:graphicData>
            </a:graphic>
          </wp:inline>
        </w:drawing>
      </w:r>
    </w:p>
    <w:p w14:paraId="2BF303AC">
      <w:pPr>
        <w:pStyle w:val="12"/>
        <w:rPr>
          <w:rFonts w:hint="eastAsia" w:eastAsia="宋体"/>
          <w:lang w:val="en-US" w:eastAsia="zh-CN"/>
        </w:rPr>
      </w:pPr>
      <w:bookmarkStart w:id="27" w:name="_Ref17533"/>
      <w:r>
        <w:t xml:space="preserve">图 </w:t>
      </w:r>
      <w:r>
        <w:fldChar w:fldCharType="begin"/>
      </w:r>
      <w:r>
        <w:instrText xml:space="preserve"> SEQ 图 \* ARABIC </w:instrText>
      </w:r>
      <w:r>
        <w:fldChar w:fldCharType="separate"/>
      </w:r>
      <w:r>
        <w:t>4</w:t>
      </w:r>
      <w:r>
        <w:fldChar w:fldCharType="end"/>
      </w:r>
      <w:r>
        <w:rPr>
          <w:rFonts w:hint="eastAsia"/>
          <w:lang w:val="en-US" w:eastAsia="zh-CN"/>
        </w:rPr>
        <w:t xml:space="preserve"> Top 10 Countries by Sales Amount</w:t>
      </w:r>
      <w:bookmarkEnd w:id="27"/>
    </w:p>
    <w:bookmarkEnd w:id="26"/>
    <w:p w14:paraId="1ADCF7DA">
      <w:pPr>
        <w:pStyle w:val="5"/>
      </w:pPr>
      <w:bookmarkStart w:id="28" w:name="Xf261c5e9154f6beb456c0b6b50b447e55ec20cb"/>
      <w:r>
        <w:t xml:space="preserve">2.3.3 </w:t>
      </w:r>
      <w:r>
        <w:rPr>
          <w:rFonts w:hint="eastAsia"/>
        </w:rPr>
        <w:t>商品销售分析</w:t>
      </w:r>
    </w:p>
    <w:p w14:paraId="4F5A5A5F">
      <w:pPr>
        <w:pStyle w:val="28"/>
      </w:pPr>
      <w:r>
        <w:rPr>
          <w:rFonts w:hint="eastAsia"/>
        </w:rPr>
        <w:t>从销量排名前十的商品来看(</w:t>
      </w:r>
      <w:r>
        <w:rPr>
          <w:rFonts w:hint="eastAsia"/>
          <w:lang w:eastAsia="zh-CN"/>
        </w:rPr>
        <w:fldChar w:fldCharType="begin"/>
      </w:r>
      <w:r>
        <w:rPr>
          <w:rFonts w:hint="eastAsia"/>
          <w:lang w:eastAsia="zh-CN"/>
        </w:rPr>
        <w:instrText xml:space="preserve"> REF _Ref17602 \h </w:instrText>
      </w:r>
      <w:r>
        <w:rPr>
          <w:rFonts w:hint="eastAsia"/>
          <w:lang w:eastAsia="zh-CN"/>
        </w:rPr>
        <w:fldChar w:fldCharType="separate"/>
      </w:r>
      <w:r>
        <w:t>图 5</w:t>
      </w:r>
      <w:r>
        <w:rPr>
          <w:rFonts w:hint="eastAsia"/>
          <w:lang w:val="en-US" w:eastAsia="zh-CN"/>
        </w:rPr>
        <w:t xml:space="preserve"> Top 10 Best-SeIling Products (by Quantity)</w:t>
      </w:r>
      <w:r>
        <w:rPr>
          <w:rFonts w:hint="eastAsia"/>
          <w:lang w:eastAsia="zh-CN"/>
        </w:rPr>
        <w:fldChar w:fldCharType="end"/>
      </w:r>
      <w:r>
        <w:rPr>
          <w:rFonts w:hint="eastAsia"/>
        </w:rPr>
        <w:t>)，"PAPER</w:t>
      </w:r>
      <w:r>
        <w:t xml:space="preserve"> CRAFT, LITTLE </w:t>
      </w:r>
      <w:r>
        <w:rPr>
          <w:rFonts w:hint="eastAsia"/>
        </w:rPr>
        <w:t>BIRDIE"（纸工艺小鸟）、"MEDIUM</w:t>
      </w:r>
      <w:r>
        <w:t xml:space="preserve"> CERAMIC TOP STORAGE </w:t>
      </w:r>
      <w:r>
        <w:rPr>
          <w:rFonts w:hint="eastAsia"/>
        </w:rPr>
        <w:t>JAR"（中型陶瓷收纳罐）、"WORLD</w:t>
      </w:r>
      <w:r>
        <w:t xml:space="preserve"> WAR 2 GLIDERS ASSTD </w:t>
      </w:r>
      <w:r>
        <w:rPr>
          <w:rFonts w:hint="eastAsia"/>
        </w:rPr>
        <w:t>DESIGNS"（二战滑翔机</w:t>
      </w:r>
      <w:r>
        <w:t xml:space="preserve"> assorted </w:t>
      </w:r>
      <w:r>
        <w:rPr>
          <w:rFonts w:hint="eastAsia"/>
        </w:rPr>
        <w:t>设计）等商品位列销量前列。这些畅销商品涵盖了手工工艺品、家居收纳用品与趣味玩具等多个品类，反映出客户对装饰性、实用性兼具的礼品类商品有较强需求。值得注意的是，部分畅销商品的销量远超其他商品，存在明显的"头部效应"，这为企业的选品策略、库存优先级管理与捆绑营销方案提供了数据依据。</w:t>
      </w:r>
      <w:r>
        <w:drawing>
          <wp:inline distT="0" distB="0" distL="114300" distR="114300">
            <wp:extent cx="5334000" cy="3199765"/>
            <wp:effectExtent l="0" t="0" r="0" b="0"/>
            <wp:docPr id="3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title="fig:"/>
                    <pic:cNvPicPr>
                      <a:picLocks noChangeAspect="1" noChangeArrowheads="1"/>
                    </pic:cNvPicPr>
                  </pic:nvPicPr>
                  <pic:blipFill>
                    <a:blip r:embed="rId11"/>
                    <a:stretch>
                      <a:fillRect/>
                    </a:stretch>
                  </pic:blipFill>
                  <pic:spPr>
                    <a:xfrm>
                      <a:off x="0" y="0"/>
                      <a:ext cx="5334000" cy="3200399"/>
                    </a:xfrm>
                    <a:prstGeom prst="rect">
                      <a:avLst/>
                    </a:prstGeom>
                    <a:noFill/>
                    <a:ln w="9525">
                      <a:noFill/>
                    </a:ln>
                  </pic:spPr>
                </pic:pic>
              </a:graphicData>
            </a:graphic>
          </wp:inline>
        </w:drawing>
      </w:r>
    </w:p>
    <w:p w14:paraId="6E9EA8B0">
      <w:pPr>
        <w:pStyle w:val="12"/>
        <w:rPr>
          <w:rFonts w:hint="eastAsia" w:eastAsia="宋体"/>
          <w:lang w:val="en-US" w:eastAsia="zh-CN"/>
        </w:rPr>
      </w:pPr>
      <w:bookmarkStart w:id="29" w:name="_Ref17602"/>
      <w:r>
        <w:t xml:space="preserve">图 </w:t>
      </w:r>
      <w:r>
        <w:fldChar w:fldCharType="begin"/>
      </w:r>
      <w:r>
        <w:instrText xml:space="preserve"> SEQ 图 \* ARABIC </w:instrText>
      </w:r>
      <w:r>
        <w:fldChar w:fldCharType="separate"/>
      </w:r>
      <w:r>
        <w:t>5</w:t>
      </w:r>
      <w:r>
        <w:fldChar w:fldCharType="end"/>
      </w:r>
      <w:r>
        <w:rPr>
          <w:rFonts w:hint="eastAsia"/>
          <w:lang w:val="en-US" w:eastAsia="zh-CN"/>
        </w:rPr>
        <w:t xml:space="preserve"> Top 10 Best-SeIling Products (by Quantity)</w:t>
      </w:r>
      <w:bookmarkEnd w:id="29"/>
    </w:p>
    <w:bookmarkEnd w:id="28"/>
    <w:p w14:paraId="32ADCB47">
      <w:pPr>
        <w:pStyle w:val="5"/>
      </w:pPr>
      <w:bookmarkStart w:id="30" w:name="X1655afbf2faa469a17627d2dcadd9873c3830ec"/>
      <w:r>
        <w:t xml:space="preserve">2.3.4. </w:t>
      </w:r>
      <w:r>
        <w:rPr>
          <w:rFonts w:hint="eastAsia"/>
        </w:rPr>
        <w:t>客单价分布特征</w:t>
      </w:r>
    </w:p>
    <w:p w14:paraId="2A0EF91F">
      <w:pPr>
        <w:pStyle w:val="28"/>
      </w:pPr>
      <w:r>
        <w:rPr>
          <w:rFonts w:hint="eastAsia"/>
        </w:rPr>
        <w:t>从订单价值分布(</w:t>
      </w:r>
      <w:r>
        <w:rPr>
          <w:rFonts w:hint="eastAsia"/>
          <w:lang w:eastAsia="zh-CN"/>
        </w:rPr>
        <w:fldChar w:fldCharType="begin"/>
      </w:r>
      <w:r>
        <w:rPr>
          <w:rFonts w:hint="eastAsia"/>
          <w:lang w:eastAsia="zh-CN"/>
        </w:rPr>
        <w:instrText xml:space="preserve"> REF _Ref17657 \h </w:instrText>
      </w:r>
      <w:r>
        <w:rPr>
          <w:rFonts w:hint="eastAsia"/>
          <w:lang w:eastAsia="zh-CN"/>
        </w:rPr>
        <w:fldChar w:fldCharType="separate"/>
      </w:r>
      <w:r>
        <w:t>图 6</w:t>
      </w:r>
      <w:r>
        <w:rPr>
          <w:rFonts w:hint="eastAsia"/>
          <w:lang w:val="en-US" w:eastAsia="zh-CN"/>
        </w:rPr>
        <w:t xml:space="preserve"> Order Value Distribution (Up to 99th Percentile</w:t>
      </w:r>
      <w:r>
        <w:rPr>
          <w:rFonts w:hint="eastAsia"/>
          <w:lang w:eastAsia="zh-CN"/>
        </w:rPr>
        <w:fldChar w:fldCharType="end"/>
      </w:r>
      <w:r>
        <w:rPr>
          <w:rFonts w:hint="eastAsia"/>
        </w:rPr>
        <w:t>)来看，订单金额整体呈现明显的右偏分布特征，即大部分订单集中在较低价值区间，少数订单金额较高，形成长尾。分布曲线显示，低价值订单出现频率最高，随着订单金额增大，频率迅速下降并趋于平缓。这一分布特征与批发商客户的采购行为有关——虽然存在部分大额批量采购订单拉高了分布的右尾，但多数订单仍以中小额采购为主。右偏分布的特征提示，在后续分析中采用中位数而非均值来表征典型订单价值更为稳健，同时也表明客单价提升存在较大的优化空间。</w:t>
      </w:r>
      <w:r>
        <w:drawing>
          <wp:inline distT="0" distB="0" distL="114300" distR="114300">
            <wp:extent cx="5334000" cy="2667000"/>
            <wp:effectExtent l="0" t="0" r="0" b="0"/>
            <wp:docPr id="38"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title="fig:"/>
                    <pic:cNvPicPr>
                      <a:picLocks noChangeAspect="1" noChangeArrowheads="1"/>
                    </pic:cNvPicPr>
                  </pic:nvPicPr>
                  <pic:blipFill>
                    <a:blip r:embed="rId12"/>
                    <a:stretch>
                      <a:fillRect/>
                    </a:stretch>
                  </pic:blipFill>
                  <pic:spPr>
                    <a:xfrm>
                      <a:off x="0" y="0"/>
                      <a:ext cx="5334000" cy="2667000"/>
                    </a:xfrm>
                    <a:prstGeom prst="rect">
                      <a:avLst/>
                    </a:prstGeom>
                    <a:noFill/>
                    <a:ln w="9525">
                      <a:noFill/>
                    </a:ln>
                  </pic:spPr>
                </pic:pic>
              </a:graphicData>
            </a:graphic>
          </wp:inline>
        </w:drawing>
      </w:r>
    </w:p>
    <w:p w14:paraId="16692185">
      <w:pPr>
        <w:pStyle w:val="12"/>
        <w:rPr>
          <w:rFonts w:hint="eastAsia" w:eastAsia="宋体"/>
          <w:lang w:val="en-US" w:eastAsia="zh-CN"/>
        </w:rPr>
      </w:pPr>
      <w:bookmarkStart w:id="31" w:name="_Ref17657"/>
      <w:r>
        <w:t xml:space="preserve">图 </w:t>
      </w:r>
      <w:r>
        <w:fldChar w:fldCharType="begin"/>
      </w:r>
      <w:r>
        <w:instrText xml:space="preserve"> SEQ 图 \* ARABIC </w:instrText>
      </w:r>
      <w:r>
        <w:fldChar w:fldCharType="separate"/>
      </w:r>
      <w:r>
        <w:t>6</w:t>
      </w:r>
      <w:r>
        <w:fldChar w:fldCharType="end"/>
      </w:r>
      <w:r>
        <w:rPr>
          <w:rFonts w:hint="eastAsia"/>
          <w:lang w:val="en-US" w:eastAsia="zh-CN"/>
        </w:rPr>
        <w:t xml:space="preserve"> Order Value Distribution (Up to 99th Percentile</w:t>
      </w:r>
      <w:bookmarkEnd w:id="31"/>
    </w:p>
    <w:p w14:paraId="7CB33D7D">
      <w:pPr>
        <w:pStyle w:val="3"/>
      </w:pPr>
      <w:r>
        <w:rPr>
          <w:rFonts w:hint="eastAsia"/>
        </w:rPr>
        <w:t>综上，本研究的数据预处理工作涵盖了缺失值处理、重复值去除与异常值剔除三个核心环节，最终构建了包含391,288条记录的清洗后数据集。在异常值检测中采用3倍IQR的宽松阈值以保留合理的批量采购记录，在Description缺失填充中利用StockCode的映射关系实现精准还原。探索性分析进一步揭示了以下关键发现：销售活动具有显著的季节性（下半年攀升）与日内集中性（午间高峰）；市场高度集中于英国本土；商品销售存在头部效应；客单价呈右偏分布。这些发现为后续的RFM用户分群、商品关联分析与精准运营策略设计奠定了数据基础与方向指引。</w:t>
      </w:r>
    </w:p>
    <w:bookmarkEnd w:id="11"/>
    <w:bookmarkEnd w:id="20"/>
    <w:bookmarkEnd w:id="30"/>
    <w:p w14:paraId="56FA4D8C">
      <w:pPr>
        <w:pStyle w:val="2"/>
      </w:pPr>
      <w:bookmarkStart w:id="32" w:name="_Toc21416"/>
      <w:bookmarkStart w:id="33" w:name="X160df8f75b5e9e9b301c77f81ee73dbea3187c1"/>
      <w:r>
        <w:t xml:space="preserve">3. </w:t>
      </w:r>
      <w:r>
        <w:rPr>
          <w:rFonts w:hint="eastAsia"/>
        </w:rPr>
        <w:t>数据挖掘分析</w:t>
      </w:r>
      <w:bookmarkEnd w:id="32"/>
    </w:p>
    <w:p w14:paraId="101B8745">
      <w:pPr>
        <w:pStyle w:val="4"/>
      </w:pPr>
      <w:bookmarkStart w:id="34" w:name="_Toc24291"/>
      <w:bookmarkStart w:id="35" w:name="Xd312e13b7b8c5f6f770c0c79c54cda2fcb42cee"/>
      <w:r>
        <w:t xml:space="preserve">3.1 </w:t>
      </w:r>
      <w:r>
        <w:rPr>
          <w:rFonts w:hint="eastAsia"/>
        </w:rPr>
        <w:t>基于K-means聚类的用户价值分群</w:t>
      </w:r>
      <w:bookmarkEnd w:id="34"/>
    </w:p>
    <w:p w14:paraId="105F9B93">
      <w:pPr>
        <w:pStyle w:val="5"/>
      </w:pPr>
      <w:bookmarkStart w:id="36" w:name="X7bf29b292b9c37995b55436b755391a67c98ffc"/>
      <w:r>
        <w:t xml:space="preserve">3.1.1 </w:t>
      </w:r>
      <w:r>
        <w:rPr>
          <w:rFonts w:hint="eastAsia"/>
        </w:rPr>
        <w:t>分析方法与特征构建</w:t>
      </w:r>
    </w:p>
    <w:p w14:paraId="35159B21">
      <w:pPr>
        <w:pStyle w:val="28"/>
      </w:pPr>
      <w:r>
        <w:rPr>
          <w:rFonts w:hint="eastAsia"/>
        </w:rPr>
        <w:t>K-means聚类是一种基于距离划分的无监督学习算法，其核心思想是将样本分配到K个簇中，使得簇内样本尽可能相似、簇间差异尽可能显著</w:t>
      </w:r>
      <w:r>
        <w:rPr>
          <w:rFonts w:hint="eastAsia"/>
          <w:vertAlign w:val="superscript"/>
          <w:lang w:eastAsia="zh-CN"/>
        </w:rPr>
        <w:fldChar w:fldCharType="begin"/>
      </w:r>
      <w:r>
        <w:rPr>
          <w:rFonts w:hint="eastAsia"/>
          <w:vertAlign w:val="superscript"/>
          <w:lang w:eastAsia="zh-CN"/>
        </w:rPr>
        <w:instrText xml:space="preserve"> REF _Ref16426 \r \h </w:instrText>
      </w:r>
      <w:r>
        <w:rPr>
          <w:rFonts w:hint="eastAsia"/>
          <w:vertAlign w:val="superscript"/>
          <w:lang w:eastAsia="zh-CN"/>
        </w:rPr>
        <w:fldChar w:fldCharType="separate"/>
      </w:r>
      <w:r>
        <w:rPr>
          <w:rFonts w:hint="eastAsia"/>
          <w:vertAlign w:val="superscript"/>
          <w:lang w:eastAsia="zh-CN"/>
        </w:rPr>
        <w:t>[3]</w:t>
      </w:r>
      <w:r>
        <w:rPr>
          <w:rFonts w:hint="eastAsia"/>
          <w:vertAlign w:val="superscript"/>
          <w:lang w:eastAsia="zh-CN"/>
        </w:rPr>
        <w:fldChar w:fldCharType="end"/>
      </w:r>
      <w:r>
        <w:rPr>
          <w:rFonts w:hint="eastAsia"/>
        </w:rPr>
        <w:t>。本研究选取RFM模型的三项核心指标——Recency、Frequency和Monetary作为聚类特征，对全部4,321位有效客户进行价值分群。首先对对三项特征统一进行标准化处理（Z-Score标准化），消除量纲差异对聚类结果的影响。所有分析仅基于正常交易数据，退货订单（InvoiceNo以"C"开头）已预先剔除，以避免负值对RFM特征的系统性扭曲。</w:t>
      </w:r>
    </w:p>
    <w:bookmarkEnd w:id="36"/>
    <w:p w14:paraId="7420E5AF">
      <w:pPr>
        <w:pStyle w:val="5"/>
      </w:pPr>
      <w:bookmarkStart w:id="37" w:name="X225b22a080900669f9c221069d1c52bb3275721"/>
      <w:r>
        <w:t xml:space="preserve">3.1.2 </w:t>
      </w:r>
      <w:r>
        <w:rPr>
          <w:rFonts w:hint="eastAsia"/>
        </w:rPr>
        <w:t>K值选择：肘部法</w:t>
      </w:r>
    </w:p>
    <w:p w14:paraId="19FF5C46">
      <w:pPr>
        <w:pStyle w:val="28"/>
      </w:pPr>
      <w:r>
        <w:rPr>
          <w:rFonts w:hint="eastAsia"/>
        </w:rPr>
        <w:t>为确定最优聚类数K，本研究采用肘部法（Elbow</w:t>
      </w:r>
      <w:r>
        <w:t xml:space="preserve"> </w:t>
      </w:r>
      <w:r>
        <w:rPr>
          <w:rFonts w:hint="eastAsia"/>
        </w:rPr>
        <w:t>Method）进行评估。该方法通过计算不同K值下的簇内平方和（SSE），观察SSE随K值增加而下降的速率变化——当K值增加到某一点后，SSE的下降幅度显著减缓，形成"肘部"拐点，该拐点对应的K值即为最优选择。</w:t>
      </w:r>
      <w:r>
        <w:drawing>
          <wp:inline distT="0" distB="0" distL="114300" distR="114300">
            <wp:extent cx="5334000" cy="2962910"/>
            <wp:effectExtent l="0" t="0" r="0" b="0"/>
            <wp:docPr id="45"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title="fig:"/>
                    <pic:cNvPicPr>
                      <a:picLocks noChangeAspect="1" noChangeArrowheads="1"/>
                    </pic:cNvPicPr>
                  </pic:nvPicPr>
                  <pic:blipFill>
                    <a:blip r:embed="rId13"/>
                    <a:stretch>
                      <a:fillRect/>
                    </a:stretch>
                  </pic:blipFill>
                  <pic:spPr>
                    <a:xfrm>
                      <a:off x="0" y="0"/>
                      <a:ext cx="5334000" cy="2963333"/>
                    </a:xfrm>
                    <a:prstGeom prst="rect">
                      <a:avLst/>
                    </a:prstGeom>
                    <a:noFill/>
                    <a:ln w="9525">
                      <a:noFill/>
                    </a:ln>
                  </pic:spPr>
                </pic:pic>
              </a:graphicData>
            </a:graphic>
          </wp:inline>
        </w:drawing>
      </w:r>
    </w:p>
    <w:p w14:paraId="3F97640B">
      <w:pPr>
        <w:pStyle w:val="12"/>
        <w:rPr>
          <w:rFonts w:hint="eastAsia" w:eastAsia="宋体"/>
          <w:lang w:val="en-US" w:eastAsia="zh-CN"/>
        </w:rPr>
      </w:pPr>
      <w:bookmarkStart w:id="38" w:name="_Ref17840"/>
      <w:r>
        <w:t xml:space="preserve">图 </w:t>
      </w:r>
      <w:r>
        <w:fldChar w:fldCharType="begin"/>
      </w:r>
      <w:r>
        <w:instrText xml:space="preserve"> SEQ 图 \* ARABIC </w:instrText>
      </w:r>
      <w:r>
        <w:fldChar w:fldCharType="separate"/>
      </w:r>
      <w:r>
        <w:t>7</w:t>
      </w:r>
      <w:r>
        <w:fldChar w:fldCharType="end"/>
      </w:r>
      <w:r>
        <w:rPr>
          <w:rFonts w:hint="eastAsia"/>
          <w:lang w:val="en-US" w:eastAsia="zh-CN"/>
        </w:rPr>
        <w:t xml:space="preserve"> Elbow Method - SSE vs K</w:t>
      </w:r>
      <w:bookmarkEnd w:id="38"/>
    </w:p>
    <w:p w14:paraId="7ED2D7BF">
      <w:pPr>
        <w:pStyle w:val="3"/>
      </w:pPr>
      <w:r>
        <w:rPr>
          <w:rFonts w:hint="eastAsia"/>
        </w:rPr>
        <w:t>从肘部图(</w:t>
      </w:r>
      <w:r>
        <w:rPr>
          <w:rFonts w:hint="eastAsia"/>
          <w:lang w:eastAsia="zh-CN"/>
        </w:rPr>
        <w:fldChar w:fldCharType="begin"/>
      </w:r>
      <w:r>
        <w:rPr>
          <w:rFonts w:hint="eastAsia"/>
          <w:lang w:eastAsia="zh-CN"/>
        </w:rPr>
        <w:instrText xml:space="preserve"> REF _Ref17840 \h </w:instrText>
      </w:r>
      <w:r>
        <w:rPr>
          <w:rFonts w:hint="eastAsia"/>
          <w:lang w:eastAsia="zh-CN"/>
        </w:rPr>
        <w:fldChar w:fldCharType="separate"/>
      </w:r>
      <w:r>
        <w:t>图 7</w:t>
      </w:r>
      <w:r>
        <w:rPr>
          <w:rFonts w:hint="eastAsia"/>
          <w:lang w:val="en-US" w:eastAsia="zh-CN"/>
        </w:rPr>
        <w:t xml:space="preserve"> Elbow Method - SSE vs K</w:t>
      </w:r>
      <w:r>
        <w:rPr>
          <w:rFonts w:hint="eastAsia"/>
          <w:lang w:eastAsia="zh-CN"/>
        </w:rPr>
        <w:fldChar w:fldCharType="end"/>
      </w:r>
      <w:r>
        <w:rPr>
          <w:rFonts w:hint="eastAsia"/>
        </w:rPr>
        <w:t>)可以清晰看出，当K从1增至3时，SSE快速下降；K从3增至4时，下降幅度明显收窄；K超过4后，SSE的改善趋于平缓。因此，K=4处构成了一个清晰的肘部拐点，本研究据此确定最优聚类数为4。</w:t>
      </w:r>
    </w:p>
    <w:bookmarkEnd w:id="37"/>
    <w:p w14:paraId="7D167D2D">
      <w:pPr>
        <w:pStyle w:val="5"/>
      </w:pPr>
      <w:bookmarkStart w:id="39" w:name="Xbb45f1e06cdb0f0ece7b1f30bf9083aeb37cf8f"/>
      <w:r>
        <w:t xml:space="preserve">3.1.3 </w:t>
      </w:r>
      <w:r>
        <w:rPr>
          <w:rFonts w:hint="eastAsia"/>
        </w:rPr>
        <w:t>聚类结果概览</w:t>
      </w:r>
    </w:p>
    <w:p w14:paraId="65CBBA1C">
      <w:pPr>
        <w:pStyle w:val="28"/>
      </w:pPr>
      <w:r>
        <w:rPr>
          <w:rFonts w:hint="eastAsia"/>
        </w:rPr>
        <w:t>以K=4执行K-means聚类后，全部4,321位客户被划分为四个价值层级分明的簇。各簇的核心特征汇总如下表</w:t>
      </w:r>
      <w:r>
        <w:rPr>
          <w:rFonts w:hint="eastAsia"/>
          <w:lang w:val="en-US" w:eastAsia="zh-CN"/>
        </w:rPr>
        <w:t>(</w:t>
      </w:r>
      <w:r>
        <w:rPr>
          <w:rFonts w:hint="eastAsia"/>
          <w:lang w:val="en-US" w:eastAsia="zh-CN"/>
        </w:rPr>
        <w:fldChar w:fldCharType="begin"/>
      </w:r>
      <w:r>
        <w:rPr>
          <w:rFonts w:hint="eastAsia"/>
          <w:lang w:val="en-US" w:eastAsia="zh-CN"/>
        </w:rPr>
        <w:instrText xml:space="preserve"> REF _Ref19107 \h </w:instrText>
      </w:r>
      <w:r>
        <w:rPr>
          <w:rFonts w:hint="eastAsia"/>
          <w:lang w:val="en-US" w:eastAsia="zh-CN"/>
        </w:rPr>
        <w:fldChar w:fldCharType="separate"/>
      </w:r>
      <w:r>
        <w:rPr>
          <w:rFonts w:hint="eastAsia"/>
        </w:rPr>
        <w:t>表 1</w:t>
      </w:r>
      <w:r>
        <w:rPr>
          <w:rFonts w:hint="eastAsia"/>
          <w:lang w:val="en-US" w:eastAsia="zh-CN"/>
        </w:rPr>
        <w:t xml:space="preserve"> 各簇的核心特征汇总表</w:t>
      </w:r>
      <w:r>
        <w:rPr>
          <w:rFonts w:hint="eastAsia"/>
          <w:lang w:val="en-US" w:eastAsia="zh-CN"/>
        </w:rPr>
        <w:fldChar w:fldCharType="end"/>
      </w:r>
      <w:r>
        <w:rPr>
          <w:rFonts w:hint="eastAsia"/>
          <w:lang w:val="en-US" w:eastAsia="zh-CN"/>
        </w:rPr>
        <w:t>)</w:t>
      </w:r>
      <w:r>
        <w:rPr>
          <w:rFonts w:hint="eastAsia"/>
        </w:rPr>
        <w:t>所示：</w:t>
      </w:r>
    </w:p>
    <w:p w14:paraId="53A637CE">
      <w:pPr>
        <w:pStyle w:val="12"/>
        <w:rPr>
          <w:rFonts w:hint="default" w:eastAsia="宋体"/>
          <w:lang w:val="en-US" w:eastAsia="zh-CN"/>
        </w:rPr>
      </w:pPr>
      <w:bookmarkStart w:id="40" w:name="_Ref19107"/>
      <w:r>
        <w:t xml:space="preserve">表 </w:t>
      </w:r>
      <w:r>
        <w:fldChar w:fldCharType="begin"/>
      </w:r>
      <w:r>
        <w:instrText xml:space="preserve"> SEQ 表 \* ARABIC </w:instrText>
      </w:r>
      <w:r>
        <w:fldChar w:fldCharType="separate"/>
      </w:r>
      <w:r>
        <w:t>1</w:t>
      </w:r>
      <w:r>
        <w:fldChar w:fldCharType="end"/>
      </w:r>
      <w:r>
        <w:rPr>
          <w:rFonts w:hint="eastAsia"/>
          <w:lang w:val="en-US" w:eastAsia="zh-CN"/>
        </w:rPr>
        <w:t xml:space="preserve"> 各簇的核心特征汇总表</w:t>
      </w:r>
      <w:bookmarkEnd w:id="40"/>
    </w:p>
    <w:tbl>
      <w:tblPr>
        <w:tblStyle w:val="46"/>
        <w:tblW w:w="0" w:type="auto"/>
        <w:tblInd w:w="0" w:type="dxa"/>
        <w:tblLayout w:type="autofit"/>
        <w:tblCellMar>
          <w:top w:w="0" w:type="dxa"/>
          <w:left w:w="108" w:type="dxa"/>
          <w:bottom w:w="0" w:type="dxa"/>
          <w:right w:w="108" w:type="dxa"/>
        </w:tblCellMar>
      </w:tblPr>
      <w:tblGrid>
        <w:gridCol w:w="1213"/>
        <w:gridCol w:w="1492"/>
        <w:gridCol w:w="1791"/>
        <w:gridCol w:w="1918"/>
        <w:gridCol w:w="1221"/>
        <w:gridCol w:w="1221"/>
      </w:tblGrid>
      <w:tr w14:paraId="54752E1C">
        <w:tblPrEx>
          <w:tblCellMar>
            <w:top w:w="0" w:type="dxa"/>
            <w:left w:w="108" w:type="dxa"/>
            <w:bottom w:w="0" w:type="dxa"/>
            <w:right w:w="108" w:type="dxa"/>
          </w:tblCellMar>
        </w:tblPrEx>
        <w:trPr>
          <w:tblHeader/>
        </w:trPr>
        <w:tc>
          <w:tcPr>
            <w:tcW w:w="1213" w:type="dxa"/>
            <w:tcBorders>
              <w:top w:val="single" w:color="auto" w:sz="18" w:space="0"/>
              <w:left w:val="nil"/>
              <w:bottom w:val="single" w:color="auto" w:sz="12" w:space="0"/>
              <w:right w:val="nil"/>
            </w:tcBorders>
            <w:vAlign w:val="center"/>
          </w:tcPr>
          <w:p w14:paraId="4718F0C3">
            <w:pPr>
              <w:pStyle w:val="29"/>
              <w:ind w:left="0" w:lef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聚类簇</w:t>
            </w:r>
          </w:p>
        </w:tc>
        <w:tc>
          <w:tcPr>
            <w:tcW w:w="1492" w:type="dxa"/>
            <w:tcBorders>
              <w:top w:val="single" w:color="auto" w:sz="18" w:space="0"/>
              <w:left w:val="nil"/>
              <w:bottom w:val="single" w:color="auto" w:sz="12" w:space="0"/>
              <w:right w:val="nil"/>
            </w:tcBorders>
            <w:vAlign w:val="center"/>
          </w:tcPr>
          <w:p w14:paraId="23D8E318">
            <w:pPr>
              <w:pStyle w:val="29"/>
              <w:ind w:left="0" w:lef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平均Recency（天）</w:t>
            </w:r>
          </w:p>
        </w:tc>
        <w:tc>
          <w:tcPr>
            <w:tcW w:w="0" w:type="auto"/>
            <w:tcBorders>
              <w:top w:val="single" w:color="auto" w:sz="18" w:space="0"/>
              <w:left w:val="nil"/>
              <w:bottom w:val="single" w:color="auto" w:sz="12" w:space="0"/>
              <w:right w:val="nil"/>
            </w:tcBorders>
            <w:vAlign w:val="center"/>
          </w:tcPr>
          <w:p w14:paraId="2B052A97">
            <w:pPr>
              <w:pStyle w:val="29"/>
              <w:ind w:left="0" w:lef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平均Frequency（次）</w:t>
            </w:r>
          </w:p>
        </w:tc>
        <w:tc>
          <w:tcPr>
            <w:tcW w:w="0" w:type="auto"/>
            <w:tcBorders>
              <w:top w:val="single" w:color="auto" w:sz="18" w:space="0"/>
              <w:left w:val="nil"/>
              <w:bottom w:val="single" w:color="auto" w:sz="12" w:space="0"/>
              <w:right w:val="nil"/>
            </w:tcBorders>
            <w:vAlign w:val="center"/>
          </w:tcPr>
          <w:p w14:paraId="53C1B6EF">
            <w:pPr>
              <w:pStyle w:val="29"/>
              <w:ind w:left="0" w:lef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平均Monetary（£）</w:t>
            </w:r>
          </w:p>
        </w:tc>
        <w:tc>
          <w:tcPr>
            <w:tcW w:w="0" w:type="auto"/>
            <w:tcBorders>
              <w:top w:val="single" w:color="auto" w:sz="18" w:space="0"/>
              <w:left w:val="nil"/>
              <w:bottom w:val="single" w:color="auto" w:sz="12" w:space="0"/>
              <w:right w:val="nil"/>
            </w:tcBorders>
            <w:vAlign w:val="center"/>
          </w:tcPr>
          <w:p w14:paraId="5D82C55A">
            <w:pPr>
              <w:pStyle w:val="29"/>
              <w:ind w:left="0" w:lef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客户数</w:t>
            </w:r>
          </w:p>
        </w:tc>
        <w:tc>
          <w:tcPr>
            <w:tcW w:w="0" w:type="auto"/>
            <w:tcBorders>
              <w:top w:val="single" w:color="auto" w:sz="18" w:space="0"/>
              <w:left w:val="nil"/>
              <w:bottom w:val="single" w:color="auto" w:sz="12" w:space="0"/>
              <w:right w:val="nil"/>
            </w:tcBorders>
            <w:vAlign w:val="center"/>
          </w:tcPr>
          <w:p w14:paraId="22DBC232">
            <w:pPr>
              <w:pStyle w:val="29"/>
              <w:ind w:left="0" w:lef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客户占比</w:t>
            </w:r>
          </w:p>
        </w:tc>
      </w:tr>
      <w:tr w14:paraId="082FDC04">
        <w:tblPrEx>
          <w:tblCellMar>
            <w:top w:w="0" w:type="dxa"/>
            <w:left w:w="108" w:type="dxa"/>
            <w:bottom w:w="0" w:type="dxa"/>
            <w:right w:w="108" w:type="dxa"/>
          </w:tblCellMar>
        </w:tblPrEx>
        <w:tc>
          <w:tcPr>
            <w:tcW w:w="1213" w:type="dxa"/>
            <w:tcBorders>
              <w:top w:val="single" w:color="auto" w:sz="12" w:space="0"/>
            </w:tcBorders>
            <w:vAlign w:val="center"/>
          </w:tcPr>
          <w:p w14:paraId="01A0B426">
            <w:pPr>
              <w:pStyle w:val="29"/>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Cluster 0</w:t>
            </w:r>
          </w:p>
        </w:tc>
        <w:tc>
          <w:tcPr>
            <w:tcW w:w="1492" w:type="dxa"/>
            <w:tcBorders>
              <w:top w:val="single" w:color="auto" w:sz="12" w:space="0"/>
            </w:tcBorders>
            <w:vAlign w:val="center"/>
          </w:tcPr>
          <w:p w14:paraId="6479C89E">
            <w:pPr>
              <w:pStyle w:val="29"/>
              <w:jc w:val="center"/>
              <w:rPr>
                <w:rFonts w:hint="eastAsia" w:ascii="宋体" w:hAnsi="宋体" w:eastAsia="宋体" w:cs="宋体"/>
                <w:sz w:val="21"/>
                <w:szCs w:val="21"/>
              </w:rPr>
            </w:pPr>
            <w:r>
              <w:rPr>
                <w:rFonts w:hint="eastAsia" w:ascii="宋体" w:hAnsi="宋体" w:eastAsia="宋体" w:cs="宋体"/>
                <w:sz w:val="21"/>
                <w:szCs w:val="21"/>
              </w:rPr>
              <w:t>248.27</w:t>
            </w:r>
          </w:p>
        </w:tc>
        <w:tc>
          <w:tcPr>
            <w:tcW w:w="0" w:type="auto"/>
            <w:tcBorders>
              <w:top w:val="single" w:color="auto" w:sz="12" w:space="0"/>
            </w:tcBorders>
            <w:vAlign w:val="center"/>
          </w:tcPr>
          <w:p w14:paraId="55F94A0B">
            <w:pPr>
              <w:pStyle w:val="29"/>
              <w:jc w:val="center"/>
              <w:rPr>
                <w:rFonts w:hint="eastAsia" w:ascii="宋体" w:hAnsi="宋体" w:eastAsia="宋体" w:cs="宋体"/>
                <w:sz w:val="21"/>
                <w:szCs w:val="21"/>
              </w:rPr>
            </w:pPr>
            <w:r>
              <w:rPr>
                <w:rFonts w:hint="eastAsia" w:ascii="宋体" w:hAnsi="宋体" w:eastAsia="宋体" w:cs="宋体"/>
                <w:sz w:val="21"/>
                <w:szCs w:val="21"/>
              </w:rPr>
              <w:t>1.55</w:t>
            </w:r>
          </w:p>
        </w:tc>
        <w:tc>
          <w:tcPr>
            <w:tcW w:w="0" w:type="auto"/>
            <w:tcBorders>
              <w:top w:val="single" w:color="auto" w:sz="12" w:space="0"/>
            </w:tcBorders>
            <w:vAlign w:val="center"/>
          </w:tcPr>
          <w:p w14:paraId="0490AA8C">
            <w:pPr>
              <w:pStyle w:val="29"/>
              <w:jc w:val="center"/>
              <w:rPr>
                <w:rFonts w:hint="eastAsia" w:ascii="宋体" w:hAnsi="宋体" w:eastAsia="宋体" w:cs="宋体"/>
                <w:sz w:val="21"/>
                <w:szCs w:val="21"/>
              </w:rPr>
            </w:pPr>
            <w:r>
              <w:rPr>
                <w:rFonts w:hint="eastAsia" w:ascii="宋体" w:hAnsi="宋体" w:eastAsia="宋体" w:cs="宋体"/>
                <w:sz w:val="21"/>
                <w:szCs w:val="21"/>
              </w:rPr>
              <w:t>450.08</w:t>
            </w:r>
          </w:p>
        </w:tc>
        <w:tc>
          <w:tcPr>
            <w:tcW w:w="0" w:type="auto"/>
            <w:tcBorders>
              <w:top w:val="single" w:color="auto" w:sz="12" w:space="0"/>
            </w:tcBorders>
            <w:vAlign w:val="center"/>
          </w:tcPr>
          <w:p w14:paraId="1E0C8C41">
            <w:pPr>
              <w:pStyle w:val="29"/>
              <w:jc w:val="center"/>
              <w:rPr>
                <w:rFonts w:hint="eastAsia" w:ascii="宋体" w:hAnsi="宋体" w:eastAsia="宋体" w:cs="宋体"/>
                <w:sz w:val="21"/>
                <w:szCs w:val="21"/>
              </w:rPr>
            </w:pPr>
            <w:r>
              <w:rPr>
                <w:rFonts w:hint="eastAsia" w:ascii="宋体" w:hAnsi="宋体" w:eastAsia="宋体" w:cs="宋体"/>
                <w:sz w:val="21"/>
                <w:szCs w:val="21"/>
              </w:rPr>
              <w:t>1,060</w:t>
            </w:r>
          </w:p>
        </w:tc>
        <w:tc>
          <w:tcPr>
            <w:tcW w:w="0" w:type="auto"/>
            <w:tcBorders>
              <w:top w:val="single" w:color="auto" w:sz="12" w:space="0"/>
            </w:tcBorders>
            <w:vAlign w:val="center"/>
          </w:tcPr>
          <w:p w14:paraId="61D85A26">
            <w:pPr>
              <w:pStyle w:val="29"/>
              <w:jc w:val="center"/>
              <w:rPr>
                <w:rFonts w:hint="eastAsia" w:ascii="宋体" w:hAnsi="宋体" w:eastAsia="宋体" w:cs="宋体"/>
                <w:sz w:val="21"/>
                <w:szCs w:val="21"/>
              </w:rPr>
            </w:pPr>
            <w:r>
              <w:rPr>
                <w:rFonts w:hint="eastAsia" w:ascii="宋体" w:hAnsi="宋体" w:eastAsia="宋体" w:cs="宋体"/>
                <w:sz w:val="21"/>
                <w:szCs w:val="21"/>
              </w:rPr>
              <w:t>24.5%</w:t>
            </w:r>
          </w:p>
        </w:tc>
      </w:tr>
      <w:tr w14:paraId="099C77E9">
        <w:tblPrEx>
          <w:tblCellMar>
            <w:top w:w="0" w:type="dxa"/>
            <w:left w:w="108" w:type="dxa"/>
            <w:bottom w:w="0" w:type="dxa"/>
            <w:right w:w="108" w:type="dxa"/>
          </w:tblCellMar>
        </w:tblPrEx>
        <w:tc>
          <w:tcPr>
            <w:tcW w:w="1213" w:type="dxa"/>
            <w:vAlign w:val="center"/>
          </w:tcPr>
          <w:p w14:paraId="00DED668">
            <w:pPr>
              <w:pStyle w:val="29"/>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Cluster 1</w:t>
            </w:r>
          </w:p>
        </w:tc>
        <w:tc>
          <w:tcPr>
            <w:tcW w:w="1492" w:type="dxa"/>
            <w:vAlign w:val="center"/>
          </w:tcPr>
          <w:p w14:paraId="2BC8CAC2">
            <w:pPr>
              <w:pStyle w:val="29"/>
              <w:jc w:val="center"/>
              <w:rPr>
                <w:rFonts w:hint="eastAsia" w:ascii="宋体" w:hAnsi="宋体" w:eastAsia="宋体" w:cs="宋体"/>
                <w:sz w:val="21"/>
                <w:szCs w:val="21"/>
              </w:rPr>
            </w:pPr>
            <w:r>
              <w:rPr>
                <w:rFonts w:hint="eastAsia" w:ascii="宋体" w:hAnsi="宋体" w:eastAsia="宋体" w:cs="宋体"/>
                <w:sz w:val="21"/>
                <w:szCs w:val="21"/>
              </w:rPr>
              <w:t>43.55</w:t>
            </w:r>
          </w:p>
        </w:tc>
        <w:tc>
          <w:tcPr>
            <w:tcW w:w="0" w:type="auto"/>
            <w:vAlign w:val="center"/>
          </w:tcPr>
          <w:p w14:paraId="1A019E91">
            <w:pPr>
              <w:pStyle w:val="29"/>
              <w:jc w:val="center"/>
              <w:rPr>
                <w:rFonts w:hint="eastAsia" w:ascii="宋体" w:hAnsi="宋体" w:eastAsia="宋体" w:cs="宋体"/>
                <w:sz w:val="21"/>
                <w:szCs w:val="21"/>
              </w:rPr>
            </w:pPr>
            <w:r>
              <w:rPr>
                <w:rFonts w:hint="eastAsia" w:ascii="宋体" w:hAnsi="宋体" w:eastAsia="宋体" w:cs="宋体"/>
                <w:sz w:val="21"/>
                <w:szCs w:val="21"/>
              </w:rPr>
              <w:t>3.69</w:t>
            </w:r>
          </w:p>
        </w:tc>
        <w:tc>
          <w:tcPr>
            <w:tcW w:w="0" w:type="auto"/>
            <w:vAlign w:val="center"/>
          </w:tcPr>
          <w:p w14:paraId="31464FFC">
            <w:pPr>
              <w:pStyle w:val="29"/>
              <w:jc w:val="center"/>
              <w:rPr>
                <w:rFonts w:hint="eastAsia" w:ascii="宋体" w:hAnsi="宋体" w:eastAsia="宋体" w:cs="宋体"/>
                <w:sz w:val="21"/>
                <w:szCs w:val="21"/>
              </w:rPr>
            </w:pPr>
            <w:r>
              <w:rPr>
                <w:rFonts w:hint="eastAsia" w:ascii="宋体" w:hAnsi="宋体" w:eastAsia="宋体" w:cs="宋体"/>
                <w:sz w:val="21"/>
                <w:szCs w:val="21"/>
              </w:rPr>
              <w:t>1,301.73</w:t>
            </w:r>
          </w:p>
        </w:tc>
        <w:tc>
          <w:tcPr>
            <w:tcW w:w="0" w:type="auto"/>
            <w:vAlign w:val="center"/>
          </w:tcPr>
          <w:p w14:paraId="1726B9CE">
            <w:pPr>
              <w:pStyle w:val="29"/>
              <w:jc w:val="center"/>
              <w:rPr>
                <w:rFonts w:hint="eastAsia" w:ascii="宋体" w:hAnsi="宋体" w:eastAsia="宋体" w:cs="宋体"/>
                <w:sz w:val="21"/>
                <w:szCs w:val="21"/>
              </w:rPr>
            </w:pPr>
            <w:r>
              <w:rPr>
                <w:rFonts w:hint="eastAsia" w:ascii="宋体" w:hAnsi="宋体" w:eastAsia="宋体" w:cs="宋体"/>
                <w:sz w:val="21"/>
                <w:szCs w:val="21"/>
              </w:rPr>
              <w:t>3,059</w:t>
            </w:r>
          </w:p>
        </w:tc>
        <w:tc>
          <w:tcPr>
            <w:tcW w:w="0" w:type="auto"/>
            <w:vAlign w:val="center"/>
          </w:tcPr>
          <w:p w14:paraId="193D50D8">
            <w:pPr>
              <w:pStyle w:val="29"/>
              <w:jc w:val="center"/>
              <w:rPr>
                <w:rFonts w:hint="eastAsia" w:ascii="宋体" w:hAnsi="宋体" w:eastAsia="宋体" w:cs="宋体"/>
                <w:sz w:val="21"/>
                <w:szCs w:val="21"/>
              </w:rPr>
            </w:pPr>
            <w:r>
              <w:rPr>
                <w:rFonts w:hint="eastAsia" w:ascii="宋体" w:hAnsi="宋体" w:eastAsia="宋体" w:cs="宋体"/>
                <w:sz w:val="21"/>
                <w:szCs w:val="21"/>
              </w:rPr>
              <w:t>70.8%</w:t>
            </w:r>
          </w:p>
        </w:tc>
      </w:tr>
      <w:tr w14:paraId="5C557CAA">
        <w:tblPrEx>
          <w:tblCellMar>
            <w:top w:w="0" w:type="dxa"/>
            <w:left w:w="108" w:type="dxa"/>
            <w:bottom w:w="0" w:type="dxa"/>
            <w:right w:w="108" w:type="dxa"/>
          </w:tblCellMar>
        </w:tblPrEx>
        <w:tc>
          <w:tcPr>
            <w:tcW w:w="1213" w:type="dxa"/>
            <w:vAlign w:val="center"/>
          </w:tcPr>
          <w:p w14:paraId="29B7CE32">
            <w:pPr>
              <w:pStyle w:val="29"/>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Cluster 2</w:t>
            </w:r>
          </w:p>
        </w:tc>
        <w:tc>
          <w:tcPr>
            <w:tcW w:w="1492" w:type="dxa"/>
            <w:vAlign w:val="center"/>
          </w:tcPr>
          <w:p w14:paraId="40286946">
            <w:pPr>
              <w:pStyle w:val="29"/>
              <w:jc w:val="center"/>
              <w:rPr>
                <w:rFonts w:hint="eastAsia" w:ascii="宋体" w:hAnsi="宋体" w:eastAsia="宋体" w:cs="宋体"/>
                <w:sz w:val="21"/>
                <w:szCs w:val="21"/>
              </w:rPr>
            </w:pPr>
            <w:r>
              <w:rPr>
                <w:rFonts w:hint="eastAsia" w:ascii="宋体" w:hAnsi="宋体" w:eastAsia="宋体" w:cs="宋体"/>
                <w:sz w:val="21"/>
                <w:szCs w:val="21"/>
              </w:rPr>
              <w:t>14.05</w:t>
            </w:r>
          </w:p>
        </w:tc>
        <w:tc>
          <w:tcPr>
            <w:tcW w:w="0" w:type="auto"/>
            <w:vAlign w:val="center"/>
          </w:tcPr>
          <w:p w14:paraId="59CC08AB">
            <w:pPr>
              <w:pStyle w:val="29"/>
              <w:jc w:val="center"/>
              <w:rPr>
                <w:rFonts w:hint="eastAsia" w:ascii="宋体" w:hAnsi="宋体" w:eastAsia="宋体" w:cs="宋体"/>
                <w:sz w:val="21"/>
                <w:szCs w:val="21"/>
              </w:rPr>
            </w:pPr>
            <w:r>
              <w:rPr>
                <w:rFonts w:hint="eastAsia" w:ascii="宋体" w:hAnsi="宋体" w:eastAsia="宋体" w:cs="宋体"/>
                <w:sz w:val="21"/>
                <w:szCs w:val="21"/>
              </w:rPr>
              <w:t>22.98</w:t>
            </w:r>
          </w:p>
        </w:tc>
        <w:tc>
          <w:tcPr>
            <w:tcW w:w="0" w:type="auto"/>
            <w:vAlign w:val="center"/>
          </w:tcPr>
          <w:p w14:paraId="757810F8">
            <w:pPr>
              <w:pStyle w:val="29"/>
              <w:jc w:val="center"/>
              <w:rPr>
                <w:rFonts w:hint="eastAsia" w:ascii="宋体" w:hAnsi="宋体" w:eastAsia="宋体" w:cs="宋体"/>
                <w:sz w:val="21"/>
                <w:szCs w:val="21"/>
              </w:rPr>
            </w:pPr>
            <w:r>
              <w:rPr>
                <w:rFonts w:hint="eastAsia" w:ascii="宋体" w:hAnsi="宋体" w:eastAsia="宋体" w:cs="宋体"/>
                <w:sz w:val="21"/>
                <w:szCs w:val="21"/>
              </w:rPr>
              <w:t>12,386.32</w:t>
            </w:r>
          </w:p>
        </w:tc>
        <w:tc>
          <w:tcPr>
            <w:tcW w:w="0" w:type="auto"/>
            <w:vAlign w:val="center"/>
          </w:tcPr>
          <w:p w14:paraId="742BB1A0">
            <w:pPr>
              <w:pStyle w:val="29"/>
              <w:jc w:val="center"/>
              <w:rPr>
                <w:rFonts w:hint="eastAsia" w:ascii="宋体" w:hAnsi="宋体" w:eastAsia="宋体" w:cs="宋体"/>
                <w:sz w:val="21"/>
                <w:szCs w:val="21"/>
              </w:rPr>
            </w:pPr>
            <w:r>
              <w:rPr>
                <w:rFonts w:hint="eastAsia" w:ascii="宋体" w:hAnsi="宋体" w:eastAsia="宋体" w:cs="宋体"/>
                <w:sz w:val="21"/>
                <w:szCs w:val="21"/>
              </w:rPr>
              <w:t>189</w:t>
            </w:r>
          </w:p>
        </w:tc>
        <w:tc>
          <w:tcPr>
            <w:tcW w:w="0" w:type="auto"/>
            <w:vAlign w:val="center"/>
          </w:tcPr>
          <w:p w14:paraId="4AD261DD">
            <w:pPr>
              <w:pStyle w:val="29"/>
              <w:jc w:val="center"/>
              <w:rPr>
                <w:rFonts w:hint="eastAsia" w:ascii="宋体" w:hAnsi="宋体" w:eastAsia="宋体" w:cs="宋体"/>
                <w:sz w:val="21"/>
                <w:szCs w:val="21"/>
              </w:rPr>
            </w:pPr>
            <w:r>
              <w:rPr>
                <w:rFonts w:hint="eastAsia" w:ascii="宋体" w:hAnsi="宋体" w:eastAsia="宋体" w:cs="宋体"/>
                <w:sz w:val="21"/>
                <w:szCs w:val="21"/>
              </w:rPr>
              <w:t>4.4%</w:t>
            </w:r>
          </w:p>
        </w:tc>
      </w:tr>
      <w:tr w14:paraId="612A9B3C">
        <w:tblPrEx>
          <w:tblCellMar>
            <w:top w:w="0" w:type="dxa"/>
            <w:left w:w="108" w:type="dxa"/>
            <w:bottom w:w="0" w:type="dxa"/>
            <w:right w:w="108" w:type="dxa"/>
          </w:tblCellMar>
        </w:tblPrEx>
        <w:tc>
          <w:tcPr>
            <w:tcW w:w="1213" w:type="dxa"/>
            <w:tcBorders>
              <w:bottom w:val="single" w:color="000000" w:sz="18" w:space="0"/>
            </w:tcBorders>
            <w:vAlign w:val="center"/>
          </w:tcPr>
          <w:p w14:paraId="34201943">
            <w:pPr>
              <w:pStyle w:val="29"/>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Cluster 3</w:t>
            </w:r>
          </w:p>
        </w:tc>
        <w:tc>
          <w:tcPr>
            <w:tcW w:w="1492" w:type="dxa"/>
            <w:tcBorders>
              <w:bottom w:val="single" w:color="000000" w:sz="18" w:space="0"/>
            </w:tcBorders>
            <w:vAlign w:val="center"/>
          </w:tcPr>
          <w:p w14:paraId="3BD74C34">
            <w:pPr>
              <w:pStyle w:val="29"/>
              <w:jc w:val="center"/>
              <w:rPr>
                <w:rFonts w:hint="eastAsia" w:ascii="宋体" w:hAnsi="宋体" w:eastAsia="宋体" w:cs="宋体"/>
                <w:sz w:val="21"/>
                <w:szCs w:val="21"/>
              </w:rPr>
            </w:pPr>
            <w:r>
              <w:rPr>
                <w:rFonts w:hint="eastAsia" w:ascii="宋体" w:hAnsi="宋体" w:eastAsia="宋体" w:cs="宋体"/>
                <w:sz w:val="21"/>
                <w:szCs w:val="21"/>
              </w:rPr>
              <w:t>7.38</w:t>
            </w:r>
          </w:p>
        </w:tc>
        <w:tc>
          <w:tcPr>
            <w:tcW w:w="0" w:type="auto"/>
            <w:tcBorders>
              <w:bottom w:val="single" w:color="000000" w:sz="18" w:space="0"/>
            </w:tcBorders>
            <w:vAlign w:val="center"/>
          </w:tcPr>
          <w:p w14:paraId="7B6B01F8">
            <w:pPr>
              <w:pStyle w:val="29"/>
              <w:jc w:val="center"/>
              <w:rPr>
                <w:rFonts w:hint="eastAsia" w:ascii="宋体" w:hAnsi="宋体" w:eastAsia="宋体" w:cs="宋体"/>
                <w:sz w:val="21"/>
                <w:szCs w:val="21"/>
              </w:rPr>
            </w:pPr>
            <w:r>
              <w:rPr>
                <w:rFonts w:hint="eastAsia" w:ascii="宋体" w:hAnsi="宋体" w:eastAsia="宋体" w:cs="宋体"/>
                <w:sz w:val="21"/>
                <w:szCs w:val="21"/>
              </w:rPr>
              <w:t>80.85</w:t>
            </w:r>
          </w:p>
        </w:tc>
        <w:tc>
          <w:tcPr>
            <w:tcW w:w="0" w:type="auto"/>
            <w:tcBorders>
              <w:bottom w:val="single" w:color="000000" w:sz="18" w:space="0"/>
            </w:tcBorders>
            <w:vAlign w:val="center"/>
          </w:tcPr>
          <w:p w14:paraId="25911AFB">
            <w:pPr>
              <w:pStyle w:val="29"/>
              <w:jc w:val="center"/>
              <w:rPr>
                <w:rFonts w:hint="eastAsia" w:ascii="宋体" w:hAnsi="宋体" w:eastAsia="宋体" w:cs="宋体"/>
                <w:sz w:val="21"/>
                <w:szCs w:val="21"/>
              </w:rPr>
            </w:pPr>
            <w:r>
              <w:rPr>
                <w:rFonts w:hint="eastAsia" w:ascii="宋体" w:hAnsi="宋体" w:eastAsia="宋体" w:cs="宋体"/>
                <w:sz w:val="21"/>
                <w:szCs w:val="21"/>
              </w:rPr>
              <w:t>121,827.45</w:t>
            </w:r>
          </w:p>
        </w:tc>
        <w:tc>
          <w:tcPr>
            <w:tcW w:w="0" w:type="auto"/>
            <w:tcBorders>
              <w:bottom w:val="single" w:color="000000" w:sz="18" w:space="0"/>
            </w:tcBorders>
            <w:vAlign w:val="center"/>
          </w:tcPr>
          <w:p w14:paraId="08424FC9">
            <w:pPr>
              <w:pStyle w:val="29"/>
              <w:jc w:val="center"/>
              <w:rPr>
                <w:rFonts w:hint="eastAsia" w:ascii="宋体" w:hAnsi="宋体" w:eastAsia="宋体" w:cs="宋体"/>
                <w:sz w:val="21"/>
                <w:szCs w:val="21"/>
              </w:rPr>
            </w:pPr>
            <w:r>
              <w:rPr>
                <w:rFonts w:hint="eastAsia" w:ascii="宋体" w:hAnsi="宋体" w:eastAsia="宋体" w:cs="宋体"/>
                <w:sz w:val="21"/>
                <w:szCs w:val="21"/>
              </w:rPr>
              <w:t>13</w:t>
            </w:r>
          </w:p>
        </w:tc>
        <w:tc>
          <w:tcPr>
            <w:tcW w:w="0" w:type="auto"/>
            <w:tcBorders>
              <w:bottom w:val="single" w:color="000000" w:sz="18" w:space="0"/>
            </w:tcBorders>
            <w:vAlign w:val="center"/>
          </w:tcPr>
          <w:p w14:paraId="013FC08C">
            <w:pPr>
              <w:pStyle w:val="29"/>
              <w:jc w:val="center"/>
              <w:rPr>
                <w:rFonts w:hint="eastAsia" w:ascii="宋体" w:hAnsi="宋体" w:eastAsia="宋体" w:cs="宋体"/>
                <w:sz w:val="21"/>
                <w:szCs w:val="21"/>
              </w:rPr>
            </w:pPr>
            <w:r>
              <w:rPr>
                <w:rFonts w:hint="eastAsia" w:ascii="宋体" w:hAnsi="宋体" w:eastAsia="宋体" w:cs="宋体"/>
                <w:sz w:val="21"/>
                <w:szCs w:val="21"/>
              </w:rPr>
              <w:t>0.3%</w:t>
            </w:r>
          </w:p>
        </w:tc>
      </w:tr>
    </w:tbl>
    <w:p w14:paraId="5AE522EE">
      <w:pPr>
        <w:pStyle w:val="12"/>
      </w:pPr>
    </w:p>
    <w:p w14:paraId="673C0131">
      <w:pPr>
        <w:pStyle w:val="12"/>
        <w:rPr>
          <w:rFonts w:hint="eastAsia" w:eastAsia="宋体"/>
          <w:lang w:val="en-US" w:eastAsia="zh-CN"/>
        </w:rPr>
      </w:pPr>
      <w:bookmarkStart w:id="41" w:name="_Ref19274"/>
      <w:r>
        <w:t xml:space="preserve">图 </w:t>
      </w:r>
      <w:r>
        <w:fldChar w:fldCharType="begin"/>
      </w:r>
      <w:r>
        <w:instrText xml:space="preserve"> SEQ 图 \* ARABIC </w:instrText>
      </w:r>
      <w:r>
        <w:fldChar w:fldCharType="separate"/>
      </w:r>
      <w:r>
        <w:t>8</w:t>
      </w:r>
      <w:r>
        <w:fldChar w:fldCharType="end"/>
      </w:r>
      <w:r>
        <w:rPr>
          <w:rFonts w:hint="eastAsia"/>
          <w:lang w:val="en-US" w:eastAsia="zh-CN"/>
        </w:rPr>
        <w:t xml:space="preserve"> kmeans_clusters</w:t>
      </w:r>
      <w:bookmarkEnd w:id="41"/>
    </w:p>
    <w:p w14:paraId="28FB4F64">
      <w:pPr>
        <w:pStyle w:val="3"/>
      </w:pPr>
      <w:r>
        <w:drawing>
          <wp:inline distT="0" distB="0" distL="114300" distR="114300">
            <wp:extent cx="5334000" cy="1527810"/>
            <wp:effectExtent l="0" t="0" r="0" b="0"/>
            <wp:docPr id="49"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title="fig:"/>
                    <pic:cNvPicPr>
                      <a:picLocks noChangeAspect="1" noChangeArrowheads="1"/>
                    </pic:cNvPicPr>
                  </pic:nvPicPr>
                  <pic:blipFill>
                    <a:blip r:embed="rId14"/>
                    <a:stretch>
                      <a:fillRect/>
                    </a:stretch>
                  </pic:blipFill>
                  <pic:spPr>
                    <a:xfrm>
                      <a:off x="0" y="0"/>
                      <a:ext cx="5334000" cy="1528118"/>
                    </a:xfrm>
                    <a:prstGeom prst="rect">
                      <a:avLst/>
                    </a:prstGeom>
                    <a:noFill/>
                    <a:ln w="9525">
                      <a:noFill/>
                    </a:ln>
                  </pic:spPr>
                </pic:pic>
              </a:graphicData>
            </a:graphic>
          </wp:inline>
        </w:drawing>
      </w:r>
    </w:p>
    <w:p w14:paraId="14A4CB8E">
      <w:pPr>
        <w:pStyle w:val="3"/>
      </w:pPr>
      <w:r>
        <w:rPr>
          <w:rFonts w:hint="eastAsia"/>
        </w:rPr>
        <w:t>从三组散点图(</w:t>
      </w:r>
      <w:r>
        <w:rPr>
          <w:rFonts w:hint="eastAsia"/>
          <w:lang w:eastAsia="zh-CN"/>
        </w:rPr>
        <w:fldChar w:fldCharType="begin"/>
      </w:r>
      <w:r>
        <w:rPr>
          <w:rFonts w:hint="eastAsia"/>
          <w:lang w:eastAsia="zh-CN"/>
        </w:rPr>
        <w:instrText xml:space="preserve"> REF _Ref19274 \h </w:instrText>
      </w:r>
      <w:r>
        <w:rPr>
          <w:rFonts w:hint="eastAsia"/>
          <w:lang w:eastAsia="zh-CN"/>
        </w:rPr>
        <w:fldChar w:fldCharType="separate"/>
      </w:r>
      <w:r>
        <w:t>图 8</w:t>
      </w:r>
      <w:r>
        <w:rPr>
          <w:rFonts w:hint="eastAsia"/>
          <w:lang w:val="en-US" w:eastAsia="zh-CN"/>
        </w:rPr>
        <w:t xml:space="preserve"> kmeans_clusters</w:t>
      </w:r>
      <w:r>
        <w:rPr>
          <w:rFonts w:hint="eastAsia"/>
          <w:lang w:eastAsia="zh-CN"/>
        </w:rPr>
        <w:fldChar w:fldCharType="end"/>
      </w:r>
      <w:r>
        <w:rPr>
          <w:rFonts w:hint="eastAsia"/>
        </w:rPr>
        <w:t>)可以直观观察到，四个簇在RFM三维空间中呈现出清晰的梯度分层结构。在Recency</w:t>
      </w:r>
      <w:r>
        <w:t xml:space="preserve"> vs </w:t>
      </w:r>
      <w:r>
        <w:rPr>
          <w:rFonts w:hint="eastAsia"/>
        </w:rPr>
        <w:t>Frequency图中，Cluster</w:t>
      </w:r>
      <w:r>
        <w:t xml:space="preserve"> </w:t>
      </w:r>
      <w:r>
        <w:rPr>
          <w:rFonts w:hint="eastAsia"/>
        </w:rPr>
        <w:t>3和Cluster</w:t>
      </w:r>
      <w:r>
        <w:t xml:space="preserve"> </w:t>
      </w:r>
      <w:r>
        <w:rPr>
          <w:rFonts w:hint="eastAsia"/>
        </w:rPr>
        <w:t>2集中在左上角（低Recency、高Frequency），Cluster</w:t>
      </w:r>
      <w:r>
        <w:t xml:space="preserve"> </w:t>
      </w:r>
      <w:r>
        <w:rPr>
          <w:rFonts w:hint="eastAsia"/>
        </w:rPr>
        <w:t>0则集中在右侧高Recency区域；在Frequency</w:t>
      </w:r>
      <w:r>
        <w:t xml:space="preserve"> vs </w:t>
      </w:r>
      <w:r>
        <w:rPr>
          <w:rFonts w:hint="eastAsia"/>
        </w:rPr>
        <w:t>Monetary图中，Cluster</w:t>
      </w:r>
      <w:r>
        <w:t xml:space="preserve"> </w:t>
      </w:r>
      <w:r>
        <w:rPr>
          <w:rFonts w:hint="eastAsia"/>
        </w:rPr>
        <w:t>3因极高的Monetary值而远离其他三个簇，形成显著离群；在Recency</w:t>
      </w:r>
      <w:r>
        <w:t xml:space="preserve"> vs </w:t>
      </w:r>
      <w:r>
        <w:rPr>
          <w:rFonts w:hint="eastAsia"/>
        </w:rPr>
        <w:t>Monetary图中，从右下到左上呈现出"Recency越低、Monetary越高"的正向关联趋势，与客户价值递增的方向高度一致。</w:t>
      </w:r>
    </w:p>
    <w:bookmarkEnd w:id="39"/>
    <w:p w14:paraId="2425D671">
      <w:pPr>
        <w:pStyle w:val="5"/>
      </w:pPr>
      <w:bookmarkStart w:id="42" w:name="X090cc5bb25cf5351a3589bd6caa10b6cfd85d8c"/>
      <w:r>
        <w:t xml:space="preserve">3.1.4 </w:t>
      </w:r>
      <w:r>
        <w:rPr>
          <w:rFonts w:hint="eastAsia"/>
        </w:rPr>
        <w:t>各簇画像解读</w:t>
      </w:r>
    </w:p>
    <w:p w14:paraId="74AE7471">
      <w:pPr>
        <w:pStyle w:val="28"/>
      </w:pPr>
      <w:r>
        <w:rPr>
          <w:rFonts w:hint="eastAsia"/>
        </w:rPr>
        <w:t>基于各簇在RFM三项指标上的均值表现，对于4个簇的画像分别如下：</w:t>
      </w:r>
    </w:p>
    <w:p w14:paraId="0EB09968">
      <w:pPr>
        <w:pStyle w:val="3"/>
      </w:pPr>
      <w:r>
        <w:rPr>
          <w:b/>
          <w:bCs/>
        </w:rPr>
        <w:t xml:space="preserve">Cluster </w:t>
      </w:r>
      <w:r>
        <w:rPr>
          <w:rFonts w:hint="eastAsia"/>
          <w:b/>
          <w:bCs/>
        </w:rPr>
        <w:t>3：顶级VIP客户（13人，0.3%）。</w:t>
      </w:r>
      <w:r>
        <w:t xml:space="preserve"> </w:t>
      </w:r>
      <w:r>
        <w:rPr>
          <w:rFonts w:hint="eastAsia"/>
        </w:rPr>
        <w:t>该簇客户的平均Recency仅为7.38天，意味着最近一周内仍有购买行为；平均Frequency高达80.85次，远超其他各簇；平均Monetary达到121,827英镑，是Cluster</w:t>
      </w:r>
      <w:r>
        <w:t xml:space="preserve"> </w:t>
      </w:r>
      <w:r>
        <w:rPr>
          <w:rFonts w:hint="eastAsia"/>
        </w:rPr>
        <w:t>2的近10倍、Cluster</w:t>
      </w:r>
      <w:r>
        <w:t xml:space="preserve"> </w:t>
      </w:r>
      <w:r>
        <w:rPr>
          <w:rFonts w:hint="eastAsia"/>
        </w:rPr>
        <w:t>1的近百倍。尽管该簇仅包含13位客户，但其消费金额的体量极为惊人。从明细数据来看，如客户12748在观测期内下单204次、消费30,415英镑，客户13089下单92次、消费56,239英镑，客户14156下单52次、消费106,593英镑。这些客户呈现出极高频率、极大金额的持续性采购特征，属于典型的超大批发商或核心分销商。他们对企业的营收贡献具有决定性影响，是不可替代的战略级客户资源。</w:t>
      </w:r>
    </w:p>
    <w:p w14:paraId="7905A4D2">
      <w:pPr>
        <w:pStyle w:val="3"/>
      </w:pPr>
      <w:r>
        <w:rPr>
          <w:b/>
          <w:bCs/>
        </w:rPr>
        <w:t xml:space="preserve">Cluster </w:t>
      </w:r>
      <w:r>
        <w:rPr>
          <w:rFonts w:hint="eastAsia"/>
          <w:b/>
          <w:bCs/>
        </w:rPr>
        <w:t>2：高价值忠诚客户（189人，4.4%）。</w:t>
      </w:r>
      <w:r>
        <w:t xml:space="preserve"> </w:t>
      </w:r>
      <w:r>
        <w:rPr>
          <w:rFonts w:hint="eastAsia"/>
        </w:rPr>
        <w:t>该簇客户的平均Recency为14.05天，购买活跃度高；平均Frequency为22.98次，约为Cluster</w:t>
      </w:r>
      <w:r>
        <w:t xml:space="preserve"> </w:t>
      </w:r>
      <w:r>
        <w:rPr>
          <w:rFonts w:hint="eastAsia"/>
        </w:rPr>
        <w:t>1的6倍；平均Monetary为12,386英镑。这一群体已形成稳定的采购周期与较高的复购频次，消费金额可观，是企业利润的重要贡献者。与Cluster</w:t>
      </w:r>
      <w:r>
        <w:t xml:space="preserve"> </w:t>
      </w:r>
      <w:r>
        <w:rPr>
          <w:rFonts w:hint="eastAsia"/>
        </w:rPr>
        <w:t>3相比，他们的采购规模虽有所不及，但客户数量是Cluster</w:t>
      </w:r>
      <w:r>
        <w:t xml:space="preserve"> </w:t>
      </w:r>
      <w:r>
        <w:rPr>
          <w:rFonts w:hint="eastAsia"/>
        </w:rPr>
        <w:t>3的14倍，群体整体的营收贡献同样不可忽视。从明细数据来看，如客户12431消费42,056英镑、客户14088消费47,036英镑、客户14096消费45,682英镑，均属于高频高额的稳定型客户。该群体是企业需要重点维护和持续培育的核心资产。</w:t>
      </w:r>
    </w:p>
    <w:p w14:paraId="39C6C61E">
      <w:pPr>
        <w:pStyle w:val="3"/>
      </w:pPr>
      <w:r>
        <w:rPr>
          <w:b/>
          <w:bCs/>
        </w:rPr>
        <w:t xml:space="preserve">Cluster </w:t>
      </w:r>
      <w:r>
        <w:rPr>
          <w:rFonts w:hint="eastAsia"/>
          <w:b/>
          <w:bCs/>
        </w:rPr>
        <w:t>1：中坚潜力客户（3,059人，70.8%）。</w:t>
      </w:r>
      <w:r>
        <w:t xml:space="preserve"> </w:t>
      </w:r>
      <w:r>
        <w:rPr>
          <w:rFonts w:hint="eastAsia"/>
        </w:rPr>
        <w:t>该簇占据了全部客户的七成以上，是客户群体的绝对主体。平均Recency为43.55天，处于中等活跃水平；平均Frequency为3.69次，Monetary为1,302英镑，各项指标均处于中等区间。这一群体涵盖了大量中小型批发商和稳定但消费规模有限的老客户，他们有一定的复购习惯，但采购频率和金额仍有较大提升空间。作为体量最大的客群，该群体的整体消费总额在企业营收中占据重要份额，同时也是精准运营策略最具杠杆效应的目标群体——若能通过运营手段将其中的部分客户向Cluster</w:t>
      </w:r>
      <w:r>
        <w:t xml:space="preserve"> </w:t>
      </w:r>
      <w:r>
        <w:rPr>
          <w:rFonts w:hint="eastAsia"/>
        </w:rPr>
        <w:t>2迁移，将带来显著的营收增长。</w:t>
      </w:r>
    </w:p>
    <w:p w14:paraId="0ED15CAF">
      <w:pPr>
        <w:pStyle w:val="3"/>
      </w:pPr>
      <w:r>
        <w:rPr>
          <w:b/>
          <w:bCs/>
        </w:rPr>
        <w:t xml:space="preserve">Cluster </w:t>
      </w:r>
      <w:r>
        <w:rPr>
          <w:rFonts w:hint="eastAsia"/>
          <w:b/>
          <w:bCs/>
        </w:rPr>
        <w:t>0：流失风险客户（1,060人，24.5%）。</w:t>
      </w:r>
      <w:r>
        <w:t xml:space="preserve"> </w:t>
      </w:r>
      <w:r>
        <w:rPr>
          <w:rFonts w:hint="eastAsia"/>
        </w:rPr>
        <w:t>该簇客户的平均Recency高达248天，意味着最近一次购买距今已超过8个月；平均Frequency仅1.55次，绝大多数客户在观测期内仅下单1至2次便再未复购；平均Monetary为450英镑，消费金额偏低。从明细数据来看，如客户12350最近购买距今310天、仅消费294英镑，客户12373距今311天、消费325英镑，客户12441距今367天、消费156英镑。这一群体呈现出典型的"一次性交易后流失"特征，已处于客户生命周期的衰退期甚至流失期。虽然个体消费金额不高，但1,060人的总量占客户总数的近四分之一，若不加以干预，将造成客户基数的持续流失。</w:t>
      </w:r>
    </w:p>
    <w:bookmarkEnd w:id="42"/>
    <w:p w14:paraId="31D77DA8">
      <w:pPr>
        <w:pStyle w:val="5"/>
      </w:pPr>
      <w:bookmarkStart w:id="43" w:name="Xdf0854f0dc0ec20ce1b965538cea7cab6602c64"/>
      <w:r>
        <w:t xml:space="preserve">3.1.5 </w:t>
      </w:r>
      <w:r>
        <w:rPr>
          <w:rFonts w:hint="eastAsia"/>
        </w:rPr>
        <w:t>聚类结果总结分析</w:t>
      </w:r>
    </w:p>
    <w:p w14:paraId="48B691D0">
      <w:pPr>
        <w:pStyle w:val="28"/>
      </w:pPr>
      <w:r>
        <w:rPr>
          <w:rFonts w:hint="eastAsia"/>
        </w:rPr>
        <w:t>综合上述分析，K-means聚类揭示了该在线零售企业客户结构中几个值得关注的核心特征。</w:t>
      </w:r>
    </w:p>
    <w:p w14:paraId="2006F48F">
      <w:pPr>
        <w:pStyle w:val="3"/>
      </w:pPr>
      <w:r>
        <w:rPr>
          <w:rFonts w:hint="eastAsia"/>
        </w:rPr>
        <w:t>客户价值分布呈极端金字塔结构。，0.3%的顶级VIP客户（Cluster</w:t>
      </w:r>
      <w:r>
        <w:t xml:space="preserve"> </w:t>
      </w:r>
      <w:r>
        <w:rPr>
          <w:rFonts w:hint="eastAsia"/>
        </w:rPr>
        <w:t>3）与4.4%的高价值客户（Cluster</w:t>
      </w:r>
      <w:r>
        <w:t xml:space="preserve"> </w:t>
      </w:r>
      <w:r>
        <w:rPr>
          <w:rFonts w:hint="eastAsia"/>
        </w:rPr>
        <w:t>2）合计仅占客户总数的4.7%，但其人均消费金额远超其余95%的客户。这一结构印证了帕累托法则在该企业中的典型体现，意味着对极少数高价值客户的维护投入将产生不成比例的回报。同时，这也提示企业存在客户集中度风险——若Cluster</w:t>
      </w:r>
      <w:r>
        <w:t xml:space="preserve"> </w:t>
      </w:r>
      <w:r>
        <w:rPr>
          <w:rFonts w:hint="eastAsia"/>
        </w:rPr>
        <w:t>3中的若干顶级客户流失，将对营收造成重大冲击。</w:t>
      </w:r>
    </w:p>
    <w:p w14:paraId="1D6C8679">
      <w:pPr>
        <w:pStyle w:val="3"/>
      </w:pPr>
      <w:r>
        <w:rPr>
          <w:rFonts w:hint="eastAsia"/>
        </w:rPr>
        <w:t>主体客群的运营提效空间巨大，Cluster</w:t>
      </w:r>
      <w:r>
        <w:t xml:space="preserve"> </w:t>
      </w:r>
      <w:r>
        <w:rPr>
          <w:rFonts w:hint="eastAsia"/>
        </w:rPr>
        <w:t>1以70.8%的占比构成客户主体，但其平均消费金额仅为Cluster</w:t>
      </w:r>
      <w:r>
        <w:t xml:space="preserve"> </w:t>
      </w:r>
      <w:r>
        <w:rPr>
          <w:rFonts w:hint="eastAsia"/>
        </w:rPr>
        <w:t>2的十分之一左右。这一巨大的价值落差意味着，若能通过精准运营手段（如个性化推荐、采购周期提醒、阶梯折扣激励等）提升该群体的复购频次与客单价，即使仅有10%的客户完成从Cluster</w:t>
      </w:r>
      <w:r>
        <w:t xml:space="preserve"> </w:t>
      </w:r>
      <w:r>
        <w:rPr>
          <w:rFonts w:hint="eastAsia"/>
        </w:rPr>
        <w:t>1向Cluster</w:t>
      </w:r>
      <w:r>
        <w:t xml:space="preserve"> </w:t>
      </w:r>
      <w:r>
        <w:rPr>
          <w:rFonts w:hint="eastAsia"/>
        </w:rPr>
        <w:t>2的价值跃迁，也将带来可观的增量收入。</w:t>
      </w:r>
    </w:p>
    <w:p w14:paraId="16BA6F16">
      <w:pPr>
        <w:pStyle w:val="3"/>
      </w:pPr>
      <w:r>
        <w:rPr>
          <w:rFonts w:hint="eastAsia"/>
        </w:rPr>
        <w:t>近四分之一客户面临流失风险，Cluster</w:t>
      </w:r>
      <w:r>
        <w:t xml:space="preserve"> </w:t>
      </w:r>
      <w:r>
        <w:rPr>
          <w:rFonts w:hint="eastAsia"/>
        </w:rPr>
        <w:t>0中1,060位客户的平均Recency已超过8个月，且Frequency极低，表明这些客户已基本处于流失状态。对于这一群体，企业需要评估唤醒成本与潜在收益的平衡——对其中历史消费金额相对较高的客户，可尝试通过有针对性的召回活动（如专属优惠、新品推荐）进行激活；对消费金额极低且确认已流失的客户，则可适当降低运营资源投入，将有限的资源向高潜力群体倾斜。</w:t>
      </w:r>
    </w:p>
    <w:p w14:paraId="17B707BE">
      <w:pPr>
        <w:pStyle w:val="3"/>
      </w:pPr>
      <w:r>
        <w:rPr>
          <w:rFonts w:hint="eastAsia"/>
        </w:rPr>
        <w:t>B2B批发场景下的聚类特征验证，从Cluster</w:t>
      </w:r>
      <w:r>
        <w:t xml:space="preserve"> </w:t>
      </w:r>
      <w:r>
        <w:rPr>
          <w:rFonts w:hint="eastAsia"/>
        </w:rPr>
        <w:t>3和Cluster</w:t>
      </w:r>
      <w:r>
        <w:t xml:space="preserve"> </w:t>
      </w:r>
      <w:r>
        <w:rPr>
          <w:rFonts w:hint="eastAsia"/>
        </w:rPr>
        <w:t>2的客户行为来看，高频次（数十至上百次）、大金额（数万至十余万英镑）的采购模式，进一步验证了该企业以批发商为核心的B2B业务属性。这意味着面向该客群的运营策略不应照搬C端的促销打法，而应围绕批发采购场景设计，如批量采购折扣体系、定期补货提醒、专属客户经理服务等。</w:t>
      </w:r>
    </w:p>
    <w:bookmarkEnd w:id="35"/>
    <w:bookmarkEnd w:id="43"/>
    <w:p w14:paraId="188133DA">
      <w:pPr>
        <w:pStyle w:val="4"/>
      </w:pPr>
      <w:bookmarkStart w:id="44" w:name="_Toc1641"/>
      <w:bookmarkStart w:id="45" w:name="X370800475dfd0b3f7b1b34327885e742bdf4c62"/>
      <w:r>
        <w:t xml:space="preserve">3.2 </w:t>
      </w:r>
      <w:r>
        <w:rPr>
          <w:rFonts w:hint="eastAsia"/>
        </w:rPr>
        <w:t>基于RFM模型的用户分层分析</w:t>
      </w:r>
      <w:bookmarkEnd w:id="44"/>
    </w:p>
    <w:p w14:paraId="13823053">
      <w:pPr>
        <w:pStyle w:val="28"/>
      </w:pPr>
      <w:r>
        <w:rPr>
          <w:rFonts w:hint="eastAsia"/>
        </w:rPr>
        <w:t>为与K-means聚类形成方法互补，本研究进一步采用经典RFM五分位打分法对客户进行精细化分层。该方法将客户划分为具有明确业务语义的类型，便于运营人员直接理解并制定针对性的运营策略。</w:t>
      </w:r>
    </w:p>
    <w:p w14:paraId="60E07D23">
      <w:pPr>
        <w:pStyle w:val="5"/>
      </w:pPr>
      <w:bookmarkStart w:id="46" w:name="X7dbf9c97c6626c5440744663b2c3e6733e321c3"/>
      <w:r>
        <w:t xml:space="preserve">3.2.1 </w:t>
      </w:r>
      <w:r>
        <w:rPr>
          <w:rFonts w:hint="eastAsia"/>
        </w:rPr>
        <w:t>评分规则与分层逻辑</w:t>
      </w:r>
    </w:p>
    <w:p w14:paraId="54652675">
      <w:pPr>
        <w:pStyle w:val="28"/>
        <w:rPr>
          <w:rFonts w:hint="eastAsia"/>
        </w:rPr>
      </w:pPr>
      <w:r>
        <w:rPr>
          <w:rFonts w:hint="eastAsia"/>
        </w:rPr>
        <w:t>RFM模型从Recency、Frequency和Monetary三个维度刻画客户价值</w:t>
      </w:r>
      <w:r>
        <w:rPr>
          <w:rFonts w:hint="eastAsia"/>
          <w:vertAlign w:val="superscript"/>
          <w:lang w:eastAsia="zh-CN"/>
        </w:rPr>
        <w:fldChar w:fldCharType="begin"/>
      </w:r>
      <w:r>
        <w:rPr>
          <w:rFonts w:hint="eastAsia"/>
          <w:vertAlign w:val="superscript"/>
          <w:lang w:eastAsia="zh-CN"/>
        </w:rPr>
        <w:instrText xml:space="preserve"> REF _Ref16282 \r \h </w:instrText>
      </w:r>
      <w:r>
        <w:rPr>
          <w:rFonts w:hint="eastAsia"/>
          <w:vertAlign w:val="superscript"/>
          <w:lang w:eastAsia="zh-CN"/>
        </w:rPr>
        <w:fldChar w:fldCharType="separate"/>
      </w:r>
      <w:r>
        <w:rPr>
          <w:rFonts w:hint="eastAsia"/>
          <w:vertAlign w:val="superscript"/>
          <w:lang w:eastAsia="zh-CN"/>
        </w:rPr>
        <w:t>[2]</w:t>
      </w:r>
      <w:r>
        <w:rPr>
          <w:rFonts w:hint="eastAsia"/>
          <w:vertAlign w:val="superscript"/>
          <w:lang w:eastAsia="zh-CN"/>
        </w:rPr>
        <w:fldChar w:fldCharType="end"/>
      </w:r>
      <w:r>
        <w:rPr>
          <w:rFonts w:hint="eastAsia"/>
        </w:rPr>
        <w:t>。本研究对每项指标采用五分位离散化评分，其中R_Score为反向评分（Recency越小，分值越高，1-5分），F_Score和M_Score为正向评分（频次和金额越大，分值越高，1-5分）。三项分值组合形成三位数的RFM综合评分（如555、112等），据此将客户划分为八种业务类型</w:t>
      </w:r>
      <w:r>
        <w:rPr>
          <w:rFonts w:hint="eastAsia"/>
          <w:lang w:val="en-US" w:eastAsia="zh-CN"/>
        </w:rPr>
        <w:t>(</w:t>
      </w:r>
      <w:r>
        <w:rPr>
          <w:rFonts w:hint="eastAsia"/>
          <w:lang w:val="en-US" w:eastAsia="zh-CN"/>
        </w:rPr>
        <w:fldChar w:fldCharType="begin"/>
      </w:r>
      <w:r>
        <w:rPr>
          <w:rFonts w:hint="eastAsia"/>
          <w:lang w:val="en-US" w:eastAsia="zh-CN"/>
        </w:rPr>
        <w:instrText xml:space="preserve"> REF _Ref20263 \h </w:instrText>
      </w:r>
      <w:r>
        <w:rPr>
          <w:rFonts w:hint="eastAsia"/>
          <w:lang w:val="en-US" w:eastAsia="zh-CN"/>
        </w:rPr>
        <w:fldChar w:fldCharType="separate"/>
      </w:r>
      <w:r>
        <w:t>表 2</w:t>
      </w:r>
      <w:r>
        <w:rPr>
          <w:rFonts w:hint="eastAsia"/>
          <w:lang w:val="en-US" w:eastAsia="zh-CN"/>
        </w:rPr>
        <w:t xml:space="preserve"> 八种业务类型表</w:t>
      </w:r>
      <w:r>
        <w:rPr>
          <w:rFonts w:hint="eastAsia"/>
          <w:lang w:val="en-US" w:eastAsia="zh-CN"/>
        </w:rPr>
        <w:fldChar w:fldCharType="end"/>
      </w:r>
      <w:r>
        <w:rPr>
          <w:rFonts w:hint="eastAsia"/>
          <w:lang w:val="en-US" w:eastAsia="zh-CN"/>
        </w:rPr>
        <w:t>)</w:t>
      </w:r>
      <w:r>
        <w:rPr>
          <w:rFonts w:hint="eastAsia"/>
        </w:rPr>
        <w:t>：</w:t>
      </w:r>
    </w:p>
    <w:p w14:paraId="4B0B29CA">
      <w:pPr>
        <w:pStyle w:val="12"/>
        <w:rPr>
          <w:rFonts w:hint="default" w:eastAsia="宋体"/>
          <w:lang w:val="en-US" w:eastAsia="zh-CN"/>
        </w:rPr>
      </w:pPr>
      <w:bookmarkStart w:id="47" w:name="_Ref20263"/>
      <w:r>
        <w:t xml:space="preserve">表 </w:t>
      </w:r>
      <w:r>
        <w:fldChar w:fldCharType="begin"/>
      </w:r>
      <w:r>
        <w:instrText xml:space="preserve"> SEQ 表 \* ARABIC </w:instrText>
      </w:r>
      <w:r>
        <w:fldChar w:fldCharType="separate"/>
      </w:r>
      <w:r>
        <w:t>2</w:t>
      </w:r>
      <w:r>
        <w:fldChar w:fldCharType="end"/>
      </w:r>
      <w:r>
        <w:rPr>
          <w:rFonts w:hint="eastAsia"/>
          <w:lang w:val="en-US" w:eastAsia="zh-CN"/>
        </w:rPr>
        <w:t xml:space="preserve"> 八种业务类型表</w:t>
      </w:r>
      <w:bookmarkEnd w:id="47"/>
    </w:p>
    <w:tbl>
      <w:tblPr>
        <w:tblStyle w:val="46"/>
        <w:tblW w:w="0" w:type="auto"/>
        <w:tblInd w:w="0" w:type="dxa"/>
        <w:tblLayout w:type="autofit"/>
        <w:tblCellMar>
          <w:top w:w="0" w:type="dxa"/>
          <w:left w:w="108" w:type="dxa"/>
          <w:bottom w:w="0" w:type="dxa"/>
          <w:right w:w="108" w:type="dxa"/>
        </w:tblCellMar>
      </w:tblPr>
      <w:tblGrid>
        <w:gridCol w:w="1795"/>
        <w:gridCol w:w="3033"/>
        <w:gridCol w:w="4028"/>
      </w:tblGrid>
      <w:tr w14:paraId="04FFA957">
        <w:tblPrEx>
          <w:tblCellMar>
            <w:top w:w="0" w:type="dxa"/>
            <w:left w:w="108" w:type="dxa"/>
            <w:bottom w:w="0" w:type="dxa"/>
            <w:right w:w="108" w:type="dxa"/>
          </w:tblCellMar>
        </w:tblPrEx>
        <w:trPr>
          <w:tblHeader/>
        </w:trPr>
        <w:tc>
          <w:tcPr>
            <w:tcBorders>
              <w:top w:val="single" w:color="000000" w:sz="18" w:space="0"/>
              <w:bottom w:val="single" w:color="000000" w:sz="12" w:space="0"/>
            </w:tcBorders>
            <w:vAlign w:val="center"/>
          </w:tcPr>
          <w:p w14:paraId="6BF8F659">
            <w:pPr>
              <w:pStyle w:val="3"/>
              <w:jc w:val="center"/>
              <w:rPr>
                <w:b/>
                <w:bCs/>
              </w:rPr>
            </w:pPr>
            <w:r>
              <w:rPr>
                <w:rFonts w:hint="eastAsia"/>
                <w:b/>
                <w:bCs/>
              </w:rPr>
              <w:t>客户类型</w:t>
            </w:r>
          </w:p>
        </w:tc>
        <w:tc>
          <w:tcPr>
            <w:tcBorders>
              <w:top w:val="single" w:color="000000" w:sz="18" w:space="0"/>
              <w:bottom w:val="single" w:color="000000" w:sz="12" w:space="0"/>
            </w:tcBorders>
            <w:vAlign w:val="center"/>
          </w:tcPr>
          <w:p w14:paraId="4C450088">
            <w:pPr>
              <w:pStyle w:val="3"/>
              <w:jc w:val="center"/>
              <w:rPr>
                <w:b/>
                <w:bCs/>
              </w:rPr>
            </w:pPr>
            <w:r>
              <w:rPr>
                <w:rFonts w:hint="eastAsia"/>
                <w:b/>
                <w:bCs/>
              </w:rPr>
              <w:t>核心判定条件</w:t>
            </w:r>
          </w:p>
        </w:tc>
        <w:tc>
          <w:tcPr>
            <w:tcBorders>
              <w:top w:val="single" w:color="000000" w:sz="18" w:space="0"/>
              <w:bottom w:val="single" w:color="000000" w:sz="12" w:space="0"/>
            </w:tcBorders>
            <w:vAlign w:val="center"/>
          </w:tcPr>
          <w:p w14:paraId="0299AA59">
            <w:pPr>
              <w:pStyle w:val="3"/>
              <w:jc w:val="center"/>
              <w:rPr>
                <w:b/>
                <w:bCs/>
              </w:rPr>
            </w:pPr>
            <w:r>
              <w:rPr>
                <w:rFonts w:hint="eastAsia"/>
                <w:b/>
                <w:bCs/>
              </w:rPr>
              <w:t>业务含义</w:t>
            </w:r>
          </w:p>
        </w:tc>
      </w:tr>
      <w:tr w14:paraId="4B21CD71">
        <w:tblPrEx>
          <w:tblCellMar>
            <w:top w:w="0" w:type="dxa"/>
            <w:left w:w="108" w:type="dxa"/>
            <w:bottom w:w="0" w:type="dxa"/>
            <w:right w:w="108" w:type="dxa"/>
          </w:tblCellMar>
        </w:tblPrEx>
        <w:trPr>
          <w:trHeight w:val="1043" w:hRule="atLeast"/>
        </w:trPr>
        <w:tc>
          <w:tcPr>
            <w:tcBorders>
              <w:top w:val="single" w:color="000000" w:sz="12" w:space="0"/>
            </w:tcBorders>
            <w:vAlign w:val="center"/>
          </w:tcPr>
          <w:p w14:paraId="4DB27B00">
            <w:pPr>
              <w:pStyle w:val="3"/>
              <w:jc w:val="center"/>
            </w:pPr>
            <w:r>
              <w:rPr>
                <w:rFonts w:hint="eastAsia"/>
              </w:rPr>
              <w:t>重要价值客户</w:t>
            </w:r>
          </w:p>
        </w:tc>
        <w:tc>
          <w:tcPr>
            <w:tcBorders>
              <w:top w:val="single" w:color="000000" w:sz="12" w:space="0"/>
            </w:tcBorders>
            <w:vAlign w:val="center"/>
          </w:tcPr>
          <w:p w14:paraId="0DBAF5BC">
            <w:pPr>
              <w:pStyle w:val="3"/>
              <w:jc w:val="center"/>
            </w:pPr>
            <w:r>
              <w:rPr>
                <w:rFonts w:hint="eastAsia"/>
              </w:rPr>
              <w:t>R≥均值、F≥均值、M≥均值</w:t>
            </w:r>
          </w:p>
        </w:tc>
        <w:tc>
          <w:tcPr>
            <w:tcBorders>
              <w:top w:val="single" w:color="000000" w:sz="12" w:space="0"/>
            </w:tcBorders>
            <w:vAlign w:val="center"/>
          </w:tcPr>
          <w:p w14:paraId="77287E33">
            <w:pPr>
              <w:pStyle w:val="3"/>
              <w:jc w:val="center"/>
            </w:pPr>
            <w:r>
              <w:rPr>
                <w:rFonts w:hint="eastAsia"/>
              </w:rPr>
              <w:t>高活跃、高忠诚、高消费的核心资产</w:t>
            </w:r>
          </w:p>
        </w:tc>
      </w:tr>
      <w:tr w14:paraId="6B861B41">
        <w:tblPrEx>
          <w:tblCellMar>
            <w:top w:w="0" w:type="dxa"/>
            <w:left w:w="108" w:type="dxa"/>
            <w:bottom w:w="0" w:type="dxa"/>
            <w:right w:w="108" w:type="dxa"/>
          </w:tblCellMar>
        </w:tblPrEx>
        <w:tc>
          <w:tcPr>
            <w:vAlign w:val="center"/>
          </w:tcPr>
          <w:p w14:paraId="796EAA32">
            <w:pPr>
              <w:pStyle w:val="3"/>
              <w:jc w:val="center"/>
            </w:pPr>
            <w:r>
              <w:rPr>
                <w:rFonts w:hint="eastAsia"/>
              </w:rPr>
              <w:t>重要发展客户</w:t>
            </w:r>
          </w:p>
        </w:tc>
        <w:tc>
          <w:tcPr>
            <w:vAlign w:val="center"/>
          </w:tcPr>
          <w:p w14:paraId="760C98F5">
            <w:pPr>
              <w:pStyle w:val="3"/>
              <w:jc w:val="center"/>
            </w:pPr>
            <w:r>
              <w:rPr>
                <w:rFonts w:hint="eastAsia"/>
              </w:rPr>
              <w:t>R≥均值、F&lt;均值、M≥均值</w:t>
            </w:r>
          </w:p>
        </w:tc>
        <w:tc>
          <w:tcPr>
            <w:vAlign w:val="center"/>
          </w:tcPr>
          <w:p w14:paraId="5FFB3095">
            <w:pPr>
              <w:pStyle w:val="3"/>
              <w:jc w:val="center"/>
            </w:pPr>
            <w:r>
              <w:rPr>
                <w:rFonts w:hint="eastAsia"/>
              </w:rPr>
              <w:t>近期活跃且消费能力强，但频次有提升空间</w:t>
            </w:r>
          </w:p>
        </w:tc>
      </w:tr>
      <w:tr w14:paraId="05D8276C">
        <w:tblPrEx>
          <w:tblCellMar>
            <w:top w:w="0" w:type="dxa"/>
            <w:left w:w="108" w:type="dxa"/>
            <w:bottom w:w="0" w:type="dxa"/>
            <w:right w:w="108" w:type="dxa"/>
          </w:tblCellMar>
        </w:tblPrEx>
        <w:tc>
          <w:tcPr>
            <w:vAlign w:val="center"/>
          </w:tcPr>
          <w:p w14:paraId="29ECB0F5">
            <w:pPr>
              <w:pStyle w:val="3"/>
              <w:jc w:val="center"/>
            </w:pPr>
            <w:r>
              <w:rPr>
                <w:rFonts w:hint="eastAsia"/>
              </w:rPr>
              <w:t>重要保持客户</w:t>
            </w:r>
          </w:p>
        </w:tc>
        <w:tc>
          <w:tcPr>
            <w:vAlign w:val="center"/>
          </w:tcPr>
          <w:p w14:paraId="451458CA">
            <w:pPr>
              <w:pStyle w:val="3"/>
              <w:jc w:val="center"/>
            </w:pPr>
            <w:r>
              <w:rPr>
                <w:rFonts w:hint="eastAsia"/>
              </w:rPr>
              <w:t>R&lt;均值、F≥均值、M≥均值</w:t>
            </w:r>
          </w:p>
        </w:tc>
        <w:tc>
          <w:tcPr>
            <w:vAlign w:val="center"/>
          </w:tcPr>
          <w:p w14:paraId="2764011D">
            <w:pPr>
              <w:pStyle w:val="3"/>
              <w:jc w:val="center"/>
            </w:pPr>
            <w:r>
              <w:rPr>
                <w:rFonts w:hint="eastAsia"/>
              </w:rPr>
              <w:t>历史高价值但近期未复购，需防止流失</w:t>
            </w:r>
          </w:p>
        </w:tc>
      </w:tr>
      <w:tr w14:paraId="58604E78">
        <w:tblPrEx>
          <w:tblCellMar>
            <w:top w:w="0" w:type="dxa"/>
            <w:left w:w="108" w:type="dxa"/>
            <w:bottom w:w="0" w:type="dxa"/>
            <w:right w:w="108" w:type="dxa"/>
          </w:tblCellMar>
        </w:tblPrEx>
        <w:tc>
          <w:tcPr>
            <w:vAlign w:val="center"/>
          </w:tcPr>
          <w:p w14:paraId="53F1F2A2">
            <w:pPr>
              <w:pStyle w:val="3"/>
              <w:jc w:val="center"/>
            </w:pPr>
            <w:r>
              <w:rPr>
                <w:rFonts w:hint="eastAsia"/>
              </w:rPr>
              <w:t>重要挽留客户</w:t>
            </w:r>
          </w:p>
        </w:tc>
        <w:tc>
          <w:tcPr>
            <w:vAlign w:val="center"/>
          </w:tcPr>
          <w:p w14:paraId="71790400">
            <w:pPr>
              <w:pStyle w:val="3"/>
              <w:jc w:val="center"/>
            </w:pPr>
            <w:r>
              <w:rPr>
                <w:rFonts w:hint="eastAsia"/>
              </w:rPr>
              <w:t>R&lt;均值、F&lt;均值、M≥均值</w:t>
            </w:r>
          </w:p>
        </w:tc>
        <w:tc>
          <w:tcPr>
            <w:vAlign w:val="center"/>
          </w:tcPr>
          <w:p w14:paraId="0CAA3764">
            <w:pPr>
              <w:pStyle w:val="3"/>
              <w:jc w:val="center"/>
            </w:pPr>
            <w:r>
              <w:rPr>
                <w:rFonts w:hint="eastAsia"/>
              </w:rPr>
              <w:t>曾高消费但已长时间未下单，流失风险高</w:t>
            </w:r>
          </w:p>
        </w:tc>
      </w:tr>
      <w:tr w14:paraId="7A67E247">
        <w:tblPrEx>
          <w:tblCellMar>
            <w:top w:w="0" w:type="dxa"/>
            <w:left w:w="108" w:type="dxa"/>
            <w:bottom w:w="0" w:type="dxa"/>
            <w:right w:w="108" w:type="dxa"/>
          </w:tblCellMar>
        </w:tblPrEx>
        <w:tc>
          <w:tcPr>
            <w:vAlign w:val="center"/>
          </w:tcPr>
          <w:p w14:paraId="5BB77979">
            <w:pPr>
              <w:pStyle w:val="3"/>
              <w:jc w:val="center"/>
            </w:pPr>
            <w:r>
              <w:rPr>
                <w:rFonts w:hint="eastAsia"/>
              </w:rPr>
              <w:t>一般价值客户</w:t>
            </w:r>
          </w:p>
        </w:tc>
        <w:tc>
          <w:tcPr>
            <w:vAlign w:val="center"/>
          </w:tcPr>
          <w:p w14:paraId="61449E69">
            <w:pPr>
              <w:pStyle w:val="3"/>
              <w:jc w:val="center"/>
            </w:pPr>
            <w:r>
              <w:rPr>
                <w:rFonts w:hint="eastAsia"/>
              </w:rPr>
              <w:t>R≥均值、F≥均值、M&lt;均值</w:t>
            </w:r>
          </w:p>
        </w:tc>
        <w:tc>
          <w:tcPr>
            <w:vAlign w:val="center"/>
          </w:tcPr>
          <w:p w14:paraId="522F8E8A">
            <w:pPr>
              <w:pStyle w:val="3"/>
              <w:jc w:val="center"/>
            </w:pPr>
            <w:r>
              <w:rPr>
                <w:rFonts w:hint="eastAsia"/>
              </w:rPr>
              <w:t>活跃且频次尚可，但消费金额偏低</w:t>
            </w:r>
          </w:p>
        </w:tc>
      </w:tr>
      <w:tr w14:paraId="6B879910">
        <w:tblPrEx>
          <w:tblCellMar>
            <w:top w:w="0" w:type="dxa"/>
            <w:left w:w="108" w:type="dxa"/>
            <w:bottom w:w="0" w:type="dxa"/>
            <w:right w:w="108" w:type="dxa"/>
          </w:tblCellMar>
        </w:tblPrEx>
        <w:tc>
          <w:tcPr>
            <w:vAlign w:val="center"/>
          </w:tcPr>
          <w:p w14:paraId="2D554FFC">
            <w:pPr>
              <w:pStyle w:val="3"/>
              <w:jc w:val="center"/>
            </w:pPr>
            <w:r>
              <w:rPr>
                <w:rFonts w:hint="eastAsia"/>
              </w:rPr>
              <w:t>一般发展客户</w:t>
            </w:r>
          </w:p>
        </w:tc>
        <w:tc>
          <w:tcPr>
            <w:vAlign w:val="center"/>
          </w:tcPr>
          <w:p w14:paraId="60FA2141">
            <w:pPr>
              <w:pStyle w:val="3"/>
              <w:jc w:val="center"/>
            </w:pPr>
            <w:r>
              <w:rPr>
                <w:rFonts w:hint="eastAsia"/>
              </w:rPr>
              <w:t>R≥均值、F&lt;均值、M&lt;均值</w:t>
            </w:r>
          </w:p>
        </w:tc>
        <w:tc>
          <w:tcPr>
            <w:vAlign w:val="center"/>
          </w:tcPr>
          <w:p w14:paraId="62B33DBA">
            <w:pPr>
              <w:pStyle w:val="3"/>
              <w:jc w:val="center"/>
            </w:pPr>
            <w:r>
              <w:rPr>
                <w:rFonts w:hint="eastAsia"/>
              </w:rPr>
              <w:t>近期有互动但频次和金额均低</w:t>
            </w:r>
          </w:p>
        </w:tc>
      </w:tr>
      <w:tr w14:paraId="7FA1DC20">
        <w:tblPrEx>
          <w:tblCellMar>
            <w:top w:w="0" w:type="dxa"/>
            <w:left w:w="108" w:type="dxa"/>
            <w:bottom w:w="0" w:type="dxa"/>
            <w:right w:w="108" w:type="dxa"/>
          </w:tblCellMar>
        </w:tblPrEx>
        <w:tc>
          <w:tcPr>
            <w:vAlign w:val="center"/>
          </w:tcPr>
          <w:p w14:paraId="69A0D0C8">
            <w:pPr>
              <w:pStyle w:val="3"/>
              <w:jc w:val="center"/>
            </w:pPr>
            <w:r>
              <w:rPr>
                <w:rFonts w:hint="eastAsia"/>
              </w:rPr>
              <w:t>一般保持客户</w:t>
            </w:r>
          </w:p>
        </w:tc>
        <w:tc>
          <w:tcPr>
            <w:vAlign w:val="center"/>
          </w:tcPr>
          <w:p w14:paraId="37D35FE3">
            <w:pPr>
              <w:pStyle w:val="3"/>
              <w:jc w:val="center"/>
            </w:pPr>
            <w:r>
              <w:rPr>
                <w:rFonts w:hint="eastAsia"/>
              </w:rPr>
              <w:t>R&lt;均值、F≥均值、M&lt;均值</w:t>
            </w:r>
          </w:p>
        </w:tc>
        <w:tc>
          <w:tcPr>
            <w:vAlign w:val="center"/>
          </w:tcPr>
          <w:p w14:paraId="53C70C46">
            <w:pPr>
              <w:pStyle w:val="3"/>
              <w:jc w:val="center"/>
            </w:pPr>
            <w:r>
              <w:rPr>
                <w:rFonts w:hint="eastAsia"/>
              </w:rPr>
              <w:t>历史有频次但金额低且近期未购买</w:t>
            </w:r>
          </w:p>
        </w:tc>
      </w:tr>
      <w:tr w14:paraId="7FDE4F03">
        <w:tblPrEx>
          <w:tblCellMar>
            <w:top w:w="0" w:type="dxa"/>
            <w:left w:w="108" w:type="dxa"/>
            <w:bottom w:w="0" w:type="dxa"/>
            <w:right w:w="108" w:type="dxa"/>
          </w:tblCellMar>
        </w:tblPrEx>
        <w:tc>
          <w:tcPr>
            <w:tcBorders>
              <w:bottom w:val="single" w:color="000000" w:sz="18" w:space="0"/>
            </w:tcBorders>
            <w:vAlign w:val="center"/>
          </w:tcPr>
          <w:p w14:paraId="7E2516FF">
            <w:pPr>
              <w:pStyle w:val="3"/>
              <w:jc w:val="center"/>
            </w:pPr>
            <w:r>
              <w:rPr>
                <w:rFonts w:hint="eastAsia"/>
              </w:rPr>
              <w:t>一般挽留客户</w:t>
            </w:r>
          </w:p>
        </w:tc>
        <w:tc>
          <w:tcPr>
            <w:tcBorders>
              <w:bottom w:val="single" w:color="000000" w:sz="18" w:space="0"/>
            </w:tcBorders>
            <w:vAlign w:val="center"/>
          </w:tcPr>
          <w:p w14:paraId="408858A1">
            <w:pPr>
              <w:pStyle w:val="3"/>
              <w:jc w:val="center"/>
            </w:pPr>
            <w:r>
              <w:rPr>
                <w:rFonts w:hint="eastAsia"/>
              </w:rPr>
              <w:t>R&lt;均值、F&lt;均值、M&lt;均值</w:t>
            </w:r>
          </w:p>
        </w:tc>
        <w:tc>
          <w:tcPr>
            <w:tcBorders>
              <w:bottom w:val="single" w:color="000000" w:sz="18" w:space="0"/>
            </w:tcBorders>
            <w:vAlign w:val="center"/>
          </w:tcPr>
          <w:p w14:paraId="10105A84">
            <w:pPr>
              <w:pStyle w:val="3"/>
              <w:jc w:val="center"/>
            </w:pPr>
            <w:r>
              <w:rPr>
                <w:rFonts w:hint="eastAsia"/>
              </w:rPr>
              <w:t>低价值且已沉寂，通常可降级维护</w:t>
            </w:r>
          </w:p>
        </w:tc>
      </w:tr>
    </w:tbl>
    <w:p w14:paraId="1218F36A">
      <w:pPr>
        <w:pStyle w:val="3"/>
        <w:ind w:left="0" w:leftChars="0" w:firstLine="0" w:firstLineChars="0"/>
      </w:pPr>
    </w:p>
    <w:bookmarkEnd w:id="46"/>
    <w:p w14:paraId="7704A7D4">
      <w:pPr>
        <w:pStyle w:val="5"/>
      </w:pPr>
      <w:bookmarkStart w:id="48" w:name="X3a6cf58dd51f52c745b69ddbee3265de7b5072f"/>
      <w:r>
        <w:t xml:space="preserve">3.2.2 </w:t>
      </w:r>
      <w:r>
        <w:rPr>
          <w:rFonts w:hint="eastAsia"/>
        </w:rPr>
        <w:t>分层结果统计</w:t>
      </w:r>
    </w:p>
    <w:p w14:paraId="03F6B83E">
      <w:pPr>
        <w:pStyle w:val="28"/>
      </w:pPr>
      <w:r>
        <w:rPr>
          <w:rFonts w:hint="eastAsia"/>
        </w:rPr>
        <w:t>基于上述规则，全部4,321位客户被划分为六种有效类型（一般发展客户与一般保持客户，经统计，这两种类型在该数据集中的客户数量为</w:t>
      </w:r>
      <w:r>
        <w:rPr>
          <w:rFonts w:hint="eastAsia"/>
          <w:b/>
          <w:bCs/>
        </w:rPr>
        <w:t>0人</w:t>
      </w:r>
      <w:r>
        <w:rPr>
          <w:rFonts w:hint="eastAsia"/>
        </w:rPr>
        <w:t>。原因在于：本数据集以批发商为主，客户整体消费能力偏高（M值普遍不低），且R/F/M的分布使得极少出现"R≥均值且F&lt;均值且M&lt;均值"（一般发展）或"R&lt;均值且F≥均值且M&lt;均值"（一般保持）的组合。）。各类型的客户数量分布如下图</w:t>
      </w:r>
      <w:r>
        <w:rPr>
          <w:rFonts w:hint="eastAsia"/>
          <w:lang w:val="en-US" w:eastAsia="zh-CN"/>
        </w:rPr>
        <w:t>(</w:t>
      </w:r>
      <w:r>
        <w:rPr>
          <w:rFonts w:hint="eastAsia"/>
          <w:lang w:val="en-US" w:eastAsia="zh-CN"/>
        </w:rPr>
        <w:fldChar w:fldCharType="begin"/>
      </w:r>
      <w:r>
        <w:rPr>
          <w:rFonts w:hint="eastAsia"/>
          <w:lang w:val="en-US" w:eastAsia="zh-CN"/>
        </w:rPr>
        <w:instrText xml:space="preserve"> REF _Ref21024 \h </w:instrText>
      </w:r>
      <w:r>
        <w:rPr>
          <w:rFonts w:hint="eastAsia"/>
          <w:lang w:val="en-US" w:eastAsia="zh-CN"/>
        </w:rPr>
        <w:fldChar w:fldCharType="separate"/>
      </w:r>
      <w:r>
        <w:t>表 3</w:t>
      </w:r>
      <w:r>
        <w:rPr>
          <w:rFonts w:hint="eastAsia"/>
          <w:lang w:val="en-US" w:eastAsia="zh-CN"/>
        </w:rPr>
        <w:t xml:space="preserve"> 各类型的客户数量分布表</w:t>
      </w:r>
      <w:r>
        <w:rPr>
          <w:rFonts w:hint="eastAsia"/>
          <w:lang w:val="en-US" w:eastAsia="zh-CN"/>
        </w:rPr>
        <w:fldChar w:fldCharType="end"/>
      </w:r>
      <w:r>
        <w:rPr>
          <w:rFonts w:hint="eastAsia"/>
          <w:lang w:val="en-US" w:eastAsia="zh-CN"/>
        </w:rPr>
        <w:t>)</w:t>
      </w:r>
      <w:r>
        <w:rPr>
          <w:rFonts w:hint="eastAsia"/>
        </w:rPr>
        <w:t>所示：</w:t>
      </w:r>
    </w:p>
    <w:p w14:paraId="28751743">
      <w:pPr>
        <w:pStyle w:val="12"/>
        <w:rPr>
          <w:rFonts w:hint="default" w:eastAsia="宋体"/>
          <w:lang w:val="en-US" w:eastAsia="zh-CN"/>
        </w:rPr>
      </w:pPr>
      <w:bookmarkStart w:id="49" w:name="_Ref21024"/>
      <w:r>
        <w:t xml:space="preserve">表 </w:t>
      </w:r>
      <w:r>
        <w:fldChar w:fldCharType="begin"/>
      </w:r>
      <w:r>
        <w:instrText xml:space="preserve"> SEQ 表 \* ARABIC </w:instrText>
      </w:r>
      <w:r>
        <w:fldChar w:fldCharType="separate"/>
      </w:r>
      <w:r>
        <w:t>3</w:t>
      </w:r>
      <w:r>
        <w:fldChar w:fldCharType="end"/>
      </w:r>
      <w:r>
        <w:rPr>
          <w:rFonts w:hint="eastAsia"/>
          <w:lang w:val="en-US" w:eastAsia="zh-CN"/>
        </w:rPr>
        <w:t xml:space="preserve"> 各类型的客户数量分布表</w:t>
      </w:r>
      <w:bookmarkEnd w:id="49"/>
    </w:p>
    <w:tbl>
      <w:tblPr>
        <w:tblStyle w:val="46"/>
        <w:tblW w:w="0" w:type="auto"/>
        <w:tblInd w:w="0" w:type="dxa"/>
        <w:tblLayout w:type="autofit"/>
        <w:tblCellMar>
          <w:top w:w="0" w:type="dxa"/>
          <w:left w:w="108" w:type="dxa"/>
          <w:bottom w:w="0" w:type="dxa"/>
          <w:right w:w="108" w:type="dxa"/>
        </w:tblCellMar>
      </w:tblPr>
      <w:tblGrid>
        <w:gridCol w:w="4827"/>
        <w:gridCol w:w="1335"/>
        <w:gridCol w:w="1200"/>
        <w:gridCol w:w="1494"/>
      </w:tblGrid>
      <w:tr w14:paraId="50CB0D10">
        <w:tblPrEx>
          <w:tblCellMar>
            <w:top w:w="0" w:type="dxa"/>
            <w:left w:w="108" w:type="dxa"/>
            <w:bottom w:w="0" w:type="dxa"/>
            <w:right w:w="108" w:type="dxa"/>
          </w:tblCellMar>
        </w:tblPrEx>
        <w:trPr>
          <w:trHeight w:val="628" w:hRule="atLeast"/>
          <w:tblHeader/>
        </w:trPr>
        <w:tc>
          <w:tcPr>
            <w:tcW w:w="4827" w:type="dxa"/>
            <w:tcBorders>
              <w:top w:val="single" w:color="000000" w:sz="18" w:space="0"/>
              <w:bottom w:val="single" w:color="000000" w:sz="12" w:space="0"/>
            </w:tcBorders>
            <w:vAlign w:val="center"/>
          </w:tcPr>
          <w:p w14:paraId="4B290E12">
            <w:pPr>
              <w:pStyle w:val="29"/>
              <w:ind w:left="0" w:leftChars="0" w:firstLine="0" w:firstLineChars="0"/>
              <w:jc w:val="center"/>
              <w:rPr>
                <w:b/>
                <w:bCs/>
              </w:rPr>
            </w:pPr>
            <w:r>
              <w:rPr>
                <w:rFonts w:hint="eastAsia"/>
                <w:b/>
                <w:bCs/>
              </w:rPr>
              <w:t>客户类型</w:t>
            </w:r>
          </w:p>
        </w:tc>
        <w:tc>
          <w:tcPr>
            <w:tcW w:w="1335" w:type="dxa"/>
            <w:tcBorders>
              <w:top w:val="single" w:color="000000" w:sz="18" w:space="0"/>
              <w:bottom w:val="single" w:color="000000" w:sz="12" w:space="0"/>
            </w:tcBorders>
            <w:vAlign w:val="center"/>
          </w:tcPr>
          <w:p w14:paraId="65D9E602">
            <w:pPr>
              <w:pStyle w:val="29"/>
              <w:ind w:left="0" w:leftChars="0" w:firstLine="0" w:firstLineChars="0"/>
              <w:jc w:val="center"/>
              <w:rPr>
                <w:b/>
                <w:bCs/>
              </w:rPr>
            </w:pPr>
            <w:r>
              <w:rPr>
                <w:rFonts w:hint="eastAsia"/>
                <w:b/>
                <w:bCs/>
              </w:rPr>
              <w:t>客户数量</w:t>
            </w:r>
          </w:p>
        </w:tc>
        <w:tc>
          <w:tcPr>
            <w:tcW w:w="1200" w:type="dxa"/>
            <w:tcBorders>
              <w:top w:val="single" w:color="000000" w:sz="18" w:space="0"/>
              <w:bottom w:val="single" w:color="000000" w:sz="12" w:space="0"/>
            </w:tcBorders>
            <w:vAlign w:val="center"/>
          </w:tcPr>
          <w:p w14:paraId="732B9066">
            <w:pPr>
              <w:pStyle w:val="29"/>
              <w:ind w:left="0" w:leftChars="0" w:firstLine="0" w:firstLineChars="0"/>
              <w:jc w:val="center"/>
              <w:rPr>
                <w:b/>
                <w:bCs/>
              </w:rPr>
            </w:pPr>
            <w:r>
              <w:rPr>
                <w:rFonts w:hint="eastAsia"/>
                <w:b/>
                <w:bCs/>
              </w:rPr>
              <w:t>占比</w:t>
            </w:r>
          </w:p>
        </w:tc>
        <w:tc>
          <w:tcPr>
            <w:tcW w:w="1494" w:type="dxa"/>
            <w:tcBorders>
              <w:top w:val="single" w:color="000000" w:sz="18" w:space="0"/>
              <w:bottom w:val="single" w:color="000000" w:sz="12" w:space="0"/>
            </w:tcBorders>
            <w:vAlign w:val="center"/>
          </w:tcPr>
          <w:p w14:paraId="11E88FF9">
            <w:pPr>
              <w:pStyle w:val="29"/>
              <w:ind w:left="0" w:leftChars="0" w:firstLine="0" w:firstLineChars="0"/>
              <w:jc w:val="center"/>
              <w:rPr>
                <w:b/>
                <w:bCs/>
              </w:rPr>
            </w:pPr>
            <w:r>
              <w:rPr>
                <w:rFonts w:hint="eastAsia"/>
                <w:b/>
                <w:bCs/>
              </w:rPr>
              <w:t>业务优先级</w:t>
            </w:r>
          </w:p>
        </w:tc>
      </w:tr>
      <w:tr w14:paraId="0D9FA32A">
        <w:tblPrEx>
          <w:tblCellMar>
            <w:top w:w="0" w:type="dxa"/>
            <w:left w:w="108" w:type="dxa"/>
            <w:bottom w:w="0" w:type="dxa"/>
            <w:right w:w="108" w:type="dxa"/>
          </w:tblCellMar>
        </w:tblPrEx>
        <w:tc>
          <w:tcPr>
            <w:tcW w:w="4827" w:type="dxa"/>
            <w:tcBorders>
              <w:top w:val="single" w:color="000000" w:sz="12" w:space="0"/>
            </w:tcBorders>
            <w:vAlign w:val="center"/>
          </w:tcPr>
          <w:p w14:paraId="0A1B447B">
            <w:pPr>
              <w:pStyle w:val="29"/>
              <w:ind w:left="0" w:leftChars="0" w:firstLine="0" w:firstLineChars="0"/>
              <w:jc w:val="center"/>
            </w:pPr>
            <w:r>
              <w:rPr>
                <w:rFonts w:hint="eastAsia"/>
              </w:rPr>
              <w:t>常规客户（Regular</w:t>
            </w:r>
            <w:r>
              <w:t xml:space="preserve"> </w:t>
            </w:r>
            <w:r>
              <w:rPr>
                <w:rFonts w:hint="eastAsia"/>
              </w:rPr>
              <w:t>Customers）</w:t>
            </w:r>
          </w:p>
        </w:tc>
        <w:tc>
          <w:tcPr>
            <w:tcW w:w="1335" w:type="dxa"/>
            <w:tcBorders>
              <w:top w:val="single" w:color="000000" w:sz="12" w:space="0"/>
            </w:tcBorders>
            <w:vAlign w:val="center"/>
          </w:tcPr>
          <w:p w14:paraId="6E3ED717">
            <w:pPr>
              <w:pStyle w:val="29"/>
              <w:jc w:val="center"/>
            </w:pPr>
            <w:r>
              <w:t>1,677</w:t>
            </w:r>
          </w:p>
        </w:tc>
        <w:tc>
          <w:tcPr>
            <w:tcW w:w="1200" w:type="dxa"/>
            <w:tcBorders>
              <w:top w:val="single" w:color="000000" w:sz="12" w:space="0"/>
            </w:tcBorders>
            <w:vAlign w:val="center"/>
          </w:tcPr>
          <w:p w14:paraId="073646CD">
            <w:pPr>
              <w:pStyle w:val="29"/>
              <w:ind w:left="0" w:leftChars="0" w:firstLine="0" w:firstLineChars="0"/>
              <w:jc w:val="center"/>
            </w:pPr>
            <w:r>
              <w:t>38.8%</w:t>
            </w:r>
          </w:p>
        </w:tc>
        <w:tc>
          <w:tcPr>
            <w:tcW w:w="1494" w:type="dxa"/>
            <w:tcBorders>
              <w:top w:val="single" w:color="000000" w:sz="12" w:space="0"/>
            </w:tcBorders>
            <w:vAlign w:val="center"/>
          </w:tcPr>
          <w:p w14:paraId="0A09BC7B">
            <w:pPr>
              <w:pStyle w:val="29"/>
              <w:ind w:left="0" w:leftChars="0" w:firstLine="0" w:firstLineChars="0"/>
              <w:jc w:val="center"/>
            </w:pPr>
            <w:r>
              <w:rPr>
                <w:rFonts w:hint="eastAsia"/>
              </w:rPr>
              <w:t>维持与提升</w:t>
            </w:r>
          </w:p>
        </w:tc>
      </w:tr>
      <w:tr w14:paraId="1BFDA3D1">
        <w:tblPrEx>
          <w:tblCellMar>
            <w:top w:w="0" w:type="dxa"/>
            <w:left w:w="108" w:type="dxa"/>
            <w:bottom w:w="0" w:type="dxa"/>
            <w:right w:w="108" w:type="dxa"/>
          </w:tblCellMar>
        </w:tblPrEx>
        <w:tc>
          <w:tcPr>
            <w:tcW w:w="4827" w:type="dxa"/>
            <w:vAlign w:val="center"/>
          </w:tcPr>
          <w:p w14:paraId="72F31D0C">
            <w:pPr>
              <w:pStyle w:val="29"/>
              <w:ind w:left="0" w:leftChars="0" w:firstLine="0" w:firstLineChars="0"/>
              <w:jc w:val="center"/>
            </w:pPr>
            <w:r>
              <w:rPr>
                <w:rFonts w:hint="eastAsia"/>
              </w:rPr>
              <w:t>重要风险客户（Important</w:t>
            </w:r>
            <w:r>
              <w:t xml:space="preserve"> at-risk </w:t>
            </w:r>
            <w:r>
              <w:rPr>
                <w:rFonts w:hint="eastAsia"/>
              </w:rPr>
              <w:t>customers）</w:t>
            </w:r>
          </w:p>
        </w:tc>
        <w:tc>
          <w:tcPr>
            <w:tcW w:w="1335" w:type="dxa"/>
            <w:vAlign w:val="center"/>
          </w:tcPr>
          <w:p w14:paraId="735111D6">
            <w:pPr>
              <w:pStyle w:val="29"/>
              <w:jc w:val="center"/>
            </w:pPr>
            <w:r>
              <w:t>1,073</w:t>
            </w:r>
          </w:p>
        </w:tc>
        <w:tc>
          <w:tcPr>
            <w:tcW w:w="1200" w:type="dxa"/>
            <w:vAlign w:val="center"/>
          </w:tcPr>
          <w:p w14:paraId="1FBAAC5A">
            <w:pPr>
              <w:pStyle w:val="29"/>
              <w:ind w:left="0" w:leftChars="0" w:firstLine="0" w:firstLineChars="0"/>
              <w:jc w:val="center"/>
            </w:pPr>
            <w:r>
              <w:t>24.8%</w:t>
            </w:r>
          </w:p>
        </w:tc>
        <w:tc>
          <w:tcPr>
            <w:tcW w:w="1494" w:type="dxa"/>
            <w:vAlign w:val="center"/>
          </w:tcPr>
          <w:p w14:paraId="5FE4E772">
            <w:pPr>
              <w:pStyle w:val="29"/>
              <w:ind w:left="0" w:leftChars="0" w:firstLine="0" w:firstLineChars="0"/>
              <w:jc w:val="center"/>
            </w:pPr>
            <w:r>
              <w:rPr>
                <w:rFonts w:hint="eastAsia"/>
              </w:rPr>
              <w:t>紧急挽留</w:t>
            </w:r>
          </w:p>
        </w:tc>
      </w:tr>
      <w:tr w14:paraId="6CC09C61">
        <w:tblPrEx>
          <w:tblCellMar>
            <w:top w:w="0" w:type="dxa"/>
            <w:left w:w="108" w:type="dxa"/>
            <w:bottom w:w="0" w:type="dxa"/>
            <w:right w:w="108" w:type="dxa"/>
          </w:tblCellMar>
        </w:tblPrEx>
        <w:tc>
          <w:tcPr>
            <w:tcW w:w="4827" w:type="dxa"/>
            <w:vAlign w:val="center"/>
          </w:tcPr>
          <w:p w14:paraId="18743638">
            <w:pPr>
              <w:pStyle w:val="29"/>
              <w:ind w:left="0" w:leftChars="0" w:firstLine="0" w:firstLineChars="0"/>
              <w:jc w:val="center"/>
            </w:pPr>
            <w:r>
              <w:rPr>
                <w:rFonts w:hint="eastAsia"/>
              </w:rPr>
              <w:t>重要价值客户（Important</w:t>
            </w:r>
            <w:r>
              <w:t xml:space="preserve"> Value </w:t>
            </w:r>
            <w:r>
              <w:rPr>
                <w:rFonts w:hint="eastAsia"/>
              </w:rPr>
              <w:t>Customers）</w:t>
            </w:r>
          </w:p>
        </w:tc>
        <w:tc>
          <w:tcPr>
            <w:tcW w:w="1335" w:type="dxa"/>
            <w:vAlign w:val="center"/>
          </w:tcPr>
          <w:p w14:paraId="1DCAED59">
            <w:pPr>
              <w:pStyle w:val="29"/>
              <w:jc w:val="center"/>
            </w:pPr>
            <w:r>
              <w:t>945</w:t>
            </w:r>
          </w:p>
        </w:tc>
        <w:tc>
          <w:tcPr>
            <w:tcW w:w="1200" w:type="dxa"/>
            <w:vAlign w:val="center"/>
          </w:tcPr>
          <w:p w14:paraId="28BC8B0C">
            <w:pPr>
              <w:pStyle w:val="29"/>
              <w:ind w:left="0" w:leftChars="0" w:firstLine="0" w:firstLineChars="0"/>
              <w:jc w:val="center"/>
            </w:pPr>
            <w:r>
              <w:t>21.9%</w:t>
            </w:r>
          </w:p>
        </w:tc>
        <w:tc>
          <w:tcPr>
            <w:tcW w:w="1494" w:type="dxa"/>
            <w:vAlign w:val="center"/>
          </w:tcPr>
          <w:p w14:paraId="661E8496">
            <w:pPr>
              <w:pStyle w:val="29"/>
              <w:ind w:left="0" w:leftChars="0" w:firstLine="0" w:firstLineChars="0"/>
              <w:jc w:val="center"/>
            </w:pPr>
            <w:r>
              <w:rPr>
                <w:rFonts w:hint="eastAsia"/>
              </w:rPr>
              <w:t>重点维护</w:t>
            </w:r>
          </w:p>
        </w:tc>
      </w:tr>
      <w:tr w14:paraId="1516809B">
        <w:tblPrEx>
          <w:tblCellMar>
            <w:top w:w="0" w:type="dxa"/>
            <w:left w:w="108" w:type="dxa"/>
            <w:bottom w:w="0" w:type="dxa"/>
            <w:right w:w="108" w:type="dxa"/>
          </w:tblCellMar>
        </w:tblPrEx>
        <w:tc>
          <w:tcPr>
            <w:tcW w:w="4827" w:type="dxa"/>
            <w:vAlign w:val="center"/>
          </w:tcPr>
          <w:p w14:paraId="71AD55D4">
            <w:pPr>
              <w:pStyle w:val="29"/>
              <w:ind w:left="0" w:leftChars="0" w:firstLine="0" w:firstLineChars="0"/>
              <w:jc w:val="center"/>
            </w:pPr>
            <w:r>
              <w:rPr>
                <w:rFonts w:hint="eastAsia"/>
              </w:rPr>
              <w:t>重要发展客户（Important</w:t>
            </w:r>
            <w:r>
              <w:t xml:space="preserve"> development </w:t>
            </w:r>
            <w:r>
              <w:rPr>
                <w:rFonts w:hint="eastAsia"/>
              </w:rPr>
              <w:t>clients）</w:t>
            </w:r>
          </w:p>
        </w:tc>
        <w:tc>
          <w:tcPr>
            <w:tcW w:w="1335" w:type="dxa"/>
            <w:vAlign w:val="center"/>
          </w:tcPr>
          <w:p w14:paraId="123801F5">
            <w:pPr>
              <w:pStyle w:val="29"/>
              <w:jc w:val="center"/>
            </w:pPr>
            <w:r>
              <w:t>311</w:t>
            </w:r>
          </w:p>
        </w:tc>
        <w:tc>
          <w:tcPr>
            <w:tcW w:w="1200" w:type="dxa"/>
            <w:vAlign w:val="center"/>
          </w:tcPr>
          <w:p w14:paraId="7B8DC01B">
            <w:pPr>
              <w:pStyle w:val="29"/>
              <w:ind w:left="0" w:leftChars="0" w:firstLine="0" w:firstLineChars="0"/>
              <w:jc w:val="center"/>
            </w:pPr>
            <w:r>
              <w:t>7.2%</w:t>
            </w:r>
          </w:p>
        </w:tc>
        <w:tc>
          <w:tcPr>
            <w:tcW w:w="1494" w:type="dxa"/>
            <w:vAlign w:val="center"/>
          </w:tcPr>
          <w:p w14:paraId="5C8E18CB">
            <w:pPr>
              <w:pStyle w:val="29"/>
              <w:ind w:left="0" w:leftChars="0" w:firstLine="0" w:firstLineChars="0"/>
              <w:jc w:val="center"/>
            </w:pPr>
            <w:r>
              <w:rPr>
                <w:rFonts w:hint="eastAsia"/>
              </w:rPr>
              <w:t>潜力激活</w:t>
            </w:r>
          </w:p>
        </w:tc>
      </w:tr>
      <w:tr w14:paraId="01D9C93A">
        <w:tblPrEx>
          <w:tblCellMar>
            <w:top w:w="0" w:type="dxa"/>
            <w:left w:w="108" w:type="dxa"/>
            <w:bottom w:w="0" w:type="dxa"/>
            <w:right w:w="108" w:type="dxa"/>
          </w:tblCellMar>
        </w:tblPrEx>
        <w:tc>
          <w:tcPr>
            <w:tcW w:w="4827" w:type="dxa"/>
            <w:vAlign w:val="center"/>
          </w:tcPr>
          <w:p w14:paraId="3816D1FD">
            <w:pPr>
              <w:pStyle w:val="29"/>
              <w:ind w:left="0" w:leftChars="0" w:firstLine="0" w:firstLineChars="0"/>
              <w:jc w:val="center"/>
            </w:pPr>
            <w:r>
              <w:rPr>
                <w:rFonts w:hint="eastAsia"/>
              </w:rPr>
              <w:t>重要留存客户（Important</w:t>
            </w:r>
            <w:r>
              <w:t xml:space="preserve"> retain </w:t>
            </w:r>
            <w:r>
              <w:rPr>
                <w:rFonts w:hint="eastAsia"/>
              </w:rPr>
              <w:t>customers）</w:t>
            </w:r>
          </w:p>
        </w:tc>
        <w:tc>
          <w:tcPr>
            <w:tcW w:w="1335" w:type="dxa"/>
            <w:vAlign w:val="center"/>
          </w:tcPr>
          <w:p w14:paraId="373811F8">
            <w:pPr>
              <w:pStyle w:val="29"/>
              <w:jc w:val="center"/>
            </w:pPr>
            <w:r>
              <w:t>170</w:t>
            </w:r>
          </w:p>
        </w:tc>
        <w:tc>
          <w:tcPr>
            <w:tcW w:w="1200" w:type="dxa"/>
            <w:vAlign w:val="center"/>
          </w:tcPr>
          <w:p w14:paraId="3D7C4171">
            <w:pPr>
              <w:pStyle w:val="29"/>
              <w:ind w:left="0" w:leftChars="0" w:firstLine="0" w:firstLineChars="0"/>
              <w:jc w:val="center"/>
            </w:pPr>
            <w:r>
              <w:t>3.9%</w:t>
            </w:r>
          </w:p>
        </w:tc>
        <w:tc>
          <w:tcPr>
            <w:tcW w:w="1494" w:type="dxa"/>
            <w:vAlign w:val="center"/>
          </w:tcPr>
          <w:p w14:paraId="4D52E5AB">
            <w:pPr>
              <w:pStyle w:val="29"/>
              <w:ind w:left="0" w:leftChars="0" w:firstLine="0" w:firstLineChars="0"/>
              <w:jc w:val="center"/>
            </w:pPr>
            <w:r>
              <w:rPr>
                <w:rFonts w:hint="eastAsia"/>
              </w:rPr>
              <w:t>召回唤醒</w:t>
            </w:r>
          </w:p>
        </w:tc>
      </w:tr>
      <w:tr w14:paraId="1500EBFE">
        <w:tblPrEx>
          <w:tblCellMar>
            <w:top w:w="0" w:type="dxa"/>
            <w:left w:w="108" w:type="dxa"/>
            <w:bottom w:w="0" w:type="dxa"/>
            <w:right w:w="108" w:type="dxa"/>
          </w:tblCellMar>
        </w:tblPrEx>
        <w:tc>
          <w:tcPr>
            <w:tcW w:w="4827" w:type="dxa"/>
            <w:tcBorders>
              <w:bottom w:val="single" w:color="000000" w:sz="18" w:space="0"/>
            </w:tcBorders>
            <w:vAlign w:val="center"/>
          </w:tcPr>
          <w:p w14:paraId="18A35B1E">
            <w:pPr>
              <w:pStyle w:val="29"/>
              <w:ind w:left="0" w:leftChars="0" w:firstLine="0" w:firstLineChars="0"/>
              <w:jc w:val="center"/>
            </w:pPr>
            <w:r>
              <w:rPr>
                <w:rFonts w:hint="eastAsia"/>
              </w:rPr>
              <w:t>普通价值客户（General</w:t>
            </w:r>
            <w:r>
              <w:t xml:space="preserve"> Value </w:t>
            </w:r>
            <w:r>
              <w:rPr>
                <w:rFonts w:hint="eastAsia"/>
              </w:rPr>
              <w:t>Customers）</w:t>
            </w:r>
          </w:p>
        </w:tc>
        <w:tc>
          <w:tcPr>
            <w:tcW w:w="1335" w:type="dxa"/>
            <w:tcBorders>
              <w:bottom w:val="single" w:color="000000" w:sz="18" w:space="0"/>
            </w:tcBorders>
            <w:vAlign w:val="center"/>
          </w:tcPr>
          <w:p w14:paraId="200583FA">
            <w:pPr>
              <w:pStyle w:val="29"/>
              <w:jc w:val="center"/>
            </w:pPr>
            <w:r>
              <w:t>145</w:t>
            </w:r>
          </w:p>
        </w:tc>
        <w:tc>
          <w:tcPr>
            <w:tcW w:w="1200" w:type="dxa"/>
            <w:tcBorders>
              <w:bottom w:val="single" w:color="000000" w:sz="18" w:space="0"/>
            </w:tcBorders>
            <w:vAlign w:val="center"/>
          </w:tcPr>
          <w:p w14:paraId="18AE5C13">
            <w:pPr>
              <w:pStyle w:val="29"/>
              <w:ind w:left="0" w:leftChars="0" w:firstLine="0" w:firstLineChars="0"/>
              <w:jc w:val="center"/>
            </w:pPr>
            <w:r>
              <w:t>3.4%</w:t>
            </w:r>
          </w:p>
        </w:tc>
        <w:tc>
          <w:tcPr>
            <w:tcW w:w="1494" w:type="dxa"/>
            <w:tcBorders>
              <w:bottom w:val="single" w:color="000000" w:sz="18" w:space="0"/>
            </w:tcBorders>
            <w:vAlign w:val="center"/>
          </w:tcPr>
          <w:p w14:paraId="693470D1">
            <w:pPr>
              <w:pStyle w:val="29"/>
              <w:ind w:left="0" w:leftChars="0" w:firstLine="0" w:firstLineChars="0"/>
              <w:jc w:val="center"/>
            </w:pPr>
            <w:r>
              <w:rPr>
                <w:rFonts w:hint="eastAsia"/>
              </w:rPr>
              <w:t>观察或降级</w:t>
            </w:r>
          </w:p>
        </w:tc>
      </w:tr>
      <w:bookmarkEnd w:id="48"/>
    </w:tbl>
    <w:p w14:paraId="7DF6D5F2">
      <w:pPr>
        <w:pStyle w:val="5"/>
      </w:pPr>
      <w:bookmarkStart w:id="50" w:name="Xf92bd84c19211c3d8dd4122c398bff83698d979"/>
      <w:r>
        <w:t xml:space="preserve">3.2.3 </w:t>
      </w:r>
      <w:r>
        <w:rPr>
          <w:rFonts w:hint="eastAsia"/>
        </w:rPr>
        <w:t>各类型画像解读</w:t>
      </w:r>
    </w:p>
    <w:p w14:paraId="78DECBCE">
      <w:pPr>
        <w:pStyle w:val="28"/>
      </w:pPr>
      <w:r>
        <w:rPr>
          <w:rFonts w:hint="eastAsia"/>
          <w:b/>
          <w:bCs/>
        </w:rPr>
        <w:t>重要价值客户（945人，21.9%）。</w:t>
      </w:r>
      <w:r>
        <w:t xml:space="preserve"> </w:t>
      </w:r>
      <w:r>
        <w:rPr>
          <w:rFonts w:hint="eastAsia"/>
        </w:rPr>
        <w:t>该群体的R、F、M三项得分均高于均值，呈现出高活跃、高忠诚、高消费的三高特征。从明细数据看，客户12347（R=2天、F=7次、M=4,119英镑）、客户12362（R=3天、F=10次、M=4,512英镑）等均属此类。他们是企业收入的核心贡献者，与K-means中的Cluster</w:t>
      </w:r>
      <w:r>
        <w:t xml:space="preserve"> </w:t>
      </w:r>
      <w:r>
        <w:rPr>
          <w:rFonts w:hint="eastAsia"/>
        </w:rPr>
        <w:t>2和Cluster</w:t>
      </w:r>
      <w:r>
        <w:t xml:space="preserve"> </w:t>
      </w:r>
      <w:r>
        <w:rPr>
          <w:rFonts w:hint="eastAsia"/>
        </w:rPr>
        <w:t>3高度重叠。针对该群体，应配置专属客户经理、优先新品体验权、阶梯返利等VIP权益，以锁定长期合作关系。</w:t>
      </w:r>
    </w:p>
    <w:p w14:paraId="4E583B34">
      <w:pPr>
        <w:pStyle w:val="3"/>
      </w:pPr>
      <w:r>
        <w:rPr>
          <w:rFonts w:hint="eastAsia"/>
          <w:b/>
          <w:bCs/>
        </w:rPr>
        <w:t>重要风险客户（1,073人，24.8%）。</w:t>
      </w:r>
      <w:r>
        <w:t xml:space="preserve"> </w:t>
      </w:r>
      <w:r>
        <w:rPr>
          <w:rFonts w:hint="eastAsia"/>
        </w:rPr>
        <w:t>这是RFM模型揭示出的最需要关注的群体。该群体以"历史高Monetary、低R_Score"为典型特征，即曾经消费金额较高但近期未再购买。例如客户12346（R=326天、F=1次、M=77,184英镑）、客户12350（R=310天、F=1次、M=294英镑）等，虽然个体消费金额差异较大，但共同的特征是Recency偏高。值得注意的是，部分客户历史消费金额极高（如77,184英镑），一旦流失将造成重大损失。该群体占比接近四分之一，且人数超过重要价值客户，表明企业在客户留存方面存在显著压力。需立即启动定向召回策略，如专属优惠券、限时折扣、老客专享新品等。</w:t>
      </w:r>
    </w:p>
    <w:p w14:paraId="071F932F">
      <w:pPr>
        <w:pStyle w:val="3"/>
      </w:pPr>
      <w:r>
        <w:rPr>
          <w:rFonts w:hint="eastAsia"/>
          <w:b/>
          <w:bCs/>
        </w:rPr>
        <w:t>常规客户（1,677人，38.8%）。</w:t>
      </w:r>
      <w:r>
        <w:t xml:space="preserve"> </w:t>
      </w:r>
      <w:r>
        <w:rPr>
          <w:rFonts w:hint="eastAsia"/>
        </w:rPr>
        <w:t>这是体量最大的群体，其RFM得分处于中等水平，表现为"有复购但不频繁、消费金额中等"。例如客户12348（R=75天、F=4次、M=1,437英镑）、客户12360（R=52天、F=3次、M=1,931英镑）等。该群体是企业的基本盘，也是向上迁移的主力池。运营重点在于通过会员积分、满额赠礼、采购周期提醒等方式，稳步提升其购买频次与客单价。</w:t>
      </w:r>
    </w:p>
    <w:p w14:paraId="61191750">
      <w:pPr>
        <w:pStyle w:val="3"/>
      </w:pPr>
      <w:r>
        <w:rPr>
          <w:rFonts w:hint="eastAsia"/>
          <w:b/>
          <w:bCs/>
        </w:rPr>
        <w:t>重要发展客户（311人，7.2%）。</w:t>
      </w:r>
      <w:r>
        <w:t xml:space="preserve"> </w:t>
      </w:r>
      <w:r>
        <w:rPr>
          <w:rFonts w:hint="eastAsia"/>
        </w:rPr>
        <w:t>该群体近期有购买行为（R_Score高），且消费金额较高（M_Score高），但购买频次偏低（F_Score低）。例如客户12349（R=19天、F=1次、M=1,329英镑）、客户12357（R=33天、F=1次、M=5,961英镑）。这些客户属于"高价值潜力股"，可能是一次性大宗采购或新签约批发商。策略上应加强客户教育，引导其建立定期采购习惯，如推出"复购折扣"或"周期订购"服务，将其转化为高频忠诚客户。</w:t>
      </w:r>
    </w:p>
    <w:p w14:paraId="3BC3EC62">
      <w:pPr>
        <w:pStyle w:val="3"/>
      </w:pPr>
      <w:r>
        <w:rPr>
          <w:rFonts w:hint="eastAsia"/>
          <w:b/>
          <w:bCs/>
        </w:rPr>
        <w:t>重要留存客户（170人，3.9%）。</w:t>
      </w:r>
      <w:r>
        <w:t xml:space="preserve"> </w:t>
      </w:r>
      <w:r>
        <w:rPr>
          <w:rFonts w:hint="eastAsia"/>
        </w:rPr>
        <w:t>该群体历史频次较高（F_Score高）、消费金额尚可（M_Score高），但最近购买时间较远（R_Score低）。例如客户12383（R=185天、F=5次、M=1,603英镑）、客户12853（R=143天、F=6次、M=1,804英镑）。他们曾是稳定采购的批发商，可能因季节性原因或竞品分流而暂时沉寂。对此群体应进行温和召回，如发送"您常购的商品已补货"提醒，或针对其历史偏好推送关联商品。</w:t>
      </w:r>
    </w:p>
    <w:p w14:paraId="38C48D85">
      <w:pPr>
        <w:pStyle w:val="3"/>
      </w:pPr>
      <w:r>
        <w:rPr>
          <w:rFonts w:hint="eastAsia"/>
          <w:b/>
          <w:bCs/>
        </w:rPr>
        <w:t>普通价值客户（145人，3.4%）。</w:t>
      </w:r>
      <w:r>
        <w:t xml:space="preserve"> </w:t>
      </w:r>
      <w:r>
        <w:rPr>
          <w:rFonts w:hint="eastAsia"/>
        </w:rPr>
        <w:t>该群体近期活跃且频次尚可，但消费金额始终较低。例如客户12464（R=10天、F=7次、M=213英镑）。这类客户可能是小规模零售商或</w:t>
      </w:r>
      <w:r>
        <w:t xml:space="preserve"> sporadic </w:t>
      </w:r>
      <w:r>
        <w:rPr>
          <w:rFonts w:hint="eastAsia"/>
        </w:rPr>
        <w:t>采购者。策略上可通过捆绑销售、满额升级等机制提升其客单价，若提升空间有限则可降低维护成本，以自动化营销替代人工服务。</w:t>
      </w:r>
    </w:p>
    <w:bookmarkEnd w:id="50"/>
    <w:p w14:paraId="1427F74E">
      <w:pPr>
        <w:pStyle w:val="5"/>
      </w:pPr>
      <w:bookmarkStart w:id="51" w:name="X9da4f6a73b1ced81a132c016337fedef004ddd5"/>
      <w:r>
        <w:t xml:space="preserve">3.2.4 </w:t>
      </w:r>
      <w:r>
        <w:rPr>
          <w:rFonts w:hint="eastAsia"/>
        </w:rPr>
        <w:t>K-means与RFM的交叉验证</w:t>
      </w:r>
    </w:p>
    <w:p w14:paraId="4E31CFD1">
      <w:pPr>
        <w:pStyle w:val="28"/>
      </w:pPr>
      <w:r>
        <w:rPr>
          <w:rFonts w:hint="eastAsia"/>
        </w:rPr>
        <w:t>对比K-means聚类（4簇）与RFM分层（6类型）的结果，两者呈现出高度一致的逻辑互补性。K-means的Cluster</w:t>
      </w:r>
      <w:r>
        <w:t xml:space="preserve"> </w:t>
      </w:r>
      <w:r>
        <w:rPr>
          <w:rFonts w:hint="eastAsia"/>
        </w:rPr>
        <w:t>3（顶级VIP）和Cluster</w:t>
      </w:r>
      <w:r>
        <w:t xml:space="preserve"> </w:t>
      </w:r>
      <w:r>
        <w:rPr>
          <w:rFonts w:hint="eastAsia"/>
        </w:rPr>
        <w:t>2（高价值忠诚）在RFM中主要对应"重要价值客户"；K-means的Cluster</w:t>
      </w:r>
      <w:r>
        <w:t xml:space="preserve"> </w:t>
      </w:r>
      <w:r>
        <w:rPr>
          <w:rFonts w:hint="eastAsia"/>
        </w:rPr>
        <w:t>0（流失风险）在RFM中主要对应"重要风险客户"和"重要留存客户"；K-means的Cluster</w:t>
      </w:r>
      <w:r>
        <w:t xml:space="preserve"> </w:t>
      </w:r>
      <w:r>
        <w:rPr>
          <w:rFonts w:hint="eastAsia"/>
        </w:rPr>
        <w:t>1（中坚潜力）则大量分布在"常规客户"和"重要发展客户"中。RFM分层通过业务规则提供了更细粒度的语义标签，而K-means通过距离聚类揭示了数据驱动的自然簇结构。两种方法交叉验证，增强了客户分群结论的稳健性。</w:t>
      </w:r>
    </w:p>
    <w:bookmarkEnd w:id="45"/>
    <w:bookmarkEnd w:id="51"/>
    <w:p w14:paraId="7C244697">
      <w:pPr>
        <w:pStyle w:val="4"/>
      </w:pPr>
      <w:bookmarkStart w:id="52" w:name="_Toc22505"/>
      <w:bookmarkStart w:id="53" w:name="Xed34c4d5168a1e19206a45ff038c348f8a74679"/>
      <w:r>
        <w:t xml:space="preserve">3.3 </w:t>
      </w:r>
      <w:r>
        <w:rPr>
          <w:rFonts w:hint="eastAsia"/>
        </w:rPr>
        <w:t>基于BCG矩阵的商品分类分析</w:t>
      </w:r>
      <w:bookmarkEnd w:id="52"/>
    </w:p>
    <w:p w14:paraId="6C6B6B78">
      <w:pPr>
        <w:pStyle w:val="5"/>
      </w:pPr>
      <w:bookmarkStart w:id="54" w:name="X528a27a5e8231ecbbbea0ff92cd857f0bf91d7a"/>
      <w:r>
        <w:t xml:space="preserve">3.3.1 </w:t>
      </w:r>
      <w:r>
        <w:rPr>
          <w:rFonts w:hint="eastAsia"/>
        </w:rPr>
        <w:t>分析框架</w:t>
      </w:r>
    </w:p>
    <w:p w14:paraId="22B77843">
      <w:pPr>
        <w:pStyle w:val="28"/>
      </w:pPr>
      <w:r>
        <w:rPr>
          <w:rFonts w:hint="eastAsia"/>
        </w:rPr>
        <w:t>波士顿矩阵（BCG</w:t>
      </w:r>
      <w:r>
        <w:t xml:space="preserve"> </w:t>
      </w:r>
      <w:r>
        <w:rPr>
          <w:rFonts w:hint="eastAsia"/>
        </w:rPr>
        <w:t>Matrix）是经典的商品战略分析工具，本研究将其应用于商品（StockCode）维度，以相对市场份额（Relative</w:t>
      </w:r>
      <w:r>
        <w:t xml:space="preserve"> Market </w:t>
      </w:r>
      <w:r>
        <w:rPr>
          <w:rFonts w:hint="eastAsia"/>
        </w:rPr>
        <w:t>Share）为横轴、销售增长率（Sales</w:t>
      </w:r>
      <w:r>
        <w:t xml:space="preserve"> Growth </w:t>
      </w:r>
      <w:r>
        <w:rPr>
          <w:rFonts w:hint="eastAsia"/>
        </w:rPr>
        <w:t>Rate）为纵轴，将全部商品划分为四个战略象限</w:t>
      </w:r>
      <w:r>
        <w:rPr>
          <w:rFonts w:hint="eastAsia"/>
          <w:vertAlign w:val="superscript"/>
          <w:lang w:eastAsia="zh-CN"/>
        </w:rPr>
        <w:fldChar w:fldCharType="begin"/>
      </w:r>
      <w:r>
        <w:rPr>
          <w:rFonts w:hint="eastAsia"/>
          <w:vertAlign w:val="superscript"/>
          <w:lang w:eastAsia="zh-CN"/>
        </w:rPr>
        <w:instrText xml:space="preserve"> REF _Ref16521 \r \h </w:instrText>
      </w:r>
      <w:r>
        <w:rPr>
          <w:rFonts w:hint="eastAsia"/>
          <w:vertAlign w:val="superscript"/>
          <w:lang w:eastAsia="zh-CN"/>
        </w:rPr>
        <w:fldChar w:fldCharType="separate"/>
      </w:r>
      <w:r>
        <w:rPr>
          <w:rFonts w:hint="eastAsia"/>
          <w:vertAlign w:val="superscript"/>
          <w:lang w:eastAsia="zh-CN"/>
        </w:rPr>
        <w:t>[4]</w:t>
      </w:r>
      <w:r>
        <w:rPr>
          <w:rFonts w:hint="eastAsia"/>
          <w:vertAlign w:val="superscript"/>
          <w:lang w:eastAsia="zh-CN"/>
        </w:rPr>
        <w:fldChar w:fldCharType="end"/>
      </w:r>
      <w:r>
        <w:rPr>
          <w:rFonts w:hint="eastAsia"/>
        </w:rPr>
        <w:t>：</w:t>
      </w:r>
    </w:p>
    <w:p w14:paraId="09A1D5E4">
      <w:pPr>
        <w:numPr>
          <w:ilvl w:val="0"/>
          <w:numId w:val="1"/>
        </w:numPr>
      </w:pPr>
      <w:r>
        <w:rPr>
          <w:rFonts w:hint="eastAsia"/>
          <w:b/>
          <w:bCs/>
        </w:rPr>
        <w:t>明星产品（Star）：</w:t>
      </w:r>
      <w:r>
        <w:t xml:space="preserve"> </w:t>
      </w:r>
      <w:r>
        <w:rPr>
          <w:rFonts w:hint="eastAsia"/>
        </w:rPr>
        <w:t>高市场份额、高增长，是企业未来的核心引擎；</w:t>
      </w:r>
    </w:p>
    <w:p w14:paraId="4770E094">
      <w:pPr>
        <w:numPr>
          <w:ilvl w:val="0"/>
          <w:numId w:val="1"/>
        </w:numPr>
      </w:pPr>
      <w:r>
        <w:rPr>
          <w:rFonts w:hint="eastAsia"/>
          <w:b/>
          <w:bCs/>
        </w:rPr>
        <w:t>现金牛产品（Cash</w:t>
      </w:r>
      <w:r>
        <w:rPr>
          <w:b/>
          <w:bCs/>
        </w:rPr>
        <w:t xml:space="preserve"> </w:t>
      </w:r>
      <w:r>
        <w:rPr>
          <w:rFonts w:hint="eastAsia"/>
          <w:b/>
          <w:bCs/>
        </w:rPr>
        <w:t>Cow）：</w:t>
      </w:r>
      <w:r>
        <w:t xml:space="preserve"> </w:t>
      </w:r>
      <w:r>
        <w:rPr>
          <w:rFonts w:hint="eastAsia"/>
        </w:rPr>
        <w:t>高市场份额、低增长，是当期现金流的主要贡献者；</w:t>
      </w:r>
    </w:p>
    <w:p w14:paraId="7F12FBAD">
      <w:pPr>
        <w:numPr>
          <w:ilvl w:val="0"/>
          <w:numId w:val="1"/>
        </w:numPr>
      </w:pPr>
      <w:r>
        <w:rPr>
          <w:rFonts w:hint="eastAsia"/>
          <w:b/>
          <w:bCs/>
        </w:rPr>
        <w:t>问题产品（Question）：</w:t>
      </w:r>
      <w:r>
        <w:t xml:space="preserve"> </w:t>
      </w:r>
      <w:r>
        <w:rPr>
          <w:rFonts w:hint="eastAsia"/>
        </w:rPr>
        <w:t>低市场份额、高增长，需判断是否具有培育潜力；</w:t>
      </w:r>
    </w:p>
    <w:p w14:paraId="4047C08B">
      <w:pPr>
        <w:numPr>
          <w:ilvl w:val="0"/>
          <w:numId w:val="1"/>
        </w:numPr>
      </w:pPr>
      <w:r>
        <w:rPr>
          <w:rFonts w:hint="eastAsia"/>
          <w:b/>
          <w:bCs/>
        </w:rPr>
        <w:t>瘦狗产品（Dog）：</w:t>
      </w:r>
      <w:r>
        <w:t xml:space="preserve"> </w:t>
      </w:r>
      <w:r>
        <w:rPr>
          <w:rFonts w:hint="eastAsia"/>
        </w:rPr>
        <w:t>低市场份额、低增长，考虑淘汰或最小化投入。</w:t>
      </w:r>
    </w:p>
    <w:p w14:paraId="425A7F15">
      <w:pPr>
        <w:pStyle w:val="28"/>
      </w:pPr>
      <w:r>
        <w:rPr>
          <w:rFonts w:hint="eastAsia"/>
        </w:rPr>
        <w:t>相对市场份额以各商品销量除以最高销量商品（StockCode</w:t>
      </w:r>
      <w:r>
        <w:t xml:space="preserve"> </w:t>
      </w:r>
      <w:r>
        <w:rPr>
          <w:rFonts w:hint="eastAsia"/>
        </w:rPr>
        <w:t>21212，销量33,670）为基准计算；销售增长率以时间中点为界（即分为上半年和下半年），对比前后两期的销量变化。</w:t>
      </w:r>
    </w:p>
    <w:bookmarkEnd w:id="54"/>
    <w:p w14:paraId="1987B323">
      <w:pPr>
        <w:pStyle w:val="5"/>
      </w:pPr>
      <w:bookmarkStart w:id="55" w:name="X697132c54be0acb7a9d2ba531d3545aff6b53c4"/>
      <w:r>
        <w:t xml:space="preserve">3.3.2 </w:t>
      </w:r>
      <w:r>
        <w:rPr>
          <w:rFonts w:hint="eastAsia"/>
        </w:rPr>
        <w:t>矩阵分布概览</w:t>
      </w:r>
    </w:p>
    <w:p w14:paraId="6EDFE107">
      <w:pPr>
        <w:pStyle w:val="28"/>
      </w:pPr>
      <w:r>
        <w:drawing>
          <wp:inline distT="0" distB="0" distL="114300" distR="114300">
            <wp:extent cx="5334000" cy="4267200"/>
            <wp:effectExtent l="0" t="0" r="0" b="0"/>
            <wp:docPr id="62"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title="fig:"/>
                    <pic:cNvPicPr>
                      <a:picLocks noChangeAspect="1" noChangeArrowheads="1"/>
                    </pic:cNvPicPr>
                  </pic:nvPicPr>
                  <pic:blipFill>
                    <a:blip r:embed="rId15"/>
                    <a:stretch>
                      <a:fillRect/>
                    </a:stretch>
                  </pic:blipFill>
                  <pic:spPr>
                    <a:xfrm>
                      <a:off x="0" y="0"/>
                      <a:ext cx="5334000" cy="4267200"/>
                    </a:xfrm>
                    <a:prstGeom prst="rect">
                      <a:avLst/>
                    </a:prstGeom>
                    <a:noFill/>
                    <a:ln w="9525">
                      <a:noFill/>
                    </a:ln>
                  </pic:spPr>
                </pic:pic>
              </a:graphicData>
            </a:graphic>
          </wp:inline>
        </w:drawing>
      </w:r>
    </w:p>
    <w:p w14:paraId="21FAA69A">
      <w:pPr>
        <w:pStyle w:val="12"/>
        <w:rPr>
          <w:rFonts w:hint="eastAsia" w:eastAsia="宋体"/>
          <w:lang w:val="en-US" w:eastAsia="zh-CN"/>
        </w:rPr>
      </w:pPr>
      <w:bookmarkStart w:id="56" w:name="_Ref21148"/>
      <w:r>
        <w:t xml:space="preserve">图 </w:t>
      </w:r>
      <w:r>
        <w:fldChar w:fldCharType="begin"/>
      </w:r>
      <w:r>
        <w:instrText xml:space="preserve"> SEQ 图 \* ARABIC </w:instrText>
      </w:r>
      <w:r>
        <w:fldChar w:fldCharType="separate"/>
      </w:r>
      <w:r>
        <w:t>9</w:t>
      </w:r>
      <w:r>
        <w:fldChar w:fldCharType="end"/>
      </w:r>
      <w:r>
        <w:rPr>
          <w:rFonts w:hint="eastAsia"/>
          <w:lang w:val="en-US" w:eastAsia="zh-CN"/>
        </w:rPr>
        <w:t xml:space="preserve"> Product BCG Matrix</w:t>
      </w:r>
      <w:bookmarkEnd w:id="56"/>
    </w:p>
    <w:p w14:paraId="2B037F44">
      <w:pPr>
        <w:pStyle w:val="3"/>
      </w:pPr>
      <w:r>
        <w:rPr>
          <w:rFonts w:hint="eastAsia"/>
        </w:rPr>
        <w:t>从BCG矩阵的散点分布图(</w:t>
      </w:r>
      <w:r>
        <w:rPr>
          <w:rFonts w:hint="eastAsia"/>
          <w:lang w:eastAsia="zh-CN"/>
        </w:rPr>
        <w:fldChar w:fldCharType="begin"/>
      </w:r>
      <w:r>
        <w:rPr>
          <w:rFonts w:hint="eastAsia"/>
          <w:lang w:eastAsia="zh-CN"/>
        </w:rPr>
        <w:instrText xml:space="preserve"> REF _Ref21148 \h </w:instrText>
      </w:r>
      <w:r>
        <w:rPr>
          <w:rFonts w:hint="eastAsia"/>
          <w:lang w:eastAsia="zh-CN"/>
        </w:rPr>
        <w:fldChar w:fldCharType="separate"/>
      </w:r>
      <w:r>
        <w:t>图 9</w:t>
      </w:r>
      <w:r>
        <w:rPr>
          <w:rFonts w:hint="eastAsia"/>
          <w:lang w:val="en-US" w:eastAsia="zh-CN"/>
        </w:rPr>
        <w:t xml:space="preserve"> Product BCG Matrix</w:t>
      </w:r>
      <w:r>
        <w:rPr>
          <w:rFonts w:hint="eastAsia"/>
          <w:lang w:eastAsia="zh-CN"/>
        </w:rPr>
        <w:fldChar w:fldCharType="end"/>
      </w:r>
      <w:r>
        <w:rPr>
          <w:rFonts w:hint="eastAsia"/>
        </w:rPr>
        <w:t>)来看，企业的商品结构呈现出几个显著特征：</w:t>
      </w:r>
    </w:p>
    <w:p w14:paraId="13255A47">
      <w:pPr>
        <w:pStyle w:val="3"/>
      </w:pPr>
      <w:r>
        <w:rPr>
          <w:rFonts w:hint="eastAsia"/>
          <w:b/>
          <w:bCs/>
        </w:rPr>
        <w:t>现金牛产品（Cash</w:t>
      </w:r>
      <w:r>
        <w:rPr>
          <w:b/>
          <w:bCs/>
        </w:rPr>
        <w:t xml:space="preserve"> </w:t>
      </w:r>
      <w:r>
        <w:rPr>
          <w:rFonts w:hint="eastAsia"/>
          <w:b/>
          <w:bCs/>
        </w:rPr>
        <w:t>Cow）占据绝对主导。</w:t>
      </w:r>
      <w:r>
        <w:t xml:space="preserve"> </w:t>
      </w:r>
      <w:r>
        <w:rPr>
          <w:rFonts w:hint="eastAsia"/>
        </w:rPr>
        <w:t>大量商品集中在矩阵的右下角，即高相对市场份额、负增长或低增长区域。典型的现金牛包括StockCode</w:t>
      </w:r>
      <w:r>
        <w:t xml:space="preserve"> </w:t>
      </w:r>
      <w:r>
        <w:rPr>
          <w:rFonts w:hint="eastAsia"/>
        </w:rPr>
        <w:t>21212（相对份额0.416，销量33,670）、StockCode</w:t>
      </w:r>
      <w:r>
        <w:t xml:space="preserve"> </w:t>
      </w:r>
      <w:r>
        <w:rPr>
          <w:rFonts w:hint="eastAsia"/>
        </w:rPr>
        <w:t>17003（相对份额0.283，销量22,927）、StockCode</w:t>
      </w:r>
      <w:r>
        <w:t xml:space="preserve"> </w:t>
      </w:r>
      <w:r>
        <w:rPr>
          <w:rFonts w:hint="eastAsia"/>
        </w:rPr>
        <w:t>15036（相对份额0.270，销量21,876）、StockCode</w:t>
      </w:r>
      <w:r>
        <w:t xml:space="preserve"> </w:t>
      </w:r>
      <w:r>
        <w:rPr>
          <w:rFonts w:hint="eastAsia"/>
        </w:rPr>
        <w:t>20725（相对份额0.219，销量17,776）等。这些商品是企业的成熟爆款，已经建立了稳定的市场地位，虽然增长趋于饱和，但持续贡献着大量销售和现金流。对这类商品，策略重心是"收割"而非"扩张"——维持库存深度、保障供应稳定、适度控制营销投入，以最大化利润贡献。</w:t>
      </w:r>
    </w:p>
    <w:p w14:paraId="22BFA59A">
      <w:pPr>
        <w:pStyle w:val="3"/>
      </w:pPr>
      <w:r>
        <w:rPr>
          <w:rFonts w:hint="eastAsia"/>
          <w:b/>
          <w:bCs/>
        </w:rPr>
        <w:t>明星产品（Star）数量可观且增长强劲。</w:t>
      </w:r>
      <w:r>
        <w:t xml:space="preserve"> </w:t>
      </w:r>
      <w:r>
        <w:rPr>
          <w:rFonts w:hint="eastAsia"/>
        </w:rPr>
        <w:t>分布在矩阵左上至中央区域的高增长、高份额商品构成了明星产品阵营。例如StockCode</w:t>
      </w:r>
      <w:r>
        <w:t xml:space="preserve"> </w:t>
      </w:r>
      <w:r>
        <w:rPr>
          <w:rFonts w:hint="eastAsia"/>
        </w:rPr>
        <w:t>20668（相对份额0.156，增长率213%）、StockCode</w:t>
      </w:r>
      <w:r>
        <w:t xml:space="preserve"> </w:t>
      </w:r>
      <w:r>
        <w:rPr>
          <w:rFonts w:hint="eastAsia"/>
        </w:rPr>
        <w:t>16008（相对份额0.036，增长率329%）、StockCode</w:t>
      </w:r>
      <w:r>
        <w:t xml:space="preserve"> </w:t>
      </w:r>
      <w:r>
        <w:rPr>
          <w:rFonts w:hint="eastAsia"/>
        </w:rPr>
        <w:t>16169E（相对份额0.056，增长率4,263%）、StockCode</w:t>
      </w:r>
      <w:r>
        <w:t xml:space="preserve"> </w:t>
      </w:r>
      <w:r>
        <w:rPr>
          <w:rFonts w:hint="eastAsia"/>
        </w:rPr>
        <w:t>21015（相对份额0.015，增长率10,208%）等。这些商品正处于快速上升期，部分是从现金牛序列中孵化出的新爆款，部分是借势季节性需求或新兴市场趋势的黑马产品。对明星产品应加大资源倾斜，确保库存充足、扩大采购规模、在营销中给予首页推荐或捆绑引流，推动其向未来的现金牛演进。</w:t>
      </w:r>
    </w:p>
    <w:p w14:paraId="081266B4">
      <w:pPr>
        <w:pStyle w:val="3"/>
      </w:pPr>
      <w:r>
        <w:rPr>
          <w:rFonts w:hint="eastAsia"/>
          <w:b/>
          <w:bCs/>
        </w:rPr>
        <w:t>问题产品（Question）存在两极分化。</w:t>
      </w:r>
      <w:r>
        <w:t xml:space="preserve"> </w:t>
      </w:r>
      <w:r>
        <w:rPr>
          <w:rFonts w:hint="eastAsia"/>
        </w:rPr>
        <w:t>矩阵左上区域中，部分商品呈现低份额但高增长的特征，如StockCode</w:t>
      </w:r>
      <w:r>
        <w:t xml:space="preserve"> </w:t>
      </w:r>
      <w:r>
        <w:rPr>
          <w:rFonts w:hint="eastAsia"/>
        </w:rPr>
        <w:t>10080（增长率193%）、StockCode</w:t>
      </w:r>
      <w:r>
        <w:t xml:space="preserve"> </w:t>
      </w:r>
      <w:r>
        <w:rPr>
          <w:rFonts w:hint="eastAsia"/>
        </w:rPr>
        <w:t>20831（增长率345%）、StockCode</w:t>
      </w:r>
      <w:r>
        <w:t xml:space="preserve"> </w:t>
      </w:r>
      <w:r>
        <w:rPr>
          <w:rFonts w:hint="eastAsia"/>
        </w:rPr>
        <w:t>21261（增长率2,550%）等。然而，这些产品中的大多数总销量基数极低（部分仅个位数），其"高增长率"更多是受低基数效应放大所致，未必代表真实的市场潜力。企业需要甄别其中真正具有品类创新价值的单品进行小规模试销培育，而对其余缺乏品类延展性的长尾问题产品，则避免盲目投入。</w:t>
      </w:r>
    </w:p>
    <w:p w14:paraId="21EEA022">
      <w:pPr>
        <w:pStyle w:val="3"/>
      </w:pPr>
      <w:r>
        <w:rPr>
          <w:rFonts w:hint="eastAsia"/>
          <w:b/>
          <w:bCs/>
        </w:rPr>
        <w:t>瘦狗产品（Dog）数量庞大但单量贡献微弱。</w:t>
      </w:r>
      <w:r>
        <w:t xml:space="preserve"> </w:t>
      </w:r>
      <w:r>
        <w:rPr>
          <w:rFonts w:hint="eastAsia"/>
        </w:rPr>
        <w:t>矩阵左下角聚集了大量低份额、负增长的商品。从数据来看，超过半数的商品SKU属于瘦狗类别，如StockCode</w:t>
      </w:r>
      <w:r>
        <w:t xml:space="preserve"> </w:t>
      </w:r>
      <w:r>
        <w:rPr>
          <w:rFonts w:hint="eastAsia"/>
        </w:rPr>
        <w:t>10123C（总销量5）、StockCode</w:t>
      </w:r>
      <w:r>
        <w:t xml:space="preserve"> </w:t>
      </w:r>
      <w:r>
        <w:rPr>
          <w:rFonts w:hint="eastAsia"/>
        </w:rPr>
        <w:t>16010（总销量30）、StockCode</w:t>
      </w:r>
      <w:r>
        <w:t xml:space="preserve"> </w:t>
      </w:r>
      <w:r>
        <w:rPr>
          <w:rFonts w:hint="eastAsia"/>
        </w:rPr>
        <w:t>17007B（总销量24）等。这些商品销量极低，部分甚至已完全停产（后半期销量为零）。如此庞大的瘦狗SKU群会占用库存空间、增加管理成本、稀释采购资源。建议对瘦狗产品进行系统性的SKU清理，对长期零动销的商品果断下架，对偶发性需求的商品转为"以销定采"的预售模式，以释放运营资源。</w:t>
      </w:r>
    </w:p>
    <w:bookmarkEnd w:id="55"/>
    <w:p w14:paraId="3933A597">
      <w:pPr>
        <w:pStyle w:val="5"/>
      </w:pPr>
      <w:bookmarkStart w:id="57" w:name="Xf7ccde06b4a1031c7796e42da65778e96ab179d"/>
      <w:r>
        <w:t xml:space="preserve">3.3.3 </w:t>
      </w:r>
      <w:r>
        <w:rPr>
          <w:rFonts w:hint="eastAsia"/>
        </w:rPr>
        <w:t>商品结构洞察与策略建议</w:t>
      </w:r>
    </w:p>
    <w:p w14:paraId="4AF10934">
      <w:pPr>
        <w:pStyle w:val="28"/>
      </w:pPr>
      <w:r>
        <w:rPr>
          <w:rFonts w:hint="eastAsia"/>
        </w:rPr>
        <w:t>综合BCG矩阵的分析，该企业的商品结构呈现出</w:t>
      </w:r>
      <w:r>
        <w:rPr>
          <w:rFonts w:hint="eastAsia"/>
          <w:b/>
          <w:bCs/>
        </w:rPr>
        <w:t>"头部集中、尾部冗长"</w:t>
      </w:r>
      <w:r>
        <w:rPr>
          <w:rFonts w:hint="eastAsia"/>
        </w:rPr>
        <w:t>的典型特征：少数现金牛和明星产品贡献了绝大部分销量，而大量瘦狗SKU仅贡献了极微薄的销售。这一结构在以全场合礼品为主营的批发商业务中较为常见——爆款具有普适性需求（如节日装饰品、收纳罐等），而长尾SKU则覆盖特定细分场景。</w:t>
      </w:r>
    </w:p>
    <w:p w14:paraId="0FEF514F">
      <w:pPr>
        <w:pStyle w:val="3"/>
      </w:pPr>
      <w:r>
        <w:rPr>
          <w:rFonts w:hint="eastAsia"/>
        </w:rPr>
        <w:t>品类优化策略方面，建议建立"以现金牛养明星、以明星替瘦狗"的品类迭代机制。对现金牛产品，通过供应链谈判降低采购成本，延长其利润周期；对明星产品，加速补货周期，防止断货错失增长窗口；对瘦狗产品，设置明确的清退阈值（如连续两个季度销量低于中位数10%），定期进行SKU瘦身。</w:t>
      </w:r>
    </w:p>
    <w:p w14:paraId="1B41B3B5">
      <w:pPr>
        <w:pStyle w:val="3"/>
      </w:pPr>
      <w:r>
        <w:rPr>
          <w:rFonts w:hint="eastAsia"/>
        </w:rPr>
        <w:t>库存与采购策略方面，BCG矩阵为企业优化库存结构提供了量化依据。现金牛产品应保持安全库存，避免缺货影响现金流；明星产品需动态调整库存策略，配合增长趋势提前备货；问题产品中的高潜力单品可小批量试销，以最小化库存风险；瘦狗产品则严格限制库存投入，优先以订单驱动采购。</w:t>
      </w:r>
    </w:p>
    <w:p w14:paraId="0FC97D36">
      <w:pPr>
        <w:pStyle w:val="3"/>
      </w:pPr>
      <w:r>
        <w:rPr>
          <w:rFonts w:hint="eastAsia"/>
        </w:rPr>
        <w:t>定价与促销策略方面，</w:t>
      </w:r>
      <w:r>
        <w:t xml:space="preserve"> </w:t>
      </w:r>
      <w:r>
        <w:rPr>
          <w:rFonts w:hint="eastAsia"/>
        </w:rPr>
        <w:t>现金牛产品因市场地位稳固，具备一定定价权，可适度提价以提升毛利率；明星产品在当前增长阶段应以市场份额为导向，维持竞争性定价；问题产品中的潜力单品可通过限时促销测试价格弹性；瘦狗产品则可通过清仓折扣快速回笼资金。</w:t>
      </w:r>
    </w:p>
    <w:bookmarkEnd w:id="53"/>
    <w:bookmarkEnd w:id="57"/>
    <w:p w14:paraId="50912B56">
      <w:pPr>
        <w:pStyle w:val="4"/>
      </w:pPr>
      <w:bookmarkStart w:id="58" w:name="_Toc24615"/>
      <w:bookmarkStart w:id="59" w:name="Xc12fa464b2bae2253ec6069a2e6b246453a85f5"/>
      <w:r>
        <w:t xml:space="preserve">3.4 </w:t>
      </w:r>
      <w:r>
        <w:rPr>
          <w:rFonts w:hint="eastAsia"/>
        </w:rPr>
        <w:t>基于Apriori算法的商品关联规则分析</w:t>
      </w:r>
      <w:bookmarkEnd w:id="58"/>
    </w:p>
    <w:p w14:paraId="1B01944B">
      <w:pPr>
        <w:pStyle w:val="28"/>
      </w:pPr>
      <w:r>
        <w:rPr>
          <w:rFonts w:hint="eastAsia"/>
        </w:rPr>
        <w:t>在完成客户维度的K-means聚类与RFM分层、商品维度的BCG矩阵分析之后，本节从"商品与商品的关联关系"这一视角切入，采用Apriori算法挖掘交易数据中频繁出现的商品组合，发现"购买A的客户同时倾向于购买B"的隐含规律，为交叉销售、捆绑推荐和货架组合优化提供数据支撑。</w:t>
      </w:r>
    </w:p>
    <w:p w14:paraId="77255D48">
      <w:pPr>
        <w:pStyle w:val="5"/>
      </w:pPr>
      <w:bookmarkStart w:id="60" w:name="X63b23c34017e44ac361f2fbec4d9a260543c6c0"/>
      <w:r>
        <w:t xml:space="preserve">3.4.1 </w:t>
      </w:r>
      <w:r>
        <w:rPr>
          <w:rFonts w:hint="eastAsia"/>
        </w:rPr>
        <w:t>算法原理与分析流程</w:t>
      </w:r>
    </w:p>
    <w:p w14:paraId="2A2BC25F">
      <w:pPr>
        <w:pStyle w:val="28"/>
      </w:pPr>
      <w:r>
        <w:rPr>
          <w:rFonts w:hint="eastAsia"/>
        </w:rPr>
        <w:t>Apriori算法是关联规则挖掘中最经典、应用最广泛的算法之一，其核心思想基于一个朴素的先验（Apriori）原理：</w:t>
      </w:r>
      <w:r>
        <w:rPr>
          <w:rFonts w:hint="eastAsia"/>
          <w:b/>
          <w:bCs/>
        </w:rPr>
        <w:t>如果一个项集是频繁的，那么它的所有子集也必然是频繁的；反之，如果一个项集是非频繁的，那么它的所有超集也必然是非频繁的</w:t>
      </w:r>
      <w:r>
        <w:rPr>
          <w:rFonts w:hint="eastAsia"/>
          <w:b w:val="0"/>
          <w:bCs w:val="0"/>
          <w:vertAlign w:val="superscript"/>
          <w:lang w:eastAsia="zh-CN"/>
        </w:rPr>
        <w:fldChar w:fldCharType="begin"/>
      </w:r>
      <w:r>
        <w:rPr>
          <w:rFonts w:hint="eastAsia"/>
          <w:b w:val="0"/>
          <w:bCs w:val="0"/>
          <w:vertAlign w:val="superscript"/>
          <w:lang w:eastAsia="zh-CN"/>
        </w:rPr>
        <w:instrText xml:space="preserve"> REF _Ref16619 \r \h </w:instrText>
      </w:r>
      <w:r>
        <w:rPr>
          <w:rFonts w:hint="eastAsia"/>
          <w:b w:val="0"/>
          <w:bCs w:val="0"/>
          <w:vertAlign w:val="superscript"/>
          <w:lang w:eastAsia="zh-CN"/>
        </w:rPr>
        <w:fldChar w:fldCharType="separate"/>
      </w:r>
      <w:r>
        <w:rPr>
          <w:rFonts w:hint="eastAsia"/>
          <w:b w:val="0"/>
          <w:bCs w:val="0"/>
          <w:vertAlign w:val="superscript"/>
          <w:lang w:eastAsia="zh-CN"/>
        </w:rPr>
        <w:t>[5]</w:t>
      </w:r>
      <w:r>
        <w:rPr>
          <w:rFonts w:hint="eastAsia"/>
          <w:b w:val="0"/>
          <w:bCs w:val="0"/>
          <w:vertAlign w:val="superscript"/>
          <w:lang w:eastAsia="zh-CN"/>
        </w:rPr>
        <w:fldChar w:fldCharType="end"/>
      </w:r>
      <w:r>
        <w:rPr>
          <w:rFonts w:hint="eastAsia"/>
          <w:b/>
          <w:bCs/>
        </w:rPr>
        <w:t>。</w:t>
      </w:r>
      <w:r>
        <w:t xml:space="preserve"> </w:t>
      </w:r>
      <w:r>
        <w:rPr>
          <w:rFonts w:hint="eastAsia"/>
        </w:rPr>
        <w:t>基于这一原理，算法通过逐层搜索的迭代策略——从1-项集（单个商品）开始，逐步扩展到2-项集、3-项集——在每一层利用"支持度不低于最小阈值"这一约束剪枝掉非频繁项集，从而在指数级搜索空间中大幅压缩候选集规模，使大规模事务数据的关联挖掘成为可能。</w:t>
      </w:r>
    </w:p>
    <w:p w14:paraId="16B5802F">
      <w:pPr>
        <w:pStyle w:val="3"/>
      </w:pPr>
      <w:r>
        <w:rPr>
          <w:rFonts w:hint="eastAsia"/>
        </w:rPr>
        <w:t>本研究的关联规则分析流程如下：</w:t>
      </w:r>
    </w:p>
    <w:p w14:paraId="4E2B715D">
      <w:pPr>
        <w:pStyle w:val="3"/>
      </w:pPr>
      <w:r>
        <w:rPr>
          <w:rFonts w:hint="eastAsia"/>
        </w:rPr>
        <w:t>数据准备，以InvoiceNo为事务键、StockCode为项，将交易明细表转化为"购物篮"格式的事务矩阵，每一行代表一笔订单，每一列代表一个商品，取值为0（未购买）或1（已购买）。退货订单（InvoiceNo以"C"开头）已预先排除，仅保留正常交易数据，确保关联关系反映的是真实购买行为而非退货行为。</w:t>
      </w:r>
    </w:p>
    <w:p w14:paraId="4B34666A">
      <w:pPr>
        <w:pStyle w:val="3"/>
      </w:pPr>
      <w:r>
        <w:rPr>
          <w:rFonts w:hint="eastAsia"/>
        </w:rPr>
        <w:t>维度控制，</w:t>
      </w:r>
      <w:r>
        <w:t xml:space="preserve"> </w:t>
      </w:r>
      <w:r>
        <w:rPr>
          <w:rFonts w:hint="eastAsia"/>
        </w:rPr>
        <w:t>原始数据包含3,685个独立商品（StockCode），若全部纳入分析，将产生海量的候选组合且大量低频商品会稀释有意义的关联信号。因此，本研究首先将分析范围限定在英国市场（Country</w:t>
      </w:r>
      <w:r>
        <w:t xml:space="preserve"> == 'United </w:t>
      </w:r>
      <w:r>
        <w:rPr>
          <w:rFonts w:hint="eastAsia"/>
        </w:rPr>
        <w:t>Kingdom'），一方面英国订单占总量约90%，足以代表核心业务场景；另一方面跨国购买行为的商品组合逻辑可能与本土订单存在结构性差异，统一市场有助于提升规则的同质性和可解释性。在此基础上，过滤掉仅含1个商品的订单（无关联意义）。本研究通过设置最小支持度阈值</w:t>
      </w:r>
      <w:r>
        <w:t xml:space="preserve"> min_support = </w:t>
      </w:r>
      <w:r>
        <w:rPr>
          <w:rFonts w:hint="eastAsia"/>
        </w:rPr>
        <w:t>0.02，自动屏蔽了那些出现频率不足以达到2%阈值的低频商品，因为只有本身销量足够高的商品才有机会进入频繁项集，进而在保留核心关联信息的同时有效控制了计算复杂度。最终，Apriori算法在全量英国市场符合条件的订单上直接运行，未做额外采样，确保了规则统计量的充分性和稳定性。</w:t>
      </w:r>
    </w:p>
    <w:p w14:paraId="661AB9B7">
      <w:pPr>
        <w:pStyle w:val="3"/>
      </w:pPr>
      <w:r>
        <w:rPr>
          <w:rFonts w:hint="eastAsia"/>
        </w:rPr>
        <w:t>参数设置，设定最小支持度阈值min_support</w:t>
      </w:r>
      <w:r>
        <w:t xml:space="preserve"> = </w:t>
      </w:r>
      <w:r>
        <w:rPr>
          <w:rFonts w:hint="eastAsia"/>
        </w:rPr>
        <w:t>0.02（即前项与后项同时出现的概率不低于2%），最小置信度阈值min_confidence</w:t>
      </w:r>
      <w:r>
        <w:t xml:space="preserve"> = </w:t>
      </w:r>
      <w:r>
        <w:rPr>
          <w:rFonts w:hint="eastAsia"/>
        </w:rPr>
        <w:t>0.3（即给定前项后后项出现的条件概率不低于30%）。这两个阈值的选择兼顾了规则的普遍性与可靠性——过高的支持度会导致只保留少量过于明显的规则（如热销品之间的必然共现），过低的置信度则会引入大量偶然性关联，混淆业务判断。</w:t>
      </w:r>
    </w:p>
    <w:p w14:paraId="6ED0A571">
      <w:pPr>
        <w:pStyle w:val="3"/>
      </w:pPr>
      <w:r>
        <w:rPr>
          <w:rFonts w:hint="eastAsia"/>
        </w:rPr>
        <w:t>规则输出，经Apriori算法挖掘后，按照提升度（Lift）降序排列，最终输出Top</w:t>
      </w:r>
      <w:r>
        <w:t xml:space="preserve"> </w:t>
      </w:r>
      <w:r>
        <w:rPr>
          <w:rFonts w:hint="eastAsia"/>
        </w:rPr>
        <w:t>20条关联规则，涵盖6组核心商品组合（每个组合因前项/后项的排列方向不同而产生多条规则）。</w:t>
      </w:r>
    </w:p>
    <w:bookmarkEnd w:id="60"/>
    <w:p w14:paraId="2916D2B0">
      <w:pPr>
        <w:pStyle w:val="5"/>
      </w:pPr>
      <w:bookmarkStart w:id="61" w:name="Xfc88414e764df583c7c657fa2c9539c81eef42e"/>
      <w:r>
        <w:t xml:space="preserve">3.4.2 </w:t>
      </w:r>
      <w:r>
        <w:rPr>
          <w:rFonts w:hint="eastAsia"/>
        </w:rPr>
        <w:t>三项核心指标解读</w:t>
      </w:r>
    </w:p>
    <w:p w14:paraId="2C4BADF8">
      <w:pPr>
        <w:pStyle w:val="28"/>
      </w:pPr>
      <w:r>
        <w:rPr>
          <w:rFonts w:hint="eastAsia"/>
        </w:rPr>
        <w:t>关联规则的质量需从多个维度综合评估，其中最关键的三个指标是</w:t>
      </w:r>
      <w:r>
        <w:rPr>
          <w:rFonts w:hint="eastAsia"/>
          <w:b/>
          <w:bCs/>
        </w:rPr>
        <w:t>支持度（Support）、置信度（Confidence）和提升度（Lift）</w:t>
      </w:r>
      <w:r>
        <w:rPr>
          <w:rFonts w:hint="eastAsia"/>
        </w:rPr>
        <w:t>。三者分别回答了"这条规则有多普遍""这条规则有多可靠"和"这条规则是否真的有价值"三个递进式的问题。以下是三指标的数学定义与业务含义：</w:t>
      </w:r>
    </w:p>
    <w:p w14:paraId="13D7E4A5">
      <w:pPr>
        <w:pStyle w:val="3"/>
      </w:pPr>
      <w:r>
        <w:rPr>
          <w:rFonts w:hint="eastAsia"/>
        </w:rPr>
        <w:t>支持度（Support）：衡量规则的普遍程度。</w:t>
      </w:r>
    </w:p>
    <w:p w14:paraId="2DF3D251">
      <w:pPr>
        <w:pStyle w:val="3"/>
      </w:pPr>
      <m:oMathPara>
        <m:oMath>
          <m:r>
            <m:rPr/>
            <m:t>Support</m:t>
          </m:r>
          <m:r>
            <m:rPr>
              <m:sty m:val="p"/>
            </m:rPr>
            <m:t>(</m:t>
          </m:r>
          <m:r>
            <m:rPr/>
            <m:t>A</m:t>
          </m:r>
          <m:r>
            <m:rPr>
              <m:sty m:val="p"/>
            </m:rPr>
            <m:t>→</m:t>
          </m:r>
          <m:r>
            <m:rPr/>
            <m:t>B</m:t>
          </m:r>
          <m:r>
            <m:rPr>
              <m:sty m:val="p"/>
            </m:rPr>
            <m:t>)=</m:t>
          </m:r>
          <m:r>
            <m:rPr/>
            <m:t>P</m:t>
          </m:r>
          <m:r>
            <m:rPr>
              <m:sty m:val="p"/>
            </m:rPr>
            <m:t>(</m:t>
          </m:r>
          <m:r>
            <m:rPr/>
            <m:t>A</m:t>
          </m:r>
          <m:r>
            <m:rPr>
              <m:sty m:val="p"/>
            </m:rPr>
            <m:t>∩</m:t>
          </m:r>
          <m:r>
            <m:rPr/>
            <m:t>B</m:t>
          </m:r>
          <m:r>
            <m:rPr>
              <m:sty m:val="p"/>
            </m:rPr>
            <m:t>)=</m:t>
          </m:r>
          <m:f>
            <m:fPr/>
            <m:num>
              <m:r>
                <m:rPr/>
                <m:t>同时包含A和B的订单数</m:t>
              </m:r>
            </m:num>
            <m:den>
              <m:r>
                <m:rPr/>
                <m:t>总订单数</m:t>
              </m:r>
            </m:den>
          </m:f>
        </m:oMath>
      </m:oMathPara>
    </w:p>
    <w:p w14:paraId="4F134C18">
      <w:pPr>
        <w:pStyle w:val="3"/>
      </w:pPr>
      <w:r>
        <w:rPr>
          <w:rFonts w:hint="eastAsia"/>
        </w:rPr>
        <w:t>支持度反映了前项与后项同时出现的概率。支持度过低的规则虽然可能真实存在，但覆盖面太窄、商业价值有限；支持度过高则往往是"面包+牛奶"这类无需挖掘即可预见的平庸组合。本研究以0.02为最小支持度阈值，确保每条规则至少覆盖2%的订单。</w:t>
      </w:r>
    </w:p>
    <w:p w14:paraId="3D9E6111">
      <w:pPr>
        <w:pStyle w:val="3"/>
      </w:pPr>
      <w:r>
        <w:rPr>
          <w:rFonts w:hint="eastAsia"/>
        </w:rPr>
        <w:t>置信度（Confidence）：衡量规则的可靠性。</w:t>
      </w:r>
    </w:p>
    <w:p w14:paraId="2F15C686">
      <w:pPr>
        <w:pStyle w:val="3"/>
      </w:pPr>
      <m:oMathPara>
        <m:oMath>
          <m:r>
            <m:rPr/>
            <m:t>Confidence</m:t>
          </m:r>
          <m:r>
            <m:rPr>
              <m:sty m:val="p"/>
            </m:rPr>
            <m:t>(</m:t>
          </m:r>
          <m:r>
            <m:rPr/>
            <m:t>A</m:t>
          </m:r>
          <m:r>
            <m:rPr>
              <m:sty m:val="p"/>
            </m:rPr>
            <m:t>→</m:t>
          </m:r>
          <m:r>
            <m:rPr/>
            <m:t>B</m:t>
          </m:r>
          <m:r>
            <m:rPr>
              <m:sty m:val="p"/>
            </m:rPr>
            <m:t>)=</m:t>
          </m:r>
          <m:r>
            <m:rPr/>
            <m:t>P</m:t>
          </m:r>
          <m:r>
            <m:rPr>
              <m:sty m:val="p"/>
            </m:rPr>
            <m:t>(</m:t>
          </m:r>
          <m:r>
            <m:rPr/>
            <m:t>B</m:t>
          </m:r>
          <m:r>
            <m:rPr>
              <m:sty m:val="p"/>
            </m:rPr>
            <m:t>∣</m:t>
          </m:r>
          <m:r>
            <m:rPr/>
            <m:t>A</m:t>
          </m:r>
          <m:r>
            <m:rPr>
              <m:sty m:val="p"/>
            </m:rPr>
            <m:t>)=</m:t>
          </m:r>
          <m:f>
            <m:fPr/>
            <m:num>
              <m:r>
                <m:rPr/>
                <m:t>同时包含A和B的订单数</m:t>
              </m:r>
            </m:num>
            <m:den>
              <m:r>
                <m:rPr/>
                <m:t>包含A的订单数</m:t>
              </m:r>
            </m:den>
          </m:f>
          <m:r>
            <m:rPr>
              <m:sty m:val="p"/>
            </m:rPr>
            <m:t>=</m:t>
          </m:r>
          <m:f>
            <m:fPr/>
            <m:num>
              <m:r>
                <m:rPr/>
                <m:t>Support</m:t>
              </m:r>
              <m:r>
                <m:rPr>
                  <m:sty m:val="p"/>
                </m:rPr>
                <m:t>(</m:t>
              </m:r>
              <m:r>
                <m:rPr/>
                <m:t>A</m:t>
              </m:r>
              <m:r>
                <m:rPr>
                  <m:sty m:val="p"/>
                </m:rPr>
                <m:t>→</m:t>
              </m:r>
              <m:r>
                <m:rPr/>
                <m:t>B</m:t>
              </m:r>
              <m:r>
                <m:rPr>
                  <m:sty m:val="p"/>
                </m:rPr>
                <m:t>)</m:t>
              </m:r>
            </m:num>
            <m:den>
              <m:r>
                <m:rPr/>
                <m:t>Support</m:t>
              </m:r>
              <m:r>
                <m:rPr>
                  <m:sty m:val="p"/>
                </m:rPr>
                <m:t>(</m:t>
              </m:r>
              <m:r>
                <m:rPr/>
                <m:t>A</m:t>
              </m:r>
              <m:r>
                <m:rPr>
                  <m:sty m:val="p"/>
                </m:rPr>
                <m:t>)</m:t>
              </m:r>
            </m:den>
          </m:f>
        </m:oMath>
      </m:oMathPara>
    </w:p>
    <w:p w14:paraId="26C4AB1E">
      <w:pPr>
        <w:pStyle w:val="3"/>
      </w:pPr>
      <w:r>
        <w:rPr>
          <w:rFonts w:hint="eastAsia"/>
        </w:rPr>
        <w:t>置信度描述了"在前项A出现的条件下，后项B也出现的概率"。例如，置信度0.716的规则{22699,</w:t>
      </w:r>
      <w:r>
        <w:t xml:space="preserve"> </w:t>
      </w:r>
      <w:r>
        <w:rPr>
          <w:rFonts w:hint="eastAsia"/>
        </w:rPr>
        <w:t>22697}→{22698}意味着：在同时购买了22699和22697的订单中，有71.6%也购买了22698。但置信度存在一个关键缺陷——它忽略了后项B的自身流行度。即便B是一个人人都会购买的热销品，无论A是否出现，B被购买的概率本身就很高，此时高置信度并不代表A与B之间存在有意义的关联。这一缺陷正是提升度所要解决的。</w:t>
      </w:r>
    </w:p>
    <w:p w14:paraId="6A60D1FC">
      <w:pPr>
        <w:pStyle w:val="3"/>
      </w:pPr>
      <w:r>
        <w:rPr>
          <w:rFonts w:hint="eastAsia"/>
        </w:rPr>
        <w:t>提升度（Lift）：衡量关联的真实价值的指标。</w:t>
      </w:r>
    </w:p>
    <w:p w14:paraId="4173AFBC">
      <w:pPr>
        <w:pStyle w:val="3"/>
      </w:pPr>
      <m:oMathPara>
        <m:oMath>
          <m:r>
            <m:rPr/>
            <m:t>Lift</m:t>
          </m:r>
          <m:r>
            <m:rPr>
              <m:sty m:val="p"/>
            </m:rPr>
            <m:t>(</m:t>
          </m:r>
          <m:r>
            <m:rPr/>
            <m:t>A</m:t>
          </m:r>
          <m:r>
            <m:rPr>
              <m:sty m:val="p"/>
            </m:rPr>
            <m:t>→</m:t>
          </m:r>
          <m:r>
            <m:rPr/>
            <m:t>B</m:t>
          </m:r>
          <m:r>
            <m:rPr>
              <m:sty m:val="p"/>
            </m:rPr>
            <m:t>)=</m:t>
          </m:r>
          <m:f>
            <m:fPr/>
            <m:num>
              <m:r>
                <m:rPr/>
                <m:t>P</m:t>
              </m:r>
              <m:r>
                <m:rPr>
                  <m:sty m:val="p"/>
                </m:rPr>
                <m:t>(</m:t>
              </m:r>
              <m:r>
                <m:rPr/>
                <m:t>B</m:t>
              </m:r>
              <m:r>
                <m:rPr>
                  <m:sty m:val="p"/>
                </m:rPr>
                <m:t>∣</m:t>
              </m:r>
              <m:r>
                <m:rPr/>
                <m:t>A</m:t>
              </m:r>
              <m:r>
                <m:rPr>
                  <m:sty m:val="p"/>
                </m:rPr>
                <m:t>)</m:t>
              </m:r>
            </m:num>
            <m:den>
              <m:r>
                <m:rPr/>
                <m:t>P</m:t>
              </m:r>
              <m:r>
                <m:rPr>
                  <m:sty m:val="p"/>
                </m:rPr>
                <m:t>(</m:t>
              </m:r>
              <m:r>
                <m:rPr/>
                <m:t>B</m:t>
              </m:r>
              <m:r>
                <m:rPr>
                  <m:sty m:val="p"/>
                </m:rPr>
                <m:t>)</m:t>
              </m:r>
            </m:den>
          </m:f>
          <m:r>
            <m:rPr>
              <m:sty m:val="p"/>
            </m:rPr>
            <m:t>=</m:t>
          </m:r>
          <m:f>
            <m:fPr/>
            <m:num>
              <m:r>
                <m:rPr/>
                <m:t>Confidence</m:t>
              </m:r>
              <m:r>
                <m:rPr>
                  <m:sty m:val="p"/>
                </m:rPr>
                <m:t>(</m:t>
              </m:r>
              <m:r>
                <m:rPr/>
                <m:t>A</m:t>
              </m:r>
              <m:r>
                <m:rPr>
                  <m:sty m:val="p"/>
                </m:rPr>
                <m:t>→</m:t>
              </m:r>
              <m:r>
                <m:rPr/>
                <m:t>B</m:t>
              </m:r>
              <m:r>
                <m:rPr>
                  <m:sty m:val="p"/>
                </m:rPr>
                <m:t>)</m:t>
              </m:r>
            </m:num>
            <m:den>
              <m:r>
                <m:rPr/>
                <m:t>Support</m:t>
              </m:r>
              <m:r>
                <m:rPr>
                  <m:sty m:val="p"/>
                </m:rPr>
                <m:t>(</m:t>
              </m:r>
              <m:r>
                <m:rPr/>
                <m:t>B</m:t>
              </m:r>
              <m:r>
                <m:rPr>
                  <m:sty m:val="p"/>
                </m:rPr>
                <m:t>)</m:t>
              </m:r>
            </m:den>
          </m:f>
        </m:oMath>
      </m:oMathPara>
    </w:p>
    <w:p w14:paraId="5E88478D">
      <w:pPr>
        <w:pStyle w:val="3"/>
      </w:pPr>
      <w:r>
        <w:rPr>
          <w:rFonts w:hint="eastAsia"/>
        </w:rPr>
        <w:t>提升度的直观含义是：知道客户购买了A之后，购买B的概率提升了多少倍。其数学本质是前项A出现时后项B的条件概率与B的边际概率之比：</w:t>
      </w:r>
    </w:p>
    <w:p w14:paraId="6ECB8D35">
      <w:pPr>
        <w:numPr>
          <w:ilvl w:val="0"/>
          <w:numId w:val="1"/>
        </w:numPr>
      </w:pPr>
      <w:r>
        <w:t xml:space="preserve">Lift = </w:t>
      </w:r>
      <w:r>
        <w:rPr>
          <w:rFonts w:hint="eastAsia"/>
        </w:rPr>
        <w:t>1：</w:t>
      </w:r>
      <w:r>
        <w:t xml:space="preserve"> </w:t>
      </w:r>
      <w:r>
        <w:rPr>
          <w:rFonts w:hint="eastAsia"/>
        </w:rPr>
        <w:t>A与B相互独立，购买A对购买B没有任何影响，规则无意义；</w:t>
      </w:r>
    </w:p>
    <w:p w14:paraId="2B6AD252">
      <w:pPr>
        <w:numPr>
          <w:ilvl w:val="0"/>
          <w:numId w:val="1"/>
        </w:numPr>
      </w:pPr>
      <w:r>
        <w:t xml:space="preserve">Lift &gt; </w:t>
      </w:r>
      <w:r>
        <w:rPr>
          <w:rFonts w:hint="eastAsia"/>
        </w:rPr>
        <w:t>1：</w:t>
      </w:r>
      <w:r>
        <w:t xml:space="preserve"> </w:t>
      </w:r>
      <w:r>
        <w:rPr>
          <w:rFonts w:hint="eastAsia"/>
        </w:rPr>
        <w:t>A与B之间存在正相关关系，购买A提升了购买B的可能性。提升度越高，关联越强；</w:t>
      </w:r>
    </w:p>
    <w:p w14:paraId="4524F169">
      <w:pPr>
        <w:numPr>
          <w:ilvl w:val="0"/>
          <w:numId w:val="1"/>
        </w:numPr>
      </w:pPr>
      <w:r>
        <w:t xml:space="preserve">Lift &lt; </w:t>
      </w:r>
      <w:r>
        <w:rPr>
          <w:rFonts w:hint="eastAsia"/>
        </w:rPr>
        <w:t>1：</w:t>
      </w:r>
      <w:r>
        <w:t xml:space="preserve"> </w:t>
      </w:r>
      <w:r>
        <w:rPr>
          <w:rFonts w:hint="eastAsia"/>
        </w:rPr>
        <w:t>A与B之间存在负相关关系（替代效应），购买A反而抑制了购买B。</w:t>
      </w:r>
    </w:p>
    <w:p w14:paraId="340F8505">
      <w:pPr>
        <w:pStyle w:val="28"/>
      </w:pPr>
      <w:r>
        <w:rPr>
          <w:rFonts w:hint="eastAsia"/>
        </w:rPr>
        <w:t>以下为本研究输出的Top</w:t>
      </w:r>
      <w:r>
        <w:t xml:space="preserve"> </w:t>
      </w:r>
      <w:r>
        <w:rPr>
          <w:rFonts w:hint="eastAsia"/>
        </w:rPr>
        <w:t>20关联规则及其三项核心指标的散点分布：</w:t>
      </w:r>
    </w:p>
    <w:p w14:paraId="35F01248">
      <w:pPr>
        <w:pStyle w:val="3"/>
      </w:pPr>
      <w:r>
        <w:drawing>
          <wp:inline distT="0" distB="0" distL="114300" distR="114300">
            <wp:extent cx="5334000" cy="3199765"/>
            <wp:effectExtent l="0" t="0" r="0" b="0"/>
            <wp:docPr id="69"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title="fig:"/>
                    <pic:cNvPicPr>
                      <a:picLocks noChangeAspect="1" noChangeArrowheads="1"/>
                    </pic:cNvPicPr>
                  </pic:nvPicPr>
                  <pic:blipFill>
                    <a:blip r:embed="rId16"/>
                    <a:stretch>
                      <a:fillRect/>
                    </a:stretch>
                  </pic:blipFill>
                  <pic:spPr>
                    <a:xfrm>
                      <a:off x="0" y="0"/>
                      <a:ext cx="5334000" cy="3200399"/>
                    </a:xfrm>
                    <a:prstGeom prst="rect">
                      <a:avLst/>
                    </a:prstGeom>
                    <a:noFill/>
                    <a:ln w="9525">
                      <a:noFill/>
                    </a:ln>
                  </pic:spPr>
                </pic:pic>
              </a:graphicData>
            </a:graphic>
          </wp:inline>
        </w:drawing>
      </w:r>
    </w:p>
    <w:p w14:paraId="3DDABCF8">
      <w:pPr>
        <w:pStyle w:val="12"/>
        <w:rPr>
          <w:rFonts w:hint="eastAsia" w:eastAsia="宋体"/>
          <w:lang w:val="en-US" w:eastAsia="zh-CN"/>
        </w:rPr>
      </w:pPr>
      <w:bookmarkStart w:id="62" w:name="_Ref21315"/>
      <w:r>
        <w:t xml:space="preserve">图 </w:t>
      </w:r>
      <w:r>
        <w:fldChar w:fldCharType="begin"/>
      </w:r>
      <w:r>
        <w:instrText xml:space="preserve"> SEQ 图 \* ARABIC </w:instrText>
      </w:r>
      <w:r>
        <w:fldChar w:fldCharType="separate"/>
      </w:r>
      <w:r>
        <w:t>10</w:t>
      </w:r>
      <w:r>
        <w:fldChar w:fldCharType="end"/>
      </w:r>
      <w:r>
        <w:rPr>
          <w:rFonts w:hint="eastAsia"/>
          <w:lang w:val="en-US" w:eastAsia="zh-CN"/>
        </w:rPr>
        <w:t xml:space="preserve"> Support vs Confidence</w:t>
      </w:r>
      <w:bookmarkEnd w:id="62"/>
    </w:p>
    <w:p w14:paraId="57D4EB75">
      <w:pPr>
        <w:pStyle w:val="3"/>
      </w:pPr>
      <w:r>
        <w:rPr>
          <w:rFonts w:hint="eastAsia"/>
        </w:rPr>
        <w:t>从散点图(</w:t>
      </w:r>
      <w:r>
        <w:rPr>
          <w:rFonts w:hint="eastAsia"/>
          <w:lang w:eastAsia="zh-CN"/>
        </w:rPr>
        <w:fldChar w:fldCharType="begin"/>
      </w:r>
      <w:r>
        <w:rPr>
          <w:rFonts w:hint="eastAsia"/>
          <w:lang w:eastAsia="zh-CN"/>
        </w:rPr>
        <w:instrText xml:space="preserve"> REF _Ref21315 \h </w:instrText>
      </w:r>
      <w:r>
        <w:rPr>
          <w:rFonts w:hint="eastAsia"/>
          <w:lang w:eastAsia="zh-CN"/>
        </w:rPr>
        <w:fldChar w:fldCharType="separate"/>
      </w:r>
      <w:r>
        <w:t>图 10</w:t>
      </w:r>
      <w:r>
        <w:rPr>
          <w:rFonts w:hint="eastAsia"/>
          <w:lang w:val="en-US" w:eastAsia="zh-CN"/>
        </w:rPr>
        <w:t xml:space="preserve"> Support vs Confidence</w:t>
      </w:r>
      <w:r>
        <w:rPr>
          <w:rFonts w:hint="eastAsia"/>
          <w:lang w:eastAsia="zh-CN"/>
        </w:rPr>
        <w:fldChar w:fldCharType="end"/>
      </w:r>
      <w:r>
        <w:rPr>
          <w:rFonts w:hint="eastAsia"/>
        </w:rPr>
        <w:t>)中可以直观地观察到：所有Top</w:t>
      </w:r>
      <w:r>
        <w:t xml:space="preserve"> </w:t>
      </w:r>
      <w:r>
        <w:rPr>
          <w:rFonts w:hint="eastAsia"/>
        </w:rPr>
        <w:t>20规则的提升度均远超1（最低为13.19），说明Apriori算法挖掘出的每一条规则都是前项与后项之间的强正向关联，不存在仅有表面高置信度而提升度平庸的伪规则。这得益于本研究在算法参数设置阶段对提升度的隐性约束——通过合理的支持度和置信度阈值组合，自动过滤了低质量的偶然共现。</w:t>
      </w:r>
    </w:p>
    <w:bookmarkEnd w:id="61"/>
    <w:p w14:paraId="61456CAF">
      <w:pPr>
        <w:pStyle w:val="5"/>
      </w:pPr>
      <w:bookmarkStart w:id="63" w:name="Xa515408e44c1ce7186a773fe91c0135ace8b55e"/>
      <w:r>
        <w:t xml:space="preserve">3.4.3 Top </w:t>
      </w:r>
      <w:r>
        <w:rPr>
          <w:rFonts w:hint="eastAsia"/>
        </w:rPr>
        <w:t>20关联规则解析</w:t>
      </w:r>
    </w:p>
    <w:p w14:paraId="0E1C1398">
      <w:pPr>
        <w:pStyle w:val="28"/>
        <w:rPr>
          <w:rFonts w:hint="eastAsia"/>
        </w:rPr>
      </w:pPr>
      <w:r>
        <w:t xml:space="preserve">Top </w:t>
      </w:r>
      <w:r>
        <w:rPr>
          <w:rFonts w:hint="eastAsia"/>
        </w:rPr>
        <w:t>20条规则本质上呈现为6组核心商品组合的双向展开（前项与后项互换方向）。以下将这6组按提升度从高到低逐一解读：</w:t>
      </w:r>
    </w:p>
    <w:p w14:paraId="7C2759D6">
      <w:pPr>
        <w:pStyle w:val="3"/>
      </w:pPr>
      <w:r>
        <w:rPr>
          <w:rFonts w:hint="eastAsia"/>
        </w:rPr>
        <w:t>组合一：{22697, 22698, 22699} — 三件套核心组合（最高提升度22.45）</w:t>
      </w:r>
    </w:p>
    <w:p w14:paraId="3D27BBB6">
      <w:pPr>
        <w:pStyle w:val="12"/>
        <w:rPr>
          <w:rFonts w:hint="default" w:eastAsia="宋体"/>
          <w:lang w:val="en-US" w:eastAsia="zh-CN"/>
        </w:rPr>
      </w:pPr>
      <w:r>
        <w:t xml:space="preserve">表 </w:t>
      </w:r>
      <w:r>
        <w:fldChar w:fldCharType="begin"/>
      </w:r>
      <w:r>
        <w:instrText xml:space="preserve"> SEQ 表 \* ARABIC </w:instrText>
      </w:r>
      <w:r>
        <w:fldChar w:fldCharType="separate"/>
      </w:r>
      <w:r>
        <w:t>4</w:t>
      </w:r>
      <w:r>
        <w:fldChar w:fldCharType="end"/>
      </w:r>
      <w:r>
        <w:rPr>
          <w:rFonts w:hint="eastAsia"/>
          <w:lang w:val="en-US" w:eastAsia="zh-CN"/>
        </w:rPr>
        <w:t xml:space="preserve"> 组合一规则表</w:t>
      </w:r>
    </w:p>
    <w:tbl>
      <w:tblPr>
        <w:tblStyle w:val="46"/>
        <w:tblW w:w="4999" w:type="pct"/>
        <w:tblInd w:w="0" w:type="dxa"/>
        <w:tblLayout w:type="autofit"/>
        <w:tblCellMar>
          <w:top w:w="0" w:type="dxa"/>
          <w:left w:w="108" w:type="dxa"/>
          <w:bottom w:w="0" w:type="dxa"/>
          <w:right w:w="108" w:type="dxa"/>
        </w:tblCellMar>
      </w:tblPr>
      <w:tblGrid>
        <w:gridCol w:w="4266"/>
        <w:gridCol w:w="1626"/>
        <w:gridCol w:w="1481"/>
        <w:gridCol w:w="1481"/>
      </w:tblGrid>
      <w:tr w14:paraId="559E33C3">
        <w:tblPrEx>
          <w:tblCellMar>
            <w:top w:w="0" w:type="dxa"/>
            <w:left w:w="108" w:type="dxa"/>
            <w:bottom w:w="0" w:type="dxa"/>
            <w:right w:w="108" w:type="dxa"/>
          </w:tblCellMar>
        </w:tblPrEx>
        <w:trPr>
          <w:tblHeader/>
        </w:trPr>
        <w:tc>
          <w:tcPr>
            <w:tcW w:w="2408" w:type="pct"/>
            <w:tcBorders>
              <w:top w:val="single" w:color="000000" w:sz="18" w:space="0"/>
              <w:bottom w:val="single" w:color="000000" w:sz="12" w:space="0"/>
            </w:tcBorders>
            <w:vAlign w:val="center"/>
          </w:tcPr>
          <w:p w14:paraId="0BD80A84">
            <w:pPr>
              <w:pStyle w:val="3"/>
              <w:ind w:left="0" w:leftChars="0" w:firstLine="0" w:firstLineChars="0"/>
              <w:jc w:val="center"/>
              <w:rPr>
                <w:rFonts w:hint="eastAsia"/>
                <w:b/>
                <w:bCs/>
              </w:rPr>
            </w:pPr>
            <w:r>
              <w:rPr>
                <w:rFonts w:hint="eastAsia"/>
                <w:b/>
                <w:bCs/>
              </w:rPr>
              <w:t>规则方向</w:t>
            </w:r>
          </w:p>
        </w:tc>
        <w:tc>
          <w:tcPr>
            <w:tcW w:w="918" w:type="pct"/>
            <w:tcBorders>
              <w:top w:val="single" w:color="000000" w:sz="18" w:space="0"/>
              <w:bottom w:val="single" w:color="000000" w:sz="12" w:space="0"/>
            </w:tcBorders>
            <w:vAlign w:val="center"/>
          </w:tcPr>
          <w:p w14:paraId="7A369B4F">
            <w:pPr>
              <w:pStyle w:val="3"/>
              <w:ind w:left="0" w:leftChars="0" w:firstLine="0" w:firstLineChars="0"/>
              <w:jc w:val="center"/>
              <w:rPr>
                <w:rFonts w:hint="eastAsia"/>
                <w:b/>
                <w:bCs/>
              </w:rPr>
            </w:pPr>
            <w:r>
              <w:rPr>
                <w:rFonts w:hint="eastAsia"/>
                <w:b/>
                <w:bCs/>
              </w:rPr>
              <w:t>支持度</w:t>
            </w:r>
          </w:p>
        </w:tc>
        <w:tc>
          <w:tcPr>
            <w:tcW w:w="836" w:type="pct"/>
            <w:tcBorders>
              <w:top w:val="single" w:color="000000" w:sz="18" w:space="0"/>
              <w:bottom w:val="single" w:color="000000" w:sz="12" w:space="0"/>
            </w:tcBorders>
            <w:vAlign w:val="center"/>
          </w:tcPr>
          <w:p w14:paraId="4E39E8E9">
            <w:pPr>
              <w:pStyle w:val="3"/>
              <w:ind w:left="0" w:leftChars="0" w:firstLine="0" w:firstLineChars="0"/>
              <w:jc w:val="center"/>
              <w:rPr>
                <w:rFonts w:hint="eastAsia"/>
                <w:b/>
                <w:bCs/>
              </w:rPr>
            </w:pPr>
            <w:r>
              <w:rPr>
                <w:rFonts w:hint="eastAsia"/>
                <w:b/>
                <w:bCs/>
              </w:rPr>
              <w:t>置信度</w:t>
            </w:r>
          </w:p>
        </w:tc>
        <w:tc>
          <w:tcPr>
            <w:tcW w:w="836" w:type="pct"/>
            <w:tcBorders>
              <w:top w:val="single" w:color="000000" w:sz="18" w:space="0"/>
              <w:bottom w:val="single" w:color="000000" w:sz="12" w:space="0"/>
            </w:tcBorders>
            <w:vAlign w:val="center"/>
          </w:tcPr>
          <w:p w14:paraId="28D97A92">
            <w:pPr>
              <w:pStyle w:val="3"/>
              <w:ind w:left="0" w:leftChars="0" w:firstLine="0" w:firstLineChars="0"/>
              <w:jc w:val="center"/>
              <w:rPr>
                <w:rFonts w:hint="eastAsia"/>
                <w:b/>
                <w:bCs/>
              </w:rPr>
            </w:pPr>
            <w:r>
              <w:rPr>
                <w:rFonts w:hint="eastAsia"/>
                <w:b/>
                <w:bCs/>
              </w:rPr>
              <w:t>提升度</w:t>
            </w:r>
          </w:p>
        </w:tc>
      </w:tr>
      <w:tr w14:paraId="7FACC486">
        <w:tblPrEx>
          <w:tblCellMar>
            <w:top w:w="0" w:type="dxa"/>
            <w:left w:w="108" w:type="dxa"/>
            <w:bottom w:w="0" w:type="dxa"/>
            <w:right w:w="108" w:type="dxa"/>
          </w:tblCellMar>
        </w:tblPrEx>
        <w:tc>
          <w:tcPr>
            <w:tcW w:w="2408" w:type="pct"/>
            <w:tcBorders>
              <w:top w:val="single" w:color="000000" w:sz="12" w:space="0"/>
            </w:tcBorders>
            <w:vAlign w:val="center"/>
          </w:tcPr>
          <w:p w14:paraId="33898673">
            <w:pPr>
              <w:pStyle w:val="3"/>
              <w:jc w:val="center"/>
              <w:rPr>
                <w:rFonts w:hint="eastAsia"/>
              </w:rPr>
            </w:pPr>
            <w:r>
              <w:rPr>
                <w:rFonts w:hint="eastAsia"/>
              </w:rPr>
              <w:t>{22699, 22697} → {22698}</w:t>
            </w:r>
          </w:p>
        </w:tc>
        <w:tc>
          <w:tcPr>
            <w:tcW w:w="918" w:type="pct"/>
            <w:tcBorders>
              <w:top w:val="single" w:color="000000" w:sz="12" w:space="0"/>
            </w:tcBorders>
            <w:vAlign w:val="center"/>
          </w:tcPr>
          <w:p w14:paraId="21C377A8">
            <w:pPr>
              <w:pStyle w:val="3"/>
              <w:jc w:val="center"/>
              <w:rPr>
                <w:rFonts w:hint="eastAsia"/>
              </w:rPr>
            </w:pPr>
            <w:r>
              <w:rPr>
                <w:rFonts w:hint="eastAsia"/>
              </w:rPr>
              <w:t>0.0223</w:t>
            </w:r>
          </w:p>
        </w:tc>
        <w:tc>
          <w:tcPr>
            <w:tcW w:w="836" w:type="pct"/>
            <w:tcBorders>
              <w:top w:val="single" w:color="000000" w:sz="12" w:space="0"/>
            </w:tcBorders>
            <w:vAlign w:val="center"/>
          </w:tcPr>
          <w:p w14:paraId="3FB697A9">
            <w:pPr>
              <w:pStyle w:val="3"/>
              <w:jc w:val="center"/>
              <w:rPr>
                <w:rFonts w:hint="eastAsia"/>
              </w:rPr>
            </w:pPr>
            <w:r>
              <w:rPr>
                <w:rFonts w:hint="eastAsia"/>
              </w:rPr>
              <w:t>0.716</w:t>
            </w:r>
          </w:p>
        </w:tc>
        <w:tc>
          <w:tcPr>
            <w:tcW w:w="836" w:type="pct"/>
            <w:tcBorders>
              <w:top w:val="single" w:color="000000" w:sz="12" w:space="0"/>
            </w:tcBorders>
            <w:vAlign w:val="center"/>
          </w:tcPr>
          <w:p w14:paraId="7B559BB6">
            <w:pPr>
              <w:pStyle w:val="3"/>
              <w:jc w:val="center"/>
              <w:rPr>
                <w:rFonts w:hint="eastAsia"/>
              </w:rPr>
            </w:pPr>
            <w:r>
              <w:rPr>
                <w:rFonts w:hint="eastAsia"/>
              </w:rPr>
              <w:t>22.45</w:t>
            </w:r>
          </w:p>
        </w:tc>
      </w:tr>
      <w:tr w14:paraId="3183AA24">
        <w:tblPrEx>
          <w:tblCellMar>
            <w:top w:w="0" w:type="dxa"/>
            <w:left w:w="108" w:type="dxa"/>
            <w:bottom w:w="0" w:type="dxa"/>
            <w:right w:w="108" w:type="dxa"/>
          </w:tblCellMar>
        </w:tblPrEx>
        <w:tc>
          <w:tcPr>
            <w:tcW w:w="2408" w:type="pct"/>
            <w:vAlign w:val="center"/>
          </w:tcPr>
          <w:p w14:paraId="33CF5068">
            <w:pPr>
              <w:pStyle w:val="3"/>
              <w:jc w:val="center"/>
              <w:rPr>
                <w:rFonts w:hint="eastAsia"/>
              </w:rPr>
            </w:pPr>
            <w:r>
              <w:rPr>
                <w:rFonts w:hint="eastAsia"/>
              </w:rPr>
              <w:t>{22698} → {22699, 22697}</w:t>
            </w:r>
          </w:p>
        </w:tc>
        <w:tc>
          <w:tcPr>
            <w:tcW w:w="918" w:type="pct"/>
            <w:vAlign w:val="center"/>
          </w:tcPr>
          <w:p w14:paraId="7757C5E3">
            <w:pPr>
              <w:pStyle w:val="3"/>
              <w:jc w:val="center"/>
              <w:rPr>
                <w:rFonts w:hint="eastAsia"/>
              </w:rPr>
            </w:pPr>
            <w:r>
              <w:rPr>
                <w:rFonts w:hint="eastAsia"/>
              </w:rPr>
              <w:t>0.0223</w:t>
            </w:r>
          </w:p>
        </w:tc>
        <w:tc>
          <w:tcPr>
            <w:tcW w:w="836" w:type="pct"/>
            <w:vAlign w:val="center"/>
          </w:tcPr>
          <w:p w14:paraId="02A70972">
            <w:pPr>
              <w:pStyle w:val="3"/>
              <w:jc w:val="center"/>
              <w:rPr>
                <w:rFonts w:hint="eastAsia"/>
              </w:rPr>
            </w:pPr>
            <w:r>
              <w:rPr>
                <w:rFonts w:hint="eastAsia"/>
              </w:rPr>
              <w:t>0.697</w:t>
            </w:r>
          </w:p>
        </w:tc>
        <w:tc>
          <w:tcPr>
            <w:tcW w:w="836" w:type="pct"/>
            <w:vAlign w:val="center"/>
          </w:tcPr>
          <w:p w14:paraId="1A140B03">
            <w:pPr>
              <w:pStyle w:val="3"/>
              <w:jc w:val="center"/>
              <w:rPr>
                <w:rFonts w:hint="eastAsia"/>
              </w:rPr>
            </w:pPr>
            <w:r>
              <w:rPr>
                <w:rFonts w:hint="eastAsia"/>
              </w:rPr>
              <w:t>22.45</w:t>
            </w:r>
          </w:p>
        </w:tc>
      </w:tr>
      <w:tr w14:paraId="0856DE3B">
        <w:tblPrEx>
          <w:tblCellMar>
            <w:top w:w="0" w:type="dxa"/>
            <w:left w:w="108" w:type="dxa"/>
            <w:bottom w:w="0" w:type="dxa"/>
            <w:right w:w="108" w:type="dxa"/>
          </w:tblCellMar>
        </w:tblPrEx>
        <w:tc>
          <w:tcPr>
            <w:tcW w:w="2408" w:type="pct"/>
            <w:vAlign w:val="center"/>
          </w:tcPr>
          <w:p w14:paraId="4DD7BC15">
            <w:pPr>
              <w:pStyle w:val="3"/>
              <w:jc w:val="center"/>
              <w:rPr>
                <w:rFonts w:hint="eastAsia"/>
              </w:rPr>
            </w:pPr>
            <w:r>
              <w:rPr>
                <w:rFonts w:hint="eastAsia"/>
              </w:rPr>
              <w:t>{22699, 22698} → {22697}</w:t>
            </w:r>
          </w:p>
        </w:tc>
        <w:tc>
          <w:tcPr>
            <w:tcW w:w="918" w:type="pct"/>
            <w:vAlign w:val="center"/>
          </w:tcPr>
          <w:p w14:paraId="4CA9929B">
            <w:pPr>
              <w:pStyle w:val="3"/>
              <w:jc w:val="center"/>
              <w:rPr>
                <w:rFonts w:hint="eastAsia"/>
              </w:rPr>
            </w:pPr>
            <w:r>
              <w:rPr>
                <w:rFonts w:hint="eastAsia"/>
              </w:rPr>
              <w:t>0.0223</w:t>
            </w:r>
          </w:p>
        </w:tc>
        <w:tc>
          <w:tcPr>
            <w:tcW w:w="836" w:type="pct"/>
            <w:vAlign w:val="center"/>
          </w:tcPr>
          <w:p w14:paraId="3F36760A">
            <w:pPr>
              <w:pStyle w:val="3"/>
              <w:jc w:val="center"/>
              <w:rPr>
                <w:rFonts w:hint="eastAsia"/>
              </w:rPr>
            </w:pPr>
            <w:r>
              <w:rPr>
                <w:rFonts w:hint="eastAsia"/>
              </w:rPr>
              <w:t>0.890</w:t>
            </w:r>
          </w:p>
        </w:tc>
        <w:tc>
          <w:tcPr>
            <w:tcW w:w="836" w:type="pct"/>
            <w:vAlign w:val="center"/>
          </w:tcPr>
          <w:p w14:paraId="61928F75">
            <w:pPr>
              <w:pStyle w:val="3"/>
              <w:jc w:val="center"/>
              <w:rPr>
                <w:rFonts w:hint="eastAsia"/>
              </w:rPr>
            </w:pPr>
            <w:r>
              <w:rPr>
                <w:rFonts w:hint="eastAsia"/>
              </w:rPr>
              <w:t>22.33</w:t>
            </w:r>
          </w:p>
        </w:tc>
      </w:tr>
      <w:tr w14:paraId="01109D87">
        <w:tblPrEx>
          <w:tblCellMar>
            <w:top w:w="0" w:type="dxa"/>
            <w:left w:w="108" w:type="dxa"/>
            <w:bottom w:w="0" w:type="dxa"/>
            <w:right w:w="108" w:type="dxa"/>
          </w:tblCellMar>
        </w:tblPrEx>
        <w:tc>
          <w:tcPr>
            <w:tcW w:w="2408" w:type="pct"/>
            <w:vAlign w:val="center"/>
          </w:tcPr>
          <w:p w14:paraId="3515125E">
            <w:pPr>
              <w:pStyle w:val="3"/>
              <w:jc w:val="center"/>
              <w:rPr>
                <w:rFonts w:hint="eastAsia"/>
              </w:rPr>
            </w:pPr>
            <w:r>
              <w:rPr>
                <w:rFonts w:hint="eastAsia"/>
              </w:rPr>
              <w:t>{22697} → {22699, 22698}</w:t>
            </w:r>
          </w:p>
        </w:tc>
        <w:tc>
          <w:tcPr>
            <w:tcW w:w="918" w:type="pct"/>
            <w:vAlign w:val="center"/>
          </w:tcPr>
          <w:p w14:paraId="5C5A6C8A">
            <w:pPr>
              <w:pStyle w:val="3"/>
              <w:jc w:val="center"/>
              <w:rPr>
                <w:rFonts w:hint="eastAsia"/>
              </w:rPr>
            </w:pPr>
            <w:r>
              <w:rPr>
                <w:rFonts w:hint="eastAsia"/>
              </w:rPr>
              <w:t>0.0223</w:t>
            </w:r>
          </w:p>
        </w:tc>
        <w:tc>
          <w:tcPr>
            <w:tcW w:w="836" w:type="pct"/>
            <w:vAlign w:val="center"/>
          </w:tcPr>
          <w:p w14:paraId="7E2E05EE">
            <w:pPr>
              <w:pStyle w:val="3"/>
              <w:jc w:val="center"/>
              <w:rPr>
                <w:rFonts w:hint="eastAsia"/>
              </w:rPr>
            </w:pPr>
            <w:r>
              <w:rPr>
                <w:rFonts w:hint="eastAsia"/>
              </w:rPr>
              <w:t>0.558</w:t>
            </w:r>
          </w:p>
        </w:tc>
        <w:tc>
          <w:tcPr>
            <w:tcW w:w="836" w:type="pct"/>
            <w:vAlign w:val="center"/>
          </w:tcPr>
          <w:p w14:paraId="5B48F8DE">
            <w:pPr>
              <w:pStyle w:val="3"/>
              <w:jc w:val="center"/>
              <w:rPr>
                <w:rFonts w:hint="eastAsia"/>
              </w:rPr>
            </w:pPr>
            <w:r>
              <w:rPr>
                <w:rFonts w:hint="eastAsia"/>
              </w:rPr>
              <w:t>22.33</w:t>
            </w:r>
          </w:p>
        </w:tc>
      </w:tr>
      <w:tr w14:paraId="0F7DCB41">
        <w:tblPrEx>
          <w:tblCellMar>
            <w:top w:w="0" w:type="dxa"/>
            <w:left w:w="108" w:type="dxa"/>
            <w:bottom w:w="0" w:type="dxa"/>
            <w:right w:w="108" w:type="dxa"/>
          </w:tblCellMar>
        </w:tblPrEx>
        <w:tc>
          <w:tcPr>
            <w:tcW w:w="2408" w:type="pct"/>
            <w:vAlign w:val="center"/>
          </w:tcPr>
          <w:p w14:paraId="359EF20A">
            <w:pPr>
              <w:pStyle w:val="3"/>
              <w:jc w:val="center"/>
              <w:rPr>
                <w:rFonts w:hint="eastAsia"/>
              </w:rPr>
            </w:pPr>
            <w:r>
              <w:rPr>
                <w:rFonts w:hint="eastAsia"/>
              </w:rPr>
              <w:t>{22697} → {22698}</w:t>
            </w:r>
          </w:p>
        </w:tc>
        <w:tc>
          <w:tcPr>
            <w:tcW w:w="918" w:type="pct"/>
            <w:vAlign w:val="center"/>
          </w:tcPr>
          <w:p w14:paraId="66F15103">
            <w:pPr>
              <w:pStyle w:val="3"/>
              <w:jc w:val="center"/>
              <w:rPr>
                <w:rFonts w:hint="eastAsia"/>
              </w:rPr>
            </w:pPr>
            <w:r>
              <w:rPr>
                <w:rFonts w:hint="eastAsia"/>
              </w:rPr>
              <w:t>0.0264</w:t>
            </w:r>
          </w:p>
        </w:tc>
        <w:tc>
          <w:tcPr>
            <w:tcW w:w="836" w:type="pct"/>
            <w:vAlign w:val="center"/>
          </w:tcPr>
          <w:p w14:paraId="738C5395">
            <w:pPr>
              <w:pStyle w:val="3"/>
              <w:jc w:val="center"/>
              <w:rPr>
                <w:rFonts w:hint="eastAsia"/>
              </w:rPr>
            </w:pPr>
            <w:r>
              <w:rPr>
                <w:rFonts w:hint="eastAsia"/>
              </w:rPr>
              <w:t>0.661</w:t>
            </w:r>
          </w:p>
        </w:tc>
        <w:tc>
          <w:tcPr>
            <w:tcW w:w="836" w:type="pct"/>
            <w:vAlign w:val="center"/>
          </w:tcPr>
          <w:p w14:paraId="074CF7A9">
            <w:pPr>
              <w:pStyle w:val="3"/>
              <w:jc w:val="center"/>
              <w:rPr>
                <w:rFonts w:hint="eastAsia"/>
              </w:rPr>
            </w:pPr>
            <w:r>
              <w:rPr>
                <w:rFonts w:hint="eastAsia"/>
              </w:rPr>
              <w:t>20.72</w:t>
            </w:r>
          </w:p>
        </w:tc>
      </w:tr>
      <w:tr w14:paraId="53DF5C04">
        <w:tblPrEx>
          <w:tblCellMar>
            <w:top w:w="0" w:type="dxa"/>
            <w:left w:w="108" w:type="dxa"/>
            <w:bottom w:w="0" w:type="dxa"/>
            <w:right w:w="108" w:type="dxa"/>
          </w:tblCellMar>
        </w:tblPrEx>
        <w:tc>
          <w:tcPr>
            <w:tcW w:w="2408" w:type="pct"/>
            <w:vAlign w:val="center"/>
          </w:tcPr>
          <w:p w14:paraId="6EB21494">
            <w:pPr>
              <w:pStyle w:val="3"/>
              <w:jc w:val="center"/>
              <w:rPr>
                <w:rFonts w:hint="eastAsia"/>
              </w:rPr>
            </w:pPr>
            <w:r>
              <w:rPr>
                <w:rFonts w:hint="eastAsia"/>
              </w:rPr>
              <w:t>{22698} → {22697}</w:t>
            </w:r>
          </w:p>
        </w:tc>
        <w:tc>
          <w:tcPr>
            <w:tcW w:w="918" w:type="pct"/>
            <w:vAlign w:val="center"/>
          </w:tcPr>
          <w:p w14:paraId="091DBA77">
            <w:pPr>
              <w:pStyle w:val="3"/>
              <w:jc w:val="center"/>
              <w:rPr>
                <w:rFonts w:hint="eastAsia"/>
              </w:rPr>
            </w:pPr>
            <w:r>
              <w:rPr>
                <w:rFonts w:hint="eastAsia"/>
              </w:rPr>
              <w:t>0.0264</w:t>
            </w:r>
          </w:p>
        </w:tc>
        <w:tc>
          <w:tcPr>
            <w:tcW w:w="836" w:type="pct"/>
            <w:vAlign w:val="center"/>
          </w:tcPr>
          <w:p w14:paraId="25306DD9">
            <w:pPr>
              <w:pStyle w:val="3"/>
              <w:jc w:val="center"/>
              <w:rPr>
                <w:rFonts w:hint="eastAsia"/>
              </w:rPr>
            </w:pPr>
            <w:r>
              <w:rPr>
                <w:rFonts w:hint="eastAsia"/>
              </w:rPr>
              <w:t>0.826</w:t>
            </w:r>
          </w:p>
        </w:tc>
        <w:tc>
          <w:tcPr>
            <w:tcW w:w="836" w:type="pct"/>
            <w:vAlign w:val="center"/>
          </w:tcPr>
          <w:p w14:paraId="169BE764">
            <w:pPr>
              <w:pStyle w:val="3"/>
              <w:jc w:val="center"/>
              <w:rPr>
                <w:rFonts w:hint="eastAsia"/>
              </w:rPr>
            </w:pPr>
            <w:r>
              <w:rPr>
                <w:rFonts w:hint="eastAsia"/>
              </w:rPr>
              <w:t>20.72</w:t>
            </w:r>
          </w:p>
        </w:tc>
      </w:tr>
      <w:tr w14:paraId="6D06D251">
        <w:tblPrEx>
          <w:tblCellMar>
            <w:top w:w="0" w:type="dxa"/>
            <w:left w:w="108" w:type="dxa"/>
            <w:bottom w:w="0" w:type="dxa"/>
            <w:right w:w="108" w:type="dxa"/>
          </w:tblCellMar>
        </w:tblPrEx>
        <w:tc>
          <w:tcPr>
            <w:tcW w:w="2408" w:type="pct"/>
            <w:vAlign w:val="center"/>
          </w:tcPr>
          <w:p w14:paraId="04C99DAE">
            <w:pPr>
              <w:pStyle w:val="3"/>
              <w:jc w:val="center"/>
              <w:rPr>
                <w:rFonts w:hint="eastAsia"/>
              </w:rPr>
            </w:pPr>
            <w:r>
              <w:rPr>
                <w:rFonts w:hint="eastAsia"/>
              </w:rPr>
              <w:t>{22697, 22698} → {22699}</w:t>
            </w:r>
          </w:p>
        </w:tc>
        <w:tc>
          <w:tcPr>
            <w:tcW w:w="918" w:type="pct"/>
            <w:vAlign w:val="center"/>
          </w:tcPr>
          <w:p w14:paraId="1CA0BFAE">
            <w:pPr>
              <w:pStyle w:val="3"/>
              <w:jc w:val="center"/>
              <w:rPr>
                <w:rFonts w:hint="eastAsia"/>
              </w:rPr>
            </w:pPr>
            <w:r>
              <w:rPr>
                <w:rFonts w:hint="eastAsia"/>
              </w:rPr>
              <w:t>0.0223</w:t>
            </w:r>
          </w:p>
        </w:tc>
        <w:tc>
          <w:tcPr>
            <w:tcW w:w="836" w:type="pct"/>
            <w:vAlign w:val="center"/>
          </w:tcPr>
          <w:p w14:paraId="7C82777D">
            <w:pPr>
              <w:pStyle w:val="3"/>
              <w:jc w:val="center"/>
              <w:rPr>
                <w:rFonts w:hint="eastAsia"/>
              </w:rPr>
            </w:pPr>
            <w:r>
              <w:rPr>
                <w:rFonts w:hint="eastAsia"/>
              </w:rPr>
              <w:t>0.844</w:t>
            </w:r>
          </w:p>
        </w:tc>
        <w:tc>
          <w:tcPr>
            <w:tcW w:w="836" w:type="pct"/>
            <w:vAlign w:val="center"/>
          </w:tcPr>
          <w:p w14:paraId="30F60D1B">
            <w:pPr>
              <w:pStyle w:val="3"/>
              <w:jc w:val="center"/>
              <w:rPr>
                <w:rFonts w:hint="eastAsia"/>
              </w:rPr>
            </w:pPr>
            <w:r>
              <w:rPr>
                <w:rFonts w:hint="eastAsia"/>
              </w:rPr>
              <w:t>19.16</w:t>
            </w:r>
          </w:p>
        </w:tc>
      </w:tr>
      <w:tr w14:paraId="49315DDA">
        <w:tblPrEx>
          <w:tblCellMar>
            <w:top w:w="0" w:type="dxa"/>
            <w:left w:w="108" w:type="dxa"/>
            <w:bottom w:w="0" w:type="dxa"/>
            <w:right w:w="108" w:type="dxa"/>
          </w:tblCellMar>
        </w:tblPrEx>
        <w:tc>
          <w:tcPr>
            <w:tcW w:w="2408" w:type="pct"/>
            <w:vAlign w:val="center"/>
          </w:tcPr>
          <w:p w14:paraId="7C4EF12F">
            <w:pPr>
              <w:pStyle w:val="3"/>
              <w:jc w:val="center"/>
              <w:rPr>
                <w:rFonts w:hint="eastAsia"/>
              </w:rPr>
            </w:pPr>
            <w:r>
              <w:rPr>
                <w:rFonts w:hint="eastAsia"/>
              </w:rPr>
              <w:t>{22699} → {22697, 22698}</w:t>
            </w:r>
          </w:p>
        </w:tc>
        <w:tc>
          <w:tcPr>
            <w:tcW w:w="918" w:type="pct"/>
            <w:vAlign w:val="center"/>
          </w:tcPr>
          <w:p w14:paraId="5A19046F">
            <w:pPr>
              <w:pStyle w:val="3"/>
              <w:jc w:val="center"/>
              <w:rPr>
                <w:rFonts w:hint="eastAsia"/>
              </w:rPr>
            </w:pPr>
            <w:r>
              <w:rPr>
                <w:rFonts w:hint="eastAsia"/>
              </w:rPr>
              <w:t>0.0223</w:t>
            </w:r>
          </w:p>
        </w:tc>
        <w:tc>
          <w:tcPr>
            <w:tcW w:w="836" w:type="pct"/>
            <w:vAlign w:val="center"/>
          </w:tcPr>
          <w:p w14:paraId="39099D19">
            <w:pPr>
              <w:pStyle w:val="3"/>
              <w:jc w:val="center"/>
              <w:rPr>
                <w:rFonts w:hint="eastAsia"/>
              </w:rPr>
            </w:pPr>
            <w:r>
              <w:rPr>
                <w:rFonts w:hint="eastAsia"/>
              </w:rPr>
              <w:t>0.505</w:t>
            </w:r>
          </w:p>
        </w:tc>
        <w:tc>
          <w:tcPr>
            <w:tcW w:w="836" w:type="pct"/>
            <w:vAlign w:val="center"/>
          </w:tcPr>
          <w:p w14:paraId="26BC3D05">
            <w:pPr>
              <w:pStyle w:val="3"/>
              <w:jc w:val="center"/>
              <w:rPr>
                <w:rFonts w:hint="eastAsia"/>
              </w:rPr>
            </w:pPr>
            <w:r>
              <w:rPr>
                <w:rFonts w:hint="eastAsia"/>
              </w:rPr>
              <w:t>19.16</w:t>
            </w:r>
          </w:p>
        </w:tc>
      </w:tr>
      <w:tr w14:paraId="435EC8CA">
        <w:tblPrEx>
          <w:tblCellMar>
            <w:top w:w="0" w:type="dxa"/>
            <w:left w:w="108" w:type="dxa"/>
            <w:bottom w:w="0" w:type="dxa"/>
            <w:right w:w="108" w:type="dxa"/>
          </w:tblCellMar>
        </w:tblPrEx>
        <w:tc>
          <w:tcPr>
            <w:tcW w:w="2408" w:type="pct"/>
            <w:tcBorders>
              <w:bottom w:val="nil"/>
            </w:tcBorders>
            <w:vAlign w:val="center"/>
          </w:tcPr>
          <w:p w14:paraId="796685AB">
            <w:pPr>
              <w:pStyle w:val="3"/>
              <w:jc w:val="center"/>
              <w:rPr>
                <w:rFonts w:hint="eastAsia"/>
              </w:rPr>
            </w:pPr>
            <w:r>
              <w:rPr>
                <w:rFonts w:hint="eastAsia"/>
              </w:rPr>
              <w:t>{22699} → {22698}</w:t>
            </w:r>
          </w:p>
        </w:tc>
        <w:tc>
          <w:tcPr>
            <w:tcW w:w="918" w:type="pct"/>
            <w:tcBorders>
              <w:bottom w:val="nil"/>
            </w:tcBorders>
            <w:vAlign w:val="center"/>
          </w:tcPr>
          <w:p w14:paraId="70D2D6C8">
            <w:pPr>
              <w:pStyle w:val="3"/>
              <w:jc w:val="center"/>
              <w:rPr>
                <w:rFonts w:hint="eastAsia"/>
              </w:rPr>
            </w:pPr>
            <w:r>
              <w:rPr>
                <w:rFonts w:hint="eastAsia"/>
              </w:rPr>
              <w:t>0.0250</w:t>
            </w:r>
          </w:p>
        </w:tc>
        <w:tc>
          <w:tcPr>
            <w:tcW w:w="836" w:type="pct"/>
            <w:tcBorders>
              <w:bottom w:val="nil"/>
            </w:tcBorders>
            <w:vAlign w:val="center"/>
          </w:tcPr>
          <w:p w14:paraId="1EB844D5">
            <w:pPr>
              <w:pStyle w:val="3"/>
              <w:jc w:val="center"/>
              <w:rPr>
                <w:rFonts w:hint="eastAsia"/>
              </w:rPr>
            </w:pPr>
            <w:r>
              <w:rPr>
                <w:rFonts w:hint="eastAsia"/>
              </w:rPr>
              <w:t>0.567</w:t>
            </w:r>
          </w:p>
        </w:tc>
        <w:tc>
          <w:tcPr>
            <w:tcW w:w="836" w:type="pct"/>
            <w:tcBorders>
              <w:bottom w:val="nil"/>
            </w:tcBorders>
            <w:vAlign w:val="center"/>
          </w:tcPr>
          <w:p w14:paraId="7B888638">
            <w:pPr>
              <w:pStyle w:val="3"/>
              <w:jc w:val="center"/>
              <w:rPr>
                <w:rFonts w:hint="eastAsia"/>
              </w:rPr>
            </w:pPr>
            <w:r>
              <w:rPr>
                <w:rFonts w:hint="eastAsia"/>
              </w:rPr>
              <w:t>17.78</w:t>
            </w:r>
          </w:p>
        </w:tc>
      </w:tr>
      <w:tr w14:paraId="16E48C1B">
        <w:tblPrEx>
          <w:tblCellMar>
            <w:top w:w="0" w:type="dxa"/>
            <w:left w:w="108" w:type="dxa"/>
            <w:bottom w:w="0" w:type="dxa"/>
            <w:right w:w="108" w:type="dxa"/>
          </w:tblCellMar>
        </w:tblPrEx>
        <w:tc>
          <w:tcPr>
            <w:tcW w:w="2408" w:type="pct"/>
            <w:tcBorders>
              <w:top w:val="nil"/>
              <w:left w:val="nil"/>
              <w:bottom w:val="nil"/>
              <w:right w:val="nil"/>
            </w:tcBorders>
            <w:vAlign w:val="center"/>
          </w:tcPr>
          <w:p w14:paraId="7E6D5362">
            <w:pPr>
              <w:pStyle w:val="3"/>
              <w:jc w:val="center"/>
              <w:rPr>
                <w:rFonts w:hint="eastAsia"/>
              </w:rPr>
            </w:pPr>
            <w:r>
              <w:rPr>
                <w:rFonts w:hint="eastAsia"/>
              </w:rPr>
              <w:t>{22698} → {22699}</w:t>
            </w:r>
          </w:p>
        </w:tc>
        <w:tc>
          <w:tcPr>
            <w:tcW w:w="918" w:type="pct"/>
            <w:tcBorders>
              <w:top w:val="nil"/>
              <w:left w:val="nil"/>
              <w:bottom w:val="nil"/>
              <w:right w:val="nil"/>
            </w:tcBorders>
            <w:vAlign w:val="center"/>
          </w:tcPr>
          <w:p w14:paraId="388D05BB">
            <w:pPr>
              <w:pStyle w:val="3"/>
              <w:jc w:val="center"/>
              <w:rPr>
                <w:rFonts w:hint="eastAsia"/>
              </w:rPr>
            </w:pPr>
            <w:r>
              <w:rPr>
                <w:rFonts w:hint="eastAsia"/>
              </w:rPr>
              <w:t>0.0250</w:t>
            </w:r>
          </w:p>
        </w:tc>
        <w:tc>
          <w:tcPr>
            <w:tcW w:w="836" w:type="pct"/>
            <w:tcBorders>
              <w:top w:val="nil"/>
              <w:left w:val="nil"/>
              <w:bottom w:val="nil"/>
              <w:right w:val="nil"/>
            </w:tcBorders>
            <w:vAlign w:val="center"/>
          </w:tcPr>
          <w:p w14:paraId="3630E831">
            <w:pPr>
              <w:pStyle w:val="3"/>
              <w:jc w:val="center"/>
              <w:rPr>
                <w:rFonts w:hint="eastAsia"/>
              </w:rPr>
            </w:pPr>
            <w:r>
              <w:rPr>
                <w:rFonts w:hint="eastAsia"/>
              </w:rPr>
              <w:t>0.783</w:t>
            </w:r>
          </w:p>
        </w:tc>
        <w:tc>
          <w:tcPr>
            <w:tcW w:w="836" w:type="pct"/>
            <w:tcBorders>
              <w:top w:val="nil"/>
              <w:left w:val="nil"/>
              <w:bottom w:val="nil"/>
              <w:right w:val="nil"/>
            </w:tcBorders>
            <w:vAlign w:val="center"/>
          </w:tcPr>
          <w:p w14:paraId="651088B8">
            <w:pPr>
              <w:pStyle w:val="3"/>
              <w:jc w:val="center"/>
              <w:rPr>
                <w:rFonts w:hint="eastAsia"/>
              </w:rPr>
            </w:pPr>
            <w:r>
              <w:rPr>
                <w:rFonts w:hint="eastAsia"/>
              </w:rPr>
              <w:t>17.78</w:t>
            </w:r>
          </w:p>
        </w:tc>
      </w:tr>
      <w:tr w14:paraId="783A7552">
        <w:tblPrEx>
          <w:tblCellMar>
            <w:top w:w="0" w:type="dxa"/>
            <w:left w:w="108" w:type="dxa"/>
            <w:bottom w:w="0" w:type="dxa"/>
            <w:right w:w="108" w:type="dxa"/>
          </w:tblCellMar>
        </w:tblPrEx>
        <w:tc>
          <w:tcPr>
            <w:tcW w:w="2408" w:type="pct"/>
            <w:tcBorders>
              <w:top w:val="nil"/>
            </w:tcBorders>
            <w:vAlign w:val="center"/>
          </w:tcPr>
          <w:p w14:paraId="3E6C7124">
            <w:pPr>
              <w:pStyle w:val="3"/>
              <w:jc w:val="center"/>
              <w:rPr>
                <w:rFonts w:hint="eastAsia"/>
              </w:rPr>
            </w:pPr>
            <w:r>
              <w:rPr>
                <w:rFonts w:hint="eastAsia"/>
              </w:rPr>
              <w:t>{22699} → {22697}</w:t>
            </w:r>
          </w:p>
        </w:tc>
        <w:tc>
          <w:tcPr>
            <w:tcW w:w="918" w:type="pct"/>
            <w:tcBorders>
              <w:top w:val="nil"/>
            </w:tcBorders>
            <w:vAlign w:val="center"/>
          </w:tcPr>
          <w:p w14:paraId="536BC616">
            <w:pPr>
              <w:pStyle w:val="3"/>
              <w:jc w:val="center"/>
              <w:rPr>
                <w:rFonts w:hint="eastAsia"/>
              </w:rPr>
            </w:pPr>
            <w:r>
              <w:rPr>
                <w:rFonts w:hint="eastAsia"/>
              </w:rPr>
              <w:t>0.0311</w:t>
            </w:r>
          </w:p>
        </w:tc>
        <w:tc>
          <w:tcPr>
            <w:tcW w:w="836" w:type="pct"/>
            <w:tcBorders>
              <w:top w:val="nil"/>
            </w:tcBorders>
            <w:vAlign w:val="center"/>
          </w:tcPr>
          <w:p w14:paraId="5A4704C6">
            <w:pPr>
              <w:pStyle w:val="3"/>
              <w:jc w:val="center"/>
              <w:rPr>
                <w:rFonts w:hint="eastAsia"/>
              </w:rPr>
            </w:pPr>
            <w:r>
              <w:rPr>
                <w:rFonts w:hint="eastAsia"/>
              </w:rPr>
              <w:t>0.705</w:t>
            </w:r>
          </w:p>
        </w:tc>
        <w:tc>
          <w:tcPr>
            <w:tcW w:w="836" w:type="pct"/>
            <w:tcBorders>
              <w:top w:val="nil"/>
            </w:tcBorders>
            <w:vAlign w:val="center"/>
          </w:tcPr>
          <w:p w14:paraId="7913C169">
            <w:pPr>
              <w:pStyle w:val="3"/>
              <w:jc w:val="center"/>
              <w:rPr>
                <w:rFonts w:hint="eastAsia"/>
              </w:rPr>
            </w:pPr>
            <w:r>
              <w:rPr>
                <w:rFonts w:hint="eastAsia"/>
              </w:rPr>
              <w:t>17.68</w:t>
            </w:r>
          </w:p>
        </w:tc>
      </w:tr>
      <w:tr w14:paraId="2DFB02DC">
        <w:tblPrEx>
          <w:tblCellMar>
            <w:top w:w="0" w:type="dxa"/>
            <w:left w:w="108" w:type="dxa"/>
            <w:bottom w:w="0" w:type="dxa"/>
            <w:right w:w="108" w:type="dxa"/>
          </w:tblCellMar>
        </w:tblPrEx>
        <w:tc>
          <w:tcPr>
            <w:tcW w:w="2408" w:type="pct"/>
            <w:tcBorders>
              <w:bottom w:val="single" w:color="000000" w:sz="12" w:space="0"/>
            </w:tcBorders>
            <w:vAlign w:val="center"/>
          </w:tcPr>
          <w:p w14:paraId="33F0D6A3">
            <w:pPr>
              <w:pStyle w:val="3"/>
              <w:jc w:val="center"/>
              <w:rPr>
                <w:rFonts w:hint="eastAsia"/>
              </w:rPr>
            </w:pPr>
            <w:r>
              <w:rPr>
                <w:rFonts w:hint="eastAsia"/>
              </w:rPr>
              <w:t>{22697} → {22699}</w:t>
            </w:r>
          </w:p>
        </w:tc>
        <w:tc>
          <w:tcPr>
            <w:tcW w:w="918" w:type="pct"/>
            <w:tcBorders>
              <w:bottom w:val="single" w:color="000000" w:sz="12" w:space="0"/>
            </w:tcBorders>
            <w:vAlign w:val="center"/>
          </w:tcPr>
          <w:p w14:paraId="5F20BF25">
            <w:pPr>
              <w:pStyle w:val="3"/>
              <w:jc w:val="center"/>
              <w:rPr>
                <w:rFonts w:hint="eastAsia"/>
              </w:rPr>
            </w:pPr>
            <w:r>
              <w:rPr>
                <w:rFonts w:hint="eastAsia"/>
              </w:rPr>
              <w:t>0.0311</w:t>
            </w:r>
          </w:p>
        </w:tc>
        <w:tc>
          <w:tcPr>
            <w:tcW w:w="836" w:type="pct"/>
            <w:tcBorders>
              <w:bottom w:val="single" w:color="000000" w:sz="12" w:space="0"/>
            </w:tcBorders>
            <w:vAlign w:val="center"/>
          </w:tcPr>
          <w:p w14:paraId="380B2304">
            <w:pPr>
              <w:pStyle w:val="3"/>
              <w:jc w:val="center"/>
              <w:rPr>
                <w:rFonts w:hint="eastAsia"/>
              </w:rPr>
            </w:pPr>
            <w:r>
              <w:rPr>
                <w:rFonts w:hint="eastAsia"/>
              </w:rPr>
              <w:t>0.779</w:t>
            </w:r>
          </w:p>
        </w:tc>
        <w:tc>
          <w:tcPr>
            <w:tcW w:w="836" w:type="pct"/>
            <w:tcBorders>
              <w:bottom w:val="single" w:color="000000" w:sz="12" w:space="0"/>
            </w:tcBorders>
            <w:vAlign w:val="center"/>
          </w:tcPr>
          <w:p w14:paraId="6FA94EDA">
            <w:pPr>
              <w:pStyle w:val="3"/>
              <w:jc w:val="center"/>
              <w:rPr>
                <w:rFonts w:hint="eastAsia"/>
              </w:rPr>
            </w:pPr>
            <w:r>
              <w:rPr>
                <w:rFonts w:hint="eastAsia"/>
              </w:rPr>
              <w:t>17.68</w:t>
            </w:r>
          </w:p>
        </w:tc>
      </w:tr>
    </w:tbl>
    <w:p w14:paraId="322E8333">
      <w:pPr>
        <w:pStyle w:val="3"/>
      </w:pPr>
      <w:r>
        <w:rPr>
          <w:rFonts w:hint="eastAsia"/>
        </w:rPr>
        <w:t>这12条规则均围绕{22697,</w:t>
      </w:r>
      <w:r>
        <w:t xml:space="preserve"> 22698, </w:t>
      </w:r>
      <w:r>
        <w:rPr>
          <w:rFonts w:hint="eastAsia"/>
        </w:rPr>
        <w:t>22699}三件商品展开，占据了Top</w:t>
      </w:r>
      <w:r>
        <w:t xml:space="preserve"> </w:t>
      </w:r>
      <w:r>
        <w:rPr>
          <w:rFonts w:hint="eastAsia"/>
        </w:rPr>
        <w:t>20规则的60%。从三指标来看，该组合的支撑力和方向一致性极强——无论从哪个方向切入，提升度均超过17，其中以{22699,</w:t>
      </w:r>
      <w:r>
        <w:t xml:space="preserve"> </w:t>
      </w:r>
      <w:r>
        <w:rPr>
          <w:rFonts w:hint="eastAsia"/>
        </w:rPr>
        <w:t>22697}同时出现时推荐22698的效果最为突出（置信度71.6%、提升度22.45）。特别值得关注的是单向强规则{22699,</w:t>
      </w:r>
      <w:r>
        <w:t xml:space="preserve"> </w:t>
      </w:r>
      <w:r>
        <w:rPr>
          <w:rFonts w:hint="eastAsia"/>
        </w:rPr>
        <w:t>22698}→{22697}的置信度高达89.0%，意味着已购买22699和22698两件的客户中，近九成会同时购买22697。该三件商品适合以"套装捆绑"的方式统一陈列和定价。</w:t>
      </w:r>
    </w:p>
    <w:p w14:paraId="61EF3D18">
      <w:pPr>
        <w:pStyle w:val="3"/>
        <w:rPr>
          <w:rFonts w:hint="eastAsia"/>
        </w:rPr>
      </w:pPr>
      <w:r>
        <w:rPr>
          <w:rFonts w:hint="eastAsia"/>
        </w:rPr>
        <w:t>组合二：{22629,</w:t>
      </w:r>
      <w:r>
        <w:t xml:space="preserve"> 22630} — </w:t>
      </w:r>
      <w:r>
        <w:rPr>
          <w:rFonts w:hint="eastAsia"/>
        </w:rPr>
        <w:t>双向强关联</w:t>
      </w:r>
    </w:p>
    <w:p w14:paraId="724F33D4">
      <w:pPr>
        <w:pStyle w:val="12"/>
        <w:rPr>
          <w:rFonts w:hint="eastAsia" w:eastAsia="宋体"/>
          <w:lang w:val="en-US" w:eastAsia="zh-CN"/>
        </w:rPr>
      </w:pPr>
      <w:r>
        <w:t xml:space="preserve">表 </w:t>
      </w:r>
      <w:r>
        <w:fldChar w:fldCharType="begin"/>
      </w:r>
      <w:r>
        <w:instrText xml:space="preserve"> SEQ 表 \* ARABIC </w:instrText>
      </w:r>
      <w:r>
        <w:fldChar w:fldCharType="separate"/>
      </w:r>
      <w:r>
        <w:t>5</w:t>
      </w:r>
      <w:r>
        <w:fldChar w:fldCharType="end"/>
      </w:r>
      <w:r>
        <w:rPr>
          <w:rFonts w:hint="eastAsia"/>
          <w:lang w:val="en-US" w:eastAsia="zh-CN"/>
        </w:rPr>
        <w:t xml:space="preserve"> 组合二规则表</w:t>
      </w:r>
    </w:p>
    <w:tbl>
      <w:tblPr>
        <w:tblStyle w:val="46"/>
        <w:tblW w:w="4998" w:type="pct"/>
        <w:tblInd w:w="0" w:type="dxa"/>
        <w:tblLayout w:type="autofit"/>
        <w:tblCellMar>
          <w:top w:w="0" w:type="dxa"/>
          <w:left w:w="108" w:type="dxa"/>
          <w:bottom w:w="0" w:type="dxa"/>
          <w:right w:w="108" w:type="dxa"/>
        </w:tblCellMar>
      </w:tblPr>
      <w:tblGrid>
        <w:gridCol w:w="3545"/>
        <w:gridCol w:w="1769"/>
        <w:gridCol w:w="1769"/>
        <w:gridCol w:w="1769"/>
      </w:tblGrid>
      <w:tr w14:paraId="414899E8">
        <w:tblPrEx>
          <w:tblCellMar>
            <w:top w:w="0" w:type="dxa"/>
            <w:left w:w="108" w:type="dxa"/>
            <w:bottom w:w="0" w:type="dxa"/>
            <w:right w:w="108" w:type="dxa"/>
          </w:tblCellMar>
        </w:tblPrEx>
        <w:trPr>
          <w:tblHeader/>
        </w:trPr>
        <w:tc>
          <w:tcPr>
            <w:tcW w:w="2002" w:type="pct"/>
            <w:tcBorders>
              <w:top w:val="single" w:color="000000" w:sz="18" w:space="0"/>
              <w:bottom w:val="single" w:color="000000" w:sz="12" w:space="0"/>
            </w:tcBorders>
          </w:tcPr>
          <w:p w14:paraId="0050669E">
            <w:pPr>
              <w:pStyle w:val="3"/>
              <w:rPr>
                <w:rFonts w:hint="eastAsia"/>
                <w:b/>
                <w:bCs/>
              </w:rPr>
            </w:pPr>
            <w:r>
              <w:rPr>
                <w:rFonts w:hint="eastAsia"/>
                <w:b/>
                <w:bCs/>
              </w:rPr>
              <w:t>规则方向</w:t>
            </w:r>
          </w:p>
        </w:tc>
        <w:tc>
          <w:tcPr>
            <w:tcW w:w="999" w:type="pct"/>
            <w:tcBorders>
              <w:top w:val="single" w:color="000000" w:sz="18" w:space="0"/>
              <w:bottom w:val="single" w:color="000000" w:sz="12" w:space="0"/>
            </w:tcBorders>
          </w:tcPr>
          <w:p w14:paraId="03E3DB5D">
            <w:pPr>
              <w:pStyle w:val="3"/>
              <w:rPr>
                <w:rFonts w:hint="eastAsia"/>
                <w:b/>
                <w:bCs/>
              </w:rPr>
            </w:pPr>
            <w:r>
              <w:rPr>
                <w:rFonts w:hint="eastAsia"/>
                <w:b/>
                <w:bCs/>
              </w:rPr>
              <w:t>支持度</w:t>
            </w:r>
          </w:p>
        </w:tc>
        <w:tc>
          <w:tcPr>
            <w:tcW w:w="999" w:type="pct"/>
            <w:tcBorders>
              <w:top w:val="single" w:color="000000" w:sz="18" w:space="0"/>
              <w:bottom w:val="single" w:color="000000" w:sz="12" w:space="0"/>
            </w:tcBorders>
          </w:tcPr>
          <w:p w14:paraId="25F7CF56">
            <w:pPr>
              <w:pStyle w:val="3"/>
              <w:rPr>
                <w:rFonts w:hint="eastAsia"/>
                <w:b/>
                <w:bCs/>
              </w:rPr>
            </w:pPr>
            <w:r>
              <w:rPr>
                <w:rFonts w:hint="eastAsia"/>
                <w:b/>
                <w:bCs/>
              </w:rPr>
              <w:t>置信度</w:t>
            </w:r>
          </w:p>
        </w:tc>
        <w:tc>
          <w:tcPr>
            <w:tcW w:w="999" w:type="pct"/>
            <w:tcBorders>
              <w:top w:val="single" w:color="000000" w:sz="18" w:space="0"/>
              <w:bottom w:val="single" w:color="000000" w:sz="12" w:space="0"/>
            </w:tcBorders>
          </w:tcPr>
          <w:p w14:paraId="3DD3D864">
            <w:pPr>
              <w:pStyle w:val="3"/>
              <w:rPr>
                <w:rFonts w:hint="eastAsia"/>
                <w:b/>
                <w:bCs/>
              </w:rPr>
            </w:pPr>
            <w:r>
              <w:rPr>
                <w:rFonts w:hint="eastAsia"/>
                <w:b/>
                <w:bCs/>
              </w:rPr>
              <w:t>提升度</w:t>
            </w:r>
          </w:p>
        </w:tc>
      </w:tr>
      <w:tr w14:paraId="5FB204D1">
        <w:tblPrEx>
          <w:tblCellMar>
            <w:top w:w="0" w:type="dxa"/>
            <w:left w:w="108" w:type="dxa"/>
            <w:bottom w:w="0" w:type="dxa"/>
            <w:right w:w="108" w:type="dxa"/>
          </w:tblCellMar>
        </w:tblPrEx>
        <w:tc>
          <w:tcPr>
            <w:tcW w:w="2002" w:type="pct"/>
            <w:tcBorders>
              <w:top w:val="single" w:color="000000" w:sz="12" w:space="0"/>
            </w:tcBorders>
          </w:tcPr>
          <w:p w14:paraId="274A8A52">
            <w:pPr>
              <w:pStyle w:val="3"/>
              <w:rPr>
                <w:rFonts w:hint="eastAsia"/>
              </w:rPr>
            </w:pPr>
            <w:r>
              <w:rPr>
                <w:rFonts w:hint="eastAsia"/>
              </w:rPr>
              <w:t>{22629} → {22630}</w:t>
            </w:r>
          </w:p>
        </w:tc>
        <w:tc>
          <w:tcPr>
            <w:tcW w:w="999" w:type="pct"/>
            <w:tcBorders>
              <w:top w:val="single" w:color="000000" w:sz="12" w:space="0"/>
            </w:tcBorders>
          </w:tcPr>
          <w:p w14:paraId="25AABBC7">
            <w:pPr>
              <w:pStyle w:val="3"/>
              <w:rPr>
                <w:rFonts w:hint="eastAsia"/>
              </w:rPr>
            </w:pPr>
            <w:r>
              <w:rPr>
                <w:rFonts w:hint="eastAsia"/>
              </w:rPr>
              <w:t>0.0204</w:t>
            </w:r>
          </w:p>
        </w:tc>
        <w:tc>
          <w:tcPr>
            <w:tcW w:w="999" w:type="pct"/>
            <w:tcBorders>
              <w:top w:val="single" w:color="000000" w:sz="12" w:space="0"/>
            </w:tcBorders>
          </w:tcPr>
          <w:p w14:paraId="75BFC646">
            <w:pPr>
              <w:pStyle w:val="3"/>
              <w:rPr>
                <w:rFonts w:hint="eastAsia"/>
              </w:rPr>
            </w:pPr>
            <w:r>
              <w:rPr>
                <w:rFonts w:hint="eastAsia"/>
              </w:rPr>
              <w:t>0.619</w:t>
            </w:r>
          </w:p>
        </w:tc>
        <w:tc>
          <w:tcPr>
            <w:tcW w:w="999" w:type="pct"/>
            <w:tcBorders>
              <w:top w:val="single" w:color="000000" w:sz="12" w:space="0"/>
            </w:tcBorders>
          </w:tcPr>
          <w:p w14:paraId="2FE61F71">
            <w:pPr>
              <w:pStyle w:val="3"/>
              <w:rPr>
                <w:rFonts w:hint="eastAsia"/>
              </w:rPr>
            </w:pPr>
            <w:r>
              <w:rPr>
                <w:rFonts w:hint="eastAsia"/>
              </w:rPr>
              <w:t>20.30</w:t>
            </w:r>
          </w:p>
        </w:tc>
      </w:tr>
      <w:tr w14:paraId="152C183C">
        <w:tblPrEx>
          <w:tblCellMar>
            <w:top w:w="0" w:type="dxa"/>
            <w:left w:w="108" w:type="dxa"/>
            <w:bottom w:w="0" w:type="dxa"/>
            <w:right w:w="108" w:type="dxa"/>
          </w:tblCellMar>
        </w:tblPrEx>
        <w:tc>
          <w:tcPr>
            <w:tcW w:w="2002" w:type="pct"/>
            <w:tcBorders>
              <w:bottom w:val="single" w:color="000000" w:sz="18" w:space="0"/>
            </w:tcBorders>
          </w:tcPr>
          <w:p w14:paraId="11D24CF3">
            <w:pPr>
              <w:pStyle w:val="3"/>
              <w:rPr>
                <w:rFonts w:hint="eastAsia"/>
              </w:rPr>
            </w:pPr>
            <w:r>
              <w:rPr>
                <w:rFonts w:hint="eastAsia"/>
              </w:rPr>
              <w:t>{22630} → {22629}</w:t>
            </w:r>
          </w:p>
        </w:tc>
        <w:tc>
          <w:tcPr>
            <w:tcW w:w="999" w:type="pct"/>
            <w:tcBorders>
              <w:bottom w:val="single" w:color="000000" w:sz="18" w:space="0"/>
            </w:tcBorders>
          </w:tcPr>
          <w:p w14:paraId="2D3EFAA9">
            <w:pPr>
              <w:pStyle w:val="3"/>
              <w:rPr>
                <w:rFonts w:hint="eastAsia"/>
              </w:rPr>
            </w:pPr>
            <w:r>
              <w:rPr>
                <w:rFonts w:hint="eastAsia"/>
              </w:rPr>
              <w:t>0.0204</w:t>
            </w:r>
          </w:p>
        </w:tc>
        <w:tc>
          <w:tcPr>
            <w:tcW w:w="999" w:type="pct"/>
            <w:tcBorders>
              <w:bottom w:val="single" w:color="000000" w:sz="18" w:space="0"/>
            </w:tcBorders>
          </w:tcPr>
          <w:p w14:paraId="731680A4">
            <w:pPr>
              <w:pStyle w:val="3"/>
              <w:rPr>
                <w:rFonts w:hint="eastAsia"/>
              </w:rPr>
            </w:pPr>
            <w:r>
              <w:rPr>
                <w:rFonts w:hint="eastAsia"/>
              </w:rPr>
              <w:t>0.670</w:t>
            </w:r>
          </w:p>
        </w:tc>
        <w:tc>
          <w:tcPr>
            <w:tcW w:w="999" w:type="pct"/>
            <w:tcBorders>
              <w:bottom w:val="single" w:color="000000" w:sz="18" w:space="0"/>
            </w:tcBorders>
          </w:tcPr>
          <w:p w14:paraId="5179C3DF">
            <w:pPr>
              <w:pStyle w:val="3"/>
              <w:rPr>
                <w:rFonts w:hint="eastAsia"/>
              </w:rPr>
            </w:pPr>
            <w:r>
              <w:rPr>
                <w:rFonts w:hint="eastAsia"/>
              </w:rPr>
              <w:t>20.30</w:t>
            </w:r>
          </w:p>
        </w:tc>
      </w:tr>
    </w:tbl>
    <w:p w14:paraId="31ACE111">
      <w:pPr>
        <w:pStyle w:val="3"/>
        <w:ind w:left="0" w:leftChars="0" w:firstLine="0" w:firstLineChars="0"/>
        <w:rPr>
          <w:rFonts w:hint="eastAsia"/>
        </w:rPr>
      </w:pPr>
    </w:p>
    <w:p w14:paraId="0480A970">
      <w:pPr>
        <w:pStyle w:val="3"/>
      </w:pPr>
      <w:r>
        <w:rPr>
          <w:rFonts w:hint="eastAsia"/>
        </w:rPr>
        <w:t>这对商品呈现出高度对称的关联关系：两个方向的置信度分别为61.9%和67.0%，提升度均为20.30。即任何一方的购买都会显著提升对方被同时加入购物车的概率。</w:t>
      </w:r>
    </w:p>
    <w:p w14:paraId="7A82943E">
      <w:pPr>
        <w:pStyle w:val="3"/>
        <w:rPr>
          <w:rFonts w:hint="eastAsia"/>
        </w:rPr>
      </w:pPr>
      <w:r>
        <w:rPr>
          <w:rFonts w:hint="eastAsia"/>
        </w:rPr>
        <w:t>组合三：{23300,</w:t>
      </w:r>
      <w:r>
        <w:t xml:space="preserve"> 23301} — </w:t>
      </w:r>
      <w:r>
        <w:rPr>
          <w:rFonts w:hint="eastAsia"/>
        </w:rPr>
        <w:t>稳健型组合</w:t>
      </w:r>
    </w:p>
    <w:p w14:paraId="7BF5BA35">
      <w:pPr>
        <w:pStyle w:val="12"/>
        <w:rPr>
          <w:rFonts w:hint="eastAsia" w:eastAsia="宋体"/>
          <w:lang w:val="en-US" w:eastAsia="zh-CN"/>
        </w:rPr>
      </w:pPr>
      <w:r>
        <w:t xml:space="preserve">表 </w:t>
      </w:r>
      <w:r>
        <w:fldChar w:fldCharType="begin"/>
      </w:r>
      <w:r>
        <w:instrText xml:space="preserve"> SEQ 表 \* ARABIC </w:instrText>
      </w:r>
      <w:r>
        <w:fldChar w:fldCharType="separate"/>
      </w:r>
      <w:r>
        <w:t>6</w:t>
      </w:r>
      <w:r>
        <w:fldChar w:fldCharType="end"/>
      </w:r>
      <w:r>
        <w:rPr>
          <w:rFonts w:hint="eastAsia"/>
          <w:lang w:val="en-US" w:eastAsia="zh-CN"/>
        </w:rPr>
        <w:t xml:space="preserve"> 组合三规则表</w:t>
      </w:r>
    </w:p>
    <w:tbl>
      <w:tblPr>
        <w:tblStyle w:val="46"/>
        <w:tblW w:w="4998" w:type="pct"/>
        <w:tblInd w:w="0" w:type="dxa"/>
        <w:tblLayout w:type="autofit"/>
        <w:tblCellMar>
          <w:top w:w="0" w:type="dxa"/>
          <w:left w:w="108" w:type="dxa"/>
          <w:bottom w:w="0" w:type="dxa"/>
          <w:right w:w="108" w:type="dxa"/>
        </w:tblCellMar>
      </w:tblPr>
      <w:tblGrid>
        <w:gridCol w:w="3545"/>
        <w:gridCol w:w="1769"/>
        <w:gridCol w:w="1769"/>
        <w:gridCol w:w="1769"/>
      </w:tblGrid>
      <w:tr w14:paraId="5350D541">
        <w:tblPrEx>
          <w:tblCellMar>
            <w:top w:w="0" w:type="dxa"/>
            <w:left w:w="108" w:type="dxa"/>
            <w:bottom w:w="0" w:type="dxa"/>
            <w:right w:w="108" w:type="dxa"/>
          </w:tblCellMar>
        </w:tblPrEx>
        <w:trPr>
          <w:tblHeader/>
        </w:trPr>
        <w:tc>
          <w:tcPr>
            <w:tcW w:w="2002" w:type="pct"/>
            <w:tcBorders>
              <w:top w:val="single" w:color="000000" w:sz="18" w:space="0"/>
              <w:bottom w:val="single" w:color="000000" w:sz="12" w:space="0"/>
            </w:tcBorders>
          </w:tcPr>
          <w:p w14:paraId="58718930">
            <w:pPr>
              <w:pStyle w:val="3"/>
              <w:rPr>
                <w:rFonts w:hint="eastAsia"/>
                <w:b/>
                <w:bCs/>
              </w:rPr>
            </w:pPr>
            <w:r>
              <w:rPr>
                <w:rFonts w:hint="eastAsia"/>
                <w:b/>
                <w:bCs/>
              </w:rPr>
              <w:t>规则方向</w:t>
            </w:r>
          </w:p>
        </w:tc>
        <w:tc>
          <w:tcPr>
            <w:tcW w:w="999" w:type="pct"/>
            <w:tcBorders>
              <w:top w:val="single" w:color="000000" w:sz="18" w:space="0"/>
              <w:bottom w:val="single" w:color="000000" w:sz="12" w:space="0"/>
            </w:tcBorders>
          </w:tcPr>
          <w:p w14:paraId="1A2508AD">
            <w:pPr>
              <w:pStyle w:val="3"/>
              <w:rPr>
                <w:rFonts w:hint="eastAsia"/>
                <w:b/>
                <w:bCs/>
              </w:rPr>
            </w:pPr>
            <w:r>
              <w:rPr>
                <w:rFonts w:hint="eastAsia"/>
                <w:b/>
                <w:bCs/>
              </w:rPr>
              <w:t>支持度</w:t>
            </w:r>
          </w:p>
        </w:tc>
        <w:tc>
          <w:tcPr>
            <w:tcW w:w="999" w:type="pct"/>
            <w:tcBorders>
              <w:top w:val="single" w:color="000000" w:sz="18" w:space="0"/>
              <w:bottom w:val="single" w:color="000000" w:sz="12" w:space="0"/>
            </w:tcBorders>
          </w:tcPr>
          <w:p w14:paraId="5B552601">
            <w:pPr>
              <w:pStyle w:val="3"/>
              <w:rPr>
                <w:rFonts w:hint="eastAsia"/>
                <w:b/>
                <w:bCs/>
              </w:rPr>
            </w:pPr>
            <w:r>
              <w:rPr>
                <w:rFonts w:hint="eastAsia"/>
                <w:b/>
                <w:bCs/>
              </w:rPr>
              <w:t>置信度</w:t>
            </w:r>
          </w:p>
        </w:tc>
        <w:tc>
          <w:tcPr>
            <w:tcW w:w="999" w:type="pct"/>
            <w:tcBorders>
              <w:top w:val="single" w:color="000000" w:sz="18" w:space="0"/>
              <w:bottom w:val="single" w:color="000000" w:sz="12" w:space="0"/>
            </w:tcBorders>
          </w:tcPr>
          <w:p w14:paraId="55C13CBC">
            <w:pPr>
              <w:pStyle w:val="3"/>
              <w:rPr>
                <w:rFonts w:hint="eastAsia"/>
                <w:b/>
                <w:bCs/>
              </w:rPr>
            </w:pPr>
            <w:r>
              <w:rPr>
                <w:rFonts w:hint="eastAsia"/>
                <w:b/>
                <w:bCs/>
              </w:rPr>
              <w:t>提升度</w:t>
            </w:r>
          </w:p>
        </w:tc>
      </w:tr>
      <w:tr w14:paraId="616C64B7">
        <w:tblPrEx>
          <w:tblCellMar>
            <w:top w:w="0" w:type="dxa"/>
            <w:left w:w="108" w:type="dxa"/>
            <w:bottom w:w="0" w:type="dxa"/>
            <w:right w:w="108" w:type="dxa"/>
          </w:tblCellMar>
        </w:tblPrEx>
        <w:tc>
          <w:tcPr>
            <w:tcW w:w="2002" w:type="pct"/>
            <w:tcBorders>
              <w:top w:val="single" w:color="000000" w:sz="12" w:space="0"/>
            </w:tcBorders>
          </w:tcPr>
          <w:p w14:paraId="660F5F73">
            <w:pPr>
              <w:pStyle w:val="3"/>
              <w:rPr>
                <w:rFonts w:hint="eastAsia"/>
              </w:rPr>
            </w:pPr>
            <w:r>
              <w:rPr>
                <w:rFonts w:hint="eastAsia"/>
              </w:rPr>
              <w:t>{23301} → {23300}</w:t>
            </w:r>
          </w:p>
        </w:tc>
        <w:tc>
          <w:tcPr>
            <w:tcW w:w="999" w:type="pct"/>
            <w:tcBorders>
              <w:top w:val="single" w:color="000000" w:sz="12" w:space="0"/>
            </w:tcBorders>
          </w:tcPr>
          <w:p w14:paraId="44C07191">
            <w:pPr>
              <w:pStyle w:val="3"/>
              <w:rPr>
                <w:rFonts w:hint="eastAsia"/>
              </w:rPr>
            </w:pPr>
            <w:r>
              <w:rPr>
                <w:rFonts w:hint="eastAsia"/>
              </w:rPr>
              <w:t>0.0299</w:t>
            </w:r>
          </w:p>
        </w:tc>
        <w:tc>
          <w:tcPr>
            <w:tcW w:w="999" w:type="pct"/>
            <w:tcBorders>
              <w:top w:val="single" w:color="000000" w:sz="12" w:space="0"/>
            </w:tcBorders>
          </w:tcPr>
          <w:p w14:paraId="3378FEF5">
            <w:pPr>
              <w:pStyle w:val="3"/>
              <w:rPr>
                <w:rFonts w:hint="eastAsia"/>
              </w:rPr>
            </w:pPr>
            <w:r>
              <w:rPr>
                <w:rFonts w:hint="eastAsia"/>
              </w:rPr>
              <w:t>0.618</w:t>
            </w:r>
          </w:p>
        </w:tc>
        <w:tc>
          <w:tcPr>
            <w:tcW w:w="999" w:type="pct"/>
            <w:tcBorders>
              <w:top w:val="single" w:color="000000" w:sz="12" w:space="0"/>
            </w:tcBorders>
          </w:tcPr>
          <w:p w14:paraId="1144C4B9">
            <w:pPr>
              <w:pStyle w:val="3"/>
              <w:rPr>
                <w:rFonts w:hint="eastAsia"/>
              </w:rPr>
            </w:pPr>
            <w:r>
              <w:rPr>
                <w:rFonts w:hint="eastAsia"/>
              </w:rPr>
              <w:t>15.13</w:t>
            </w:r>
          </w:p>
        </w:tc>
      </w:tr>
      <w:tr w14:paraId="3E7CF03C">
        <w:tblPrEx>
          <w:tblCellMar>
            <w:top w:w="0" w:type="dxa"/>
            <w:left w:w="108" w:type="dxa"/>
            <w:bottom w:w="0" w:type="dxa"/>
            <w:right w:w="108" w:type="dxa"/>
          </w:tblCellMar>
        </w:tblPrEx>
        <w:tc>
          <w:tcPr>
            <w:tcW w:w="2002" w:type="pct"/>
            <w:tcBorders>
              <w:bottom w:val="single" w:color="000000" w:sz="18" w:space="0"/>
            </w:tcBorders>
          </w:tcPr>
          <w:p w14:paraId="78D92305">
            <w:pPr>
              <w:pStyle w:val="3"/>
              <w:rPr>
                <w:rFonts w:hint="eastAsia"/>
              </w:rPr>
            </w:pPr>
            <w:r>
              <w:rPr>
                <w:rFonts w:hint="eastAsia"/>
              </w:rPr>
              <w:t>{23300} → {23301}</w:t>
            </w:r>
          </w:p>
        </w:tc>
        <w:tc>
          <w:tcPr>
            <w:tcW w:w="999" w:type="pct"/>
            <w:tcBorders>
              <w:bottom w:val="single" w:color="000000" w:sz="18" w:space="0"/>
            </w:tcBorders>
          </w:tcPr>
          <w:p w14:paraId="32422379">
            <w:pPr>
              <w:pStyle w:val="3"/>
              <w:rPr>
                <w:rFonts w:hint="eastAsia"/>
              </w:rPr>
            </w:pPr>
            <w:r>
              <w:rPr>
                <w:rFonts w:hint="eastAsia"/>
              </w:rPr>
              <w:t>0.0299</w:t>
            </w:r>
          </w:p>
        </w:tc>
        <w:tc>
          <w:tcPr>
            <w:tcW w:w="999" w:type="pct"/>
            <w:tcBorders>
              <w:bottom w:val="single" w:color="000000" w:sz="18" w:space="0"/>
            </w:tcBorders>
          </w:tcPr>
          <w:p w14:paraId="085F16FA">
            <w:pPr>
              <w:pStyle w:val="3"/>
              <w:rPr>
                <w:rFonts w:hint="eastAsia"/>
              </w:rPr>
            </w:pPr>
            <w:r>
              <w:rPr>
                <w:rFonts w:hint="eastAsia"/>
              </w:rPr>
              <w:t>0.732</w:t>
            </w:r>
          </w:p>
        </w:tc>
        <w:tc>
          <w:tcPr>
            <w:tcW w:w="999" w:type="pct"/>
            <w:tcBorders>
              <w:bottom w:val="single" w:color="000000" w:sz="18" w:space="0"/>
            </w:tcBorders>
          </w:tcPr>
          <w:p w14:paraId="779D42E4">
            <w:pPr>
              <w:pStyle w:val="3"/>
              <w:rPr>
                <w:rFonts w:hint="eastAsia"/>
              </w:rPr>
            </w:pPr>
            <w:r>
              <w:rPr>
                <w:rFonts w:hint="eastAsia"/>
              </w:rPr>
              <w:t>15.13</w:t>
            </w:r>
          </w:p>
        </w:tc>
      </w:tr>
    </w:tbl>
    <w:p w14:paraId="11E58C69">
      <w:pPr>
        <w:pStyle w:val="3"/>
      </w:pPr>
      <w:r>
        <w:rPr>
          <w:rFonts w:hint="eastAsia"/>
        </w:rPr>
        <w:t>该组合的支持度（0.0299）在全部6组中最高，表明这两个商品的同时购买现象更为普遍。{23300}→{23301}方向置信度达73.2%，说明购买了23300的客户中超过七成都会连带购买23301，该方向具备极强的推荐命中率，适合在23300的商品详情页中设置23301的"一键加购"推荐入口。</w:t>
      </w:r>
    </w:p>
    <w:p w14:paraId="06F5924F">
      <w:pPr>
        <w:pStyle w:val="3"/>
        <w:rPr>
          <w:rFonts w:hint="eastAsia"/>
        </w:rPr>
      </w:pPr>
      <w:r>
        <w:rPr>
          <w:rFonts w:hint="eastAsia"/>
        </w:rPr>
        <w:t>组合四：{22726,</w:t>
      </w:r>
      <w:r>
        <w:t xml:space="preserve"> 22727, 22728} — </w:t>
      </w:r>
      <w:r>
        <w:rPr>
          <w:rFonts w:hint="eastAsia"/>
        </w:rPr>
        <w:t>三件链式关联</w:t>
      </w:r>
    </w:p>
    <w:p w14:paraId="7DB3EAA3">
      <w:pPr>
        <w:pStyle w:val="12"/>
        <w:rPr>
          <w:rFonts w:hint="eastAsia" w:eastAsia="宋体"/>
          <w:lang w:val="en-US" w:eastAsia="zh-CN"/>
        </w:rPr>
      </w:pPr>
      <w:r>
        <w:t xml:space="preserve">表 </w:t>
      </w:r>
      <w:r>
        <w:fldChar w:fldCharType="begin"/>
      </w:r>
      <w:r>
        <w:instrText xml:space="preserve"> SEQ 表 \* ARABIC </w:instrText>
      </w:r>
      <w:r>
        <w:fldChar w:fldCharType="separate"/>
      </w:r>
      <w:r>
        <w:t>7</w:t>
      </w:r>
      <w:r>
        <w:fldChar w:fldCharType="end"/>
      </w:r>
      <w:r>
        <w:rPr>
          <w:rFonts w:hint="eastAsia"/>
          <w:lang w:val="en-US" w:eastAsia="zh-CN"/>
        </w:rPr>
        <w:t xml:space="preserve"> 组合四规则表</w:t>
      </w:r>
    </w:p>
    <w:tbl>
      <w:tblPr>
        <w:tblStyle w:val="46"/>
        <w:tblW w:w="4998" w:type="pct"/>
        <w:tblInd w:w="0" w:type="dxa"/>
        <w:tblBorders>
          <w:top w:val="none" w:color="auto" w:sz="4" w:space="0"/>
          <w:left w:val="none" w:color="auto" w:sz="4" w:space="0"/>
          <w:bottom w:val="single" w:color="000000" w:sz="18"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545"/>
        <w:gridCol w:w="1769"/>
        <w:gridCol w:w="1769"/>
        <w:gridCol w:w="1769"/>
      </w:tblGrid>
      <w:tr w14:paraId="04A77F48">
        <w:tblPrEx>
          <w:tblBorders>
            <w:top w:val="none" w:color="auto" w:sz="4" w:space="0"/>
            <w:left w:val="none" w:color="auto" w:sz="4" w:space="0"/>
            <w:bottom w:val="single" w:color="000000" w:sz="18" w:space="0"/>
            <w:right w:val="none" w:color="auto" w:sz="4" w:space="0"/>
            <w:insideH w:val="none" w:color="auto" w:sz="4" w:space="0"/>
            <w:insideV w:val="none" w:color="auto" w:sz="4" w:space="0"/>
          </w:tblBorders>
          <w:tblCellMar>
            <w:top w:w="0" w:type="dxa"/>
            <w:left w:w="108" w:type="dxa"/>
            <w:bottom w:w="0" w:type="dxa"/>
            <w:right w:w="108" w:type="dxa"/>
          </w:tblCellMar>
        </w:tblPrEx>
        <w:trPr>
          <w:tblHeader/>
        </w:trPr>
        <w:tc>
          <w:tcPr>
            <w:tcW w:w="2002" w:type="pct"/>
            <w:tcBorders>
              <w:top w:val="single" w:color="000000" w:sz="18" w:space="0"/>
              <w:bottom w:val="single" w:color="000000" w:sz="12" w:space="0"/>
            </w:tcBorders>
          </w:tcPr>
          <w:p w14:paraId="355F8564">
            <w:pPr>
              <w:pStyle w:val="3"/>
              <w:rPr>
                <w:rFonts w:hint="eastAsia"/>
                <w:b/>
                <w:bCs/>
              </w:rPr>
            </w:pPr>
            <w:r>
              <w:rPr>
                <w:rFonts w:hint="eastAsia"/>
                <w:b/>
                <w:bCs/>
              </w:rPr>
              <w:t>规则方向</w:t>
            </w:r>
          </w:p>
        </w:tc>
        <w:tc>
          <w:tcPr>
            <w:tcW w:w="999" w:type="pct"/>
            <w:tcBorders>
              <w:top w:val="single" w:color="000000" w:sz="18" w:space="0"/>
              <w:bottom w:val="single" w:color="000000" w:sz="12" w:space="0"/>
            </w:tcBorders>
          </w:tcPr>
          <w:p w14:paraId="37083EB2">
            <w:pPr>
              <w:pStyle w:val="3"/>
              <w:rPr>
                <w:rFonts w:hint="eastAsia"/>
                <w:b/>
                <w:bCs/>
              </w:rPr>
            </w:pPr>
            <w:r>
              <w:rPr>
                <w:rFonts w:hint="eastAsia"/>
                <w:b/>
                <w:bCs/>
              </w:rPr>
              <w:t>支持度</w:t>
            </w:r>
          </w:p>
        </w:tc>
        <w:tc>
          <w:tcPr>
            <w:tcW w:w="999" w:type="pct"/>
            <w:tcBorders>
              <w:top w:val="single" w:color="000000" w:sz="18" w:space="0"/>
              <w:bottom w:val="single" w:color="000000" w:sz="12" w:space="0"/>
            </w:tcBorders>
          </w:tcPr>
          <w:p w14:paraId="092BF8E3">
            <w:pPr>
              <w:pStyle w:val="3"/>
              <w:rPr>
                <w:rFonts w:hint="eastAsia"/>
                <w:b/>
                <w:bCs/>
              </w:rPr>
            </w:pPr>
            <w:r>
              <w:rPr>
                <w:rFonts w:hint="eastAsia"/>
                <w:b/>
                <w:bCs/>
              </w:rPr>
              <w:t>置信度</w:t>
            </w:r>
          </w:p>
        </w:tc>
        <w:tc>
          <w:tcPr>
            <w:tcW w:w="999" w:type="pct"/>
            <w:tcBorders>
              <w:top w:val="single" w:color="000000" w:sz="18" w:space="0"/>
              <w:bottom w:val="single" w:color="000000" w:sz="12" w:space="0"/>
            </w:tcBorders>
          </w:tcPr>
          <w:p w14:paraId="6010CBCC">
            <w:pPr>
              <w:pStyle w:val="3"/>
              <w:rPr>
                <w:rFonts w:hint="eastAsia"/>
                <w:b/>
                <w:bCs/>
              </w:rPr>
            </w:pPr>
            <w:r>
              <w:rPr>
                <w:rFonts w:hint="eastAsia"/>
                <w:b/>
                <w:bCs/>
              </w:rPr>
              <w:t>提升度</w:t>
            </w:r>
          </w:p>
        </w:tc>
      </w:tr>
      <w:tr w14:paraId="6F582C24">
        <w:tblPrEx>
          <w:tblBorders>
            <w:top w:val="none" w:color="auto" w:sz="4" w:space="0"/>
            <w:left w:val="none" w:color="auto" w:sz="4" w:space="0"/>
            <w:bottom w:val="single" w:color="000000" w:sz="18" w:space="0"/>
            <w:right w:val="none" w:color="auto" w:sz="4" w:space="0"/>
            <w:insideH w:val="none" w:color="auto" w:sz="4" w:space="0"/>
            <w:insideV w:val="none" w:color="auto" w:sz="4" w:space="0"/>
          </w:tblBorders>
          <w:tblCellMar>
            <w:top w:w="0" w:type="dxa"/>
            <w:left w:w="108" w:type="dxa"/>
            <w:bottom w:w="0" w:type="dxa"/>
            <w:right w:w="108" w:type="dxa"/>
          </w:tblCellMar>
        </w:tblPrEx>
        <w:tc>
          <w:tcPr>
            <w:tcW w:w="2002" w:type="pct"/>
            <w:tcBorders>
              <w:top w:val="single" w:color="000000" w:sz="12" w:space="0"/>
            </w:tcBorders>
          </w:tcPr>
          <w:p w14:paraId="1CE5E3CF">
            <w:pPr>
              <w:pStyle w:val="3"/>
              <w:rPr>
                <w:rFonts w:hint="eastAsia"/>
              </w:rPr>
            </w:pPr>
            <w:r>
              <w:rPr>
                <w:rFonts w:hint="eastAsia"/>
              </w:rPr>
              <w:t>{22727} → {22726}</w:t>
            </w:r>
          </w:p>
        </w:tc>
        <w:tc>
          <w:tcPr>
            <w:tcW w:w="999" w:type="pct"/>
            <w:tcBorders>
              <w:top w:val="single" w:color="000000" w:sz="12" w:space="0"/>
            </w:tcBorders>
          </w:tcPr>
          <w:p w14:paraId="1A1D7004">
            <w:pPr>
              <w:pStyle w:val="3"/>
              <w:rPr>
                <w:rFonts w:hint="eastAsia"/>
              </w:rPr>
            </w:pPr>
            <w:r>
              <w:rPr>
                <w:rFonts w:hint="eastAsia"/>
              </w:rPr>
              <w:t>0.0296</w:t>
            </w:r>
          </w:p>
        </w:tc>
        <w:tc>
          <w:tcPr>
            <w:tcW w:w="999" w:type="pct"/>
            <w:tcBorders>
              <w:top w:val="single" w:color="000000" w:sz="12" w:space="0"/>
            </w:tcBorders>
          </w:tcPr>
          <w:p w14:paraId="5BCE2FFB">
            <w:pPr>
              <w:pStyle w:val="3"/>
              <w:rPr>
                <w:rFonts w:hint="eastAsia"/>
              </w:rPr>
            </w:pPr>
            <w:r>
              <w:rPr>
                <w:rFonts w:hint="eastAsia"/>
              </w:rPr>
              <w:t>0.600</w:t>
            </w:r>
          </w:p>
        </w:tc>
        <w:tc>
          <w:tcPr>
            <w:tcW w:w="999" w:type="pct"/>
            <w:tcBorders>
              <w:top w:val="single" w:color="000000" w:sz="12" w:space="0"/>
            </w:tcBorders>
          </w:tcPr>
          <w:p w14:paraId="4F21716B">
            <w:pPr>
              <w:pStyle w:val="3"/>
              <w:rPr>
                <w:rFonts w:hint="eastAsia"/>
              </w:rPr>
            </w:pPr>
            <w:r>
              <w:rPr>
                <w:rFonts w:hint="eastAsia"/>
              </w:rPr>
              <w:t>13.41</w:t>
            </w:r>
          </w:p>
        </w:tc>
      </w:tr>
      <w:tr w14:paraId="0B8D5C84">
        <w:tblPrEx>
          <w:tblBorders>
            <w:top w:val="none" w:color="auto" w:sz="4" w:space="0"/>
            <w:left w:val="none" w:color="auto" w:sz="4" w:space="0"/>
            <w:bottom w:val="single" w:color="000000" w:sz="18" w:space="0"/>
            <w:right w:val="none" w:color="auto" w:sz="4" w:space="0"/>
            <w:insideH w:val="none" w:color="auto" w:sz="4" w:space="0"/>
            <w:insideV w:val="none" w:color="auto" w:sz="4" w:space="0"/>
          </w:tblBorders>
          <w:tblCellMar>
            <w:top w:w="0" w:type="dxa"/>
            <w:left w:w="108" w:type="dxa"/>
            <w:bottom w:w="0" w:type="dxa"/>
            <w:right w:w="108" w:type="dxa"/>
          </w:tblCellMar>
        </w:tblPrEx>
        <w:tc>
          <w:tcPr>
            <w:tcW w:w="2002" w:type="pct"/>
          </w:tcPr>
          <w:p w14:paraId="41047E68">
            <w:pPr>
              <w:pStyle w:val="3"/>
              <w:rPr>
                <w:rFonts w:hint="eastAsia"/>
              </w:rPr>
            </w:pPr>
            <w:r>
              <w:rPr>
                <w:rFonts w:hint="eastAsia"/>
              </w:rPr>
              <w:t>{22726} → {22727}</w:t>
            </w:r>
          </w:p>
        </w:tc>
        <w:tc>
          <w:tcPr>
            <w:tcW w:w="999" w:type="pct"/>
          </w:tcPr>
          <w:p w14:paraId="49D9B4CB">
            <w:pPr>
              <w:pStyle w:val="3"/>
              <w:rPr>
                <w:rFonts w:hint="eastAsia"/>
              </w:rPr>
            </w:pPr>
            <w:r>
              <w:rPr>
                <w:rFonts w:hint="eastAsia"/>
              </w:rPr>
              <w:t>0.0296</w:t>
            </w:r>
          </w:p>
        </w:tc>
        <w:tc>
          <w:tcPr>
            <w:tcW w:w="999" w:type="pct"/>
          </w:tcPr>
          <w:p w14:paraId="683C1A46">
            <w:pPr>
              <w:pStyle w:val="3"/>
              <w:rPr>
                <w:rFonts w:hint="eastAsia"/>
              </w:rPr>
            </w:pPr>
            <w:r>
              <w:rPr>
                <w:rFonts w:hint="eastAsia"/>
              </w:rPr>
              <w:t>0.663</w:t>
            </w:r>
          </w:p>
        </w:tc>
        <w:tc>
          <w:tcPr>
            <w:tcW w:w="999" w:type="pct"/>
          </w:tcPr>
          <w:p w14:paraId="378F6935">
            <w:pPr>
              <w:pStyle w:val="3"/>
              <w:rPr>
                <w:rFonts w:hint="eastAsia"/>
              </w:rPr>
            </w:pPr>
            <w:r>
              <w:rPr>
                <w:rFonts w:hint="eastAsia"/>
              </w:rPr>
              <w:t>13.41</w:t>
            </w:r>
          </w:p>
        </w:tc>
      </w:tr>
      <w:tr w14:paraId="04F84E10">
        <w:tblPrEx>
          <w:tblBorders>
            <w:top w:val="none" w:color="auto" w:sz="4" w:space="0"/>
            <w:left w:val="none" w:color="auto" w:sz="4" w:space="0"/>
            <w:bottom w:val="single" w:color="000000" w:sz="18" w:space="0"/>
            <w:right w:val="none" w:color="auto" w:sz="4" w:space="0"/>
            <w:insideH w:val="none" w:color="auto" w:sz="4" w:space="0"/>
            <w:insideV w:val="none" w:color="auto" w:sz="4" w:space="0"/>
          </w:tblBorders>
          <w:tblCellMar>
            <w:top w:w="0" w:type="dxa"/>
            <w:left w:w="108" w:type="dxa"/>
            <w:bottom w:w="0" w:type="dxa"/>
            <w:right w:w="108" w:type="dxa"/>
          </w:tblCellMar>
        </w:tblPrEx>
        <w:tc>
          <w:tcPr>
            <w:tcW w:w="2002" w:type="pct"/>
          </w:tcPr>
          <w:p w14:paraId="4180A943">
            <w:pPr>
              <w:pStyle w:val="3"/>
              <w:rPr>
                <w:rFonts w:hint="eastAsia"/>
              </w:rPr>
            </w:pPr>
            <w:r>
              <w:rPr>
                <w:rFonts w:hint="eastAsia"/>
              </w:rPr>
              <w:t>{22727} → {22728}</w:t>
            </w:r>
          </w:p>
        </w:tc>
        <w:tc>
          <w:tcPr>
            <w:tcW w:w="999" w:type="pct"/>
          </w:tcPr>
          <w:p w14:paraId="4195DE80">
            <w:pPr>
              <w:pStyle w:val="3"/>
              <w:rPr>
                <w:rFonts w:hint="eastAsia"/>
              </w:rPr>
            </w:pPr>
            <w:r>
              <w:rPr>
                <w:rFonts w:hint="eastAsia"/>
              </w:rPr>
              <w:t>0.0209</w:t>
            </w:r>
          </w:p>
        </w:tc>
        <w:tc>
          <w:tcPr>
            <w:tcW w:w="999" w:type="pct"/>
          </w:tcPr>
          <w:p w14:paraId="44D3E492">
            <w:pPr>
              <w:pStyle w:val="3"/>
              <w:rPr>
                <w:rFonts w:hint="eastAsia"/>
              </w:rPr>
            </w:pPr>
            <w:r>
              <w:rPr>
                <w:rFonts w:hint="eastAsia"/>
              </w:rPr>
              <w:t>0.423</w:t>
            </w:r>
          </w:p>
        </w:tc>
        <w:tc>
          <w:tcPr>
            <w:tcW w:w="999" w:type="pct"/>
          </w:tcPr>
          <w:p w14:paraId="1CD56EF5">
            <w:pPr>
              <w:pStyle w:val="3"/>
              <w:rPr>
                <w:rFonts w:hint="eastAsia"/>
              </w:rPr>
            </w:pPr>
            <w:r>
              <w:rPr>
                <w:rFonts w:hint="eastAsia"/>
              </w:rPr>
              <w:t>13.19</w:t>
            </w:r>
          </w:p>
        </w:tc>
      </w:tr>
      <w:tr w14:paraId="627D237F">
        <w:tblPrEx>
          <w:tblBorders>
            <w:top w:val="none" w:color="auto" w:sz="4" w:space="0"/>
            <w:left w:val="none" w:color="auto" w:sz="4" w:space="0"/>
            <w:bottom w:val="single" w:color="000000" w:sz="18" w:space="0"/>
            <w:right w:val="none" w:color="auto" w:sz="4" w:space="0"/>
            <w:insideH w:val="none" w:color="auto" w:sz="4" w:space="0"/>
            <w:insideV w:val="none" w:color="auto" w:sz="4" w:space="0"/>
          </w:tblBorders>
          <w:tblCellMar>
            <w:top w:w="0" w:type="dxa"/>
            <w:left w:w="108" w:type="dxa"/>
            <w:bottom w:w="0" w:type="dxa"/>
            <w:right w:w="108" w:type="dxa"/>
          </w:tblCellMar>
        </w:tblPrEx>
        <w:tc>
          <w:tcPr>
            <w:tcW w:w="2002" w:type="pct"/>
          </w:tcPr>
          <w:p w14:paraId="42BC83CE">
            <w:pPr>
              <w:pStyle w:val="3"/>
              <w:rPr>
                <w:rFonts w:hint="eastAsia"/>
              </w:rPr>
            </w:pPr>
            <w:r>
              <w:rPr>
                <w:rFonts w:hint="eastAsia"/>
              </w:rPr>
              <w:t>{22728} → {22727}</w:t>
            </w:r>
          </w:p>
        </w:tc>
        <w:tc>
          <w:tcPr>
            <w:tcW w:w="999" w:type="pct"/>
          </w:tcPr>
          <w:p w14:paraId="011FC22E">
            <w:pPr>
              <w:pStyle w:val="3"/>
              <w:rPr>
                <w:rFonts w:hint="eastAsia"/>
              </w:rPr>
            </w:pPr>
            <w:r>
              <w:rPr>
                <w:rFonts w:hint="eastAsia"/>
              </w:rPr>
              <w:t>0.0209</w:t>
            </w:r>
          </w:p>
        </w:tc>
        <w:tc>
          <w:tcPr>
            <w:tcW w:w="999" w:type="pct"/>
          </w:tcPr>
          <w:p w14:paraId="1AC20CDC">
            <w:pPr>
              <w:pStyle w:val="3"/>
              <w:rPr>
                <w:rFonts w:hint="eastAsia"/>
              </w:rPr>
            </w:pPr>
            <w:r>
              <w:rPr>
                <w:rFonts w:hint="eastAsia"/>
              </w:rPr>
              <w:t>0.652</w:t>
            </w:r>
          </w:p>
        </w:tc>
        <w:tc>
          <w:tcPr>
            <w:tcW w:w="999" w:type="pct"/>
          </w:tcPr>
          <w:p w14:paraId="214527A4">
            <w:pPr>
              <w:pStyle w:val="3"/>
              <w:rPr>
                <w:rFonts w:hint="eastAsia"/>
              </w:rPr>
            </w:pPr>
            <w:r>
              <w:rPr>
                <w:rFonts w:hint="eastAsia"/>
              </w:rPr>
              <w:t>13.19</w:t>
            </w:r>
          </w:p>
        </w:tc>
      </w:tr>
    </w:tbl>
    <w:p w14:paraId="768372F8">
      <w:pPr>
        <w:pStyle w:val="3"/>
      </w:pPr>
    </w:p>
    <w:p w14:paraId="2B4AFAE8">
      <w:pPr>
        <w:pStyle w:val="3"/>
      </w:pPr>
      <w:r>
        <w:rPr>
          <w:rFonts w:hint="eastAsia"/>
        </w:rPr>
        <w:t>该组中22727扮演了"桥梁"角色——同时与22726和22728各自形成强关联。22727→22726的置信度为60.0%，而22727→22728的置信度则降至42.3%，呈现"一强一弱"的差异化关联特征。这意味着：购买了22727的客户中，约六成会同时购买22726，约四成会购买22728，且两个选择并非完全重叠。该模式适合设计"基础款+可选配件"的灵活推荐策略，以22727为锚点，将22726作为主推附加品、22728作为备选替代品分场景展示。</w:t>
      </w:r>
    </w:p>
    <w:bookmarkEnd w:id="63"/>
    <w:p w14:paraId="3E794F90">
      <w:pPr>
        <w:pStyle w:val="5"/>
      </w:pPr>
      <w:bookmarkStart w:id="64" w:name="X453b9d18a645ec0b17c8176b5219dd788084ffb"/>
      <w:r>
        <w:t xml:space="preserve">3.4.4 </w:t>
      </w:r>
      <w:r>
        <w:rPr>
          <w:rFonts w:hint="eastAsia"/>
        </w:rPr>
        <w:t>业务洞察与策略应用</w:t>
      </w:r>
    </w:p>
    <w:p w14:paraId="50123D5B">
      <w:pPr>
        <w:pStyle w:val="28"/>
      </w:pPr>
      <w:r>
        <w:rPr>
          <w:rFonts w:hint="eastAsia"/>
        </w:rPr>
        <w:t>综合以上6组核心关联规则的挖掘结果，可以提炼出以下业务层面的洞察与行动建议：</w:t>
      </w:r>
    </w:p>
    <w:p w14:paraId="7EED2520">
      <w:pPr>
        <w:pStyle w:val="3"/>
      </w:pPr>
      <w:r>
        <w:rPr>
          <w:rFonts w:hint="eastAsia"/>
        </w:rPr>
        <w:t>捆绑销售与套装策略，组合一{22697,</w:t>
      </w:r>
      <w:r>
        <w:t xml:space="preserve"> 22698, </w:t>
      </w:r>
      <w:r>
        <w:rPr>
          <w:rFonts w:hint="eastAsia"/>
        </w:rPr>
        <w:t>22699}的三件商品提升度均超过17，且三向置信度均高于50%，具备极强的套装销售基础。建议将这三件商品组合为"精选套装"统一上架，定价可较单件累计价给予3%–5%的套装折扣，以提升客单价的同时增强购买便利性。对于组合二{22629,</w:t>
      </w:r>
      <w:r>
        <w:t xml:space="preserve"> </w:t>
      </w:r>
      <w:r>
        <w:rPr>
          <w:rFonts w:hint="eastAsia"/>
        </w:rPr>
        <w:t>22630}这类双件强互补商品，可采用"两件一口价"或"买一加价换购第二件"的促销机制。</w:t>
      </w:r>
    </w:p>
    <w:p w14:paraId="23D484AF">
      <w:pPr>
        <w:pStyle w:val="3"/>
      </w:pPr>
      <w:r>
        <w:rPr>
          <w:rFonts w:hint="eastAsia"/>
        </w:rPr>
        <w:t>交叉推荐的精度分层，</w:t>
      </w:r>
      <w:r>
        <w:t xml:space="preserve"> </w:t>
      </w:r>
      <w:r>
        <w:rPr>
          <w:rFonts w:hint="eastAsia"/>
        </w:rPr>
        <w:t>提升度与置信度的组合为推荐策略的精度提供了量化依据。对于"高置信度+高提升度"的规则（如{22699,</w:t>
      </w:r>
      <w:r>
        <w:t xml:space="preserve"> </w:t>
      </w:r>
      <w:r>
        <w:rPr>
          <w:rFonts w:hint="eastAsia"/>
        </w:rPr>
        <w:t>22698}→{22697}，置信度89.0%），推荐命中率极高，适合在商品详情页、购物车页等关键转化节点设置"一键加购"或"套装直达"按钮；对于"中等置信度+高提升度"的规则（如{22727}→{22726}，置信度60.0%），适合在列表页或推荐栏中作为"猜你喜欢"进行曝光；对于"低置信度+高提升度"的规则（如{22727}→{22728}，置信度42.3%），提升度虽高但覆盖面有限，更适合作为个性化推荐的辅助信号，而非全量推送。</w:t>
      </w:r>
    </w:p>
    <w:p w14:paraId="480EC16B">
      <w:pPr>
        <w:pStyle w:val="3"/>
      </w:pPr>
      <w:r>
        <w:rPr>
          <w:rFonts w:hint="eastAsia"/>
        </w:rPr>
        <w:t>货架陈列与页面布局优化，关联规则的结果也为线上商城的商品陈列提供了直接参考。存在强关联规则的商品（如组合三的{23300,</w:t>
      </w:r>
      <w:r>
        <w:t xml:space="preserve"> </w:t>
      </w:r>
      <w:r>
        <w:rPr>
          <w:rFonts w:hint="eastAsia"/>
        </w:rPr>
        <w:t>23301}）应在品类导航中相邻展示，在搜索结果页中互为"相关推荐"，以缩短客户从浏览到加入购物车的路径。对于组合四{22727,</w:t>
      </w:r>
      <w:r>
        <w:t xml:space="preserve"> 22726, </w:t>
      </w:r>
      <w:r>
        <w:rPr>
          <w:rFonts w:hint="eastAsia"/>
        </w:rPr>
        <w:t>22728}这类"一拖多"的桥梁型商品，应以核心商品22727为枢纽，在其详情页的下方推荐区同时展示22726（主推）和22728（备选），构建"以一带多"的推荐矩阵。</w:t>
      </w:r>
    </w:p>
    <w:p w14:paraId="595FB365">
      <w:pPr>
        <w:pStyle w:val="3"/>
      </w:pPr>
      <w:r>
        <w:rPr>
          <w:rFonts w:hint="eastAsia"/>
        </w:rPr>
        <w:t>关联规则与BCG矩阵的交叉联动，将关联规则的分析结果与前节BCG矩阵的商品分类交叉，可以进一步优化推荐策略的资源分配：当关联规则中的推荐商品属于"明星产品"时，推荐即同时服务于"提升连带率"与"加速明星商品增长"两个目标，应优先配置流量资源；当被推荐商品属于"瘦狗产品"时，即使关联规则提升度较高，也需谨慎评估——可能只是少数客户的固定搭配，不宜大规模推广，更适合作为清仓组合限时促销。</w:t>
      </w:r>
    </w:p>
    <w:bookmarkEnd w:id="33"/>
    <w:bookmarkEnd w:id="59"/>
    <w:bookmarkEnd w:id="64"/>
    <w:p w14:paraId="31CA4709">
      <w:pPr>
        <w:pStyle w:val="2"/>
      </w:pPr>
      <w:bookmarkStart w:id="65" w:name="_Toc4705"/>
      <w:bookmarkStart w:id="66" w:name="X2ead4882e0f270821c1c13c1653d4bede545659"/>
      <w:r>
        <w:t xml:space="preserve">4. </w:t>
      </w:r>
      <w:r>
        <w:rPr>
          <w:rFonts w:hint="eastAsia"/>
        </w:rPr>
        <w:t>多维交叉分析与策略转化</w:t>
      </w:r>
      <w:bookmarkEnd w:id="65"/>
    </w:p>
    <w:p w14:paraId="112F8729">
      <w:pPr>
        <w:pStyle w:val="4"/>
      </w:pPr>
      <w:bookmarkStart w:id="67" w:name="_Toc5958"/>
      <w:bookmarkStart w:id="68" w:name="X262befa053dd8a397fbf76327ba97b0a5259d87"/>
      <w:r>
        <w:t xml:space="preserve">4.1 </w:t>
      </w:r>
      <w:r>
        <w:rPr>
          <w:rFonts w:hint="eastAsia"/>
        </w:rPr>
        <w:t>关联规则与BCG矩阵的交叉联动分析</w:t>
      </w:r>
      <w:bookmarkEnd w:id="67"/>
    </w:p>
    <w:p w14:paraId="4606EF3F">
      <w:pPr>
        <w:pStyle w:val="5"/>
      </w:pPr>
      <w:bookmarkStart w:id="69" w:name="X9decc89a0682954515586b7cda9a3e9d45dfa02"/>
      <w:r>
        <w:t xml:space="preserve">4.1.1 </w:t>
      </w:r>
      <w:r>
        <w:rPr>
          <w:rFonts w:hint="eastAsia"/>
        </w:rPr>
        <w:t>分析背景与数据准备</w:t>
      </w:r>
    </w:p>
    <w:p w14:paraId="78A72147">
      <w:pPr>
        <w:pStyle w:val="28"/>
      </w:pPr>
      <w:r>
        <w:rPr>
          <w:rFonts w:hint="eastAsia"/>
        </w:rPr>
        <w:t>前文分别完成了商品关联规则挖掘（回答"哪些商品经常被一起购买"）和BCG矩阵分类（回答"每种商品的战略角色是什么"）。本节将两者交叉，从"关联强度×战略角色"的双重视角重新审视Top</w:t>
      </w:r>
      <w:r>
        <w:t xml:space="preserve"> </w:t>
      </w:r>
      <w:r>
        <w:rPr>
          <w:rFonts w:hint="eastAsia"/>
        </w:rPr>
        <w:t>20关联规则，为差异化推荐策略和资源分配提供更精细的决策依据。</w:t>
      </w:r>
    </w:p>
    <w:p w14:paraId="2837260C">
      <w:pPr>
        <w:pStyle w:val="3"/>
        <w:rPr>
          <w:rFonts w:hint="eastAsia"/>
        </w:rPr>
      </w:pPr>
      <w:r>
        <w:rPr>
          <w:rFonts w:hint="eastAsia"/>
        </w:rPr>
        <w:t>首先，将关联规则Top</w:t>
      </w:r>
      <w:r>
        <w:t xml:space="preserve"> </w:t>
      </w:r>
      <w:r>
        <w:rPr>
          <w:rFonts w:hint="eastAsia"/>
        </w:rPr>
        <w:t>20中涉及的9个独立商品代码与BCG分类结果、商品描述进行三方匹配，形成完整的商品画像：</w:t>
      </w:r>
    </w:p>
    <w:p w14:paraId="09DE631F">
      <w:pPr>
        <w:pStyle w:val="12"/>
        <w:rPr>
          <w:rFonts w:hint="default" w:eastAsia="宋体"/>
          <w:lang w:val="en-US" w:eastAsia="zh-CN"/>
        </w:rPr>
      </w:pPr>
      <w:r>
        <w:t xml:space="preserve">表 </w:t>
      </w:r>
      <w:r>
        <w:fldChar w:fldCharType="begin"/>
      </w:r>
      <w:r>
        <w:instrText xml:space="preserve"> SEQ 表 \* ARABIC </w:instrText>
      </w:r>
      <w:r>
        <w:fldChar w:fldCharType="separate"/>
      </w:r>
      <w:r>
        <w:t>8</w:t>
      </w:r>
      <w:r>
        <w:fldChar w:fldCharType="end"/>
      </w:r>
      <w:r>
        <w:rPr>
          <w:rFonts w:hint="eastAsia"/>
          <w:lang w:val="en-US" w:eastAsia="zh-CN"/>
        </w:rPr>
        <w:t xml:space="preserve"> 商品画像表</w:t>
      </w:r>
    </w:p>
    <w:tbl>
      <w:tblPr>
        <w:tblStyle w:val="46"/>
        <w:tblW w:w="0" w:type="auto"/>
        <w:tblInd w:w="0" w:type="dxa"/>
        <w:tblLayout w:type="autofit"/>
        <w:tblCellMar>
          <w:top w:w="0" w:type="dxa"/>
          <w:left w:w="108" w:type="dxa"/>
          <w:bottom w:w="0" w:type="dxa"/>
          <w:right w:w="108" w:type="dxa"/>
        </w:tblCellMar>
      </w:tblPr>
      <w:tblGrid>
        <w:gridCol w:w="1323"/>
        <w:gridCol w:w="2517"/>
        <w:gridCol w:w="819"/>
        <w:gridCol w:w="922"/>
        <w:gridCol w:w="784"/>
        <w:gridCol w:w="803"/>
        <w:gridCol w:w="803"/>
        <w:gridCol w:w="885"/>
      </w:tblGrid>
      <w:tr w14:paraId="50927D1A">
        <w:tblPrEx>
          <w:tblCellMar>
            <w:top w:w="0" w:type="dxa"/>
            <w:left w:w="108" w:type="dxa"/>
            <w:bottom w:w="0" w:type="dxa"/>
            <w:right w:w="108" w:type="dxa"/>
          </w:tblCellMar>
        </w:tblPrEx>
        <w:trPr>
          <w:tblHeader/>
        </w:trPr>
        <w:tc>
          <w:tcPr>
            <w:tcW w:w="0" w:type="auto"/>
            <w:tcBorders>
              <w:top w:val="single" w:color="000000" w:sz="18" w:space="0"/>
              <w:bottom w:val="single" w:color="000000" w:sz="12" w:space="0"/>
            </w:tcBorders>
            <w:vAlign w:val="center"/>
          </w:tcPr>
          <w:p w14:paraId="46BB78E2">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b/>
                <w:bCs/>
              </w:rPr>
            </w:pPr>
            <w:r>
              <w:rPr>
                <w:rFonts w:hint="eastAsia"/>
                <w:b/>
                <w:bCs/>
              </w:rPr>
              <w:t>StockCode</w:t>
            </w:r>
          </w:p>
        </w:tc>
        <w:tc>
          <w:tcPr>
            <w:tcW w:w="0" w:type="auto"/>
            <w:tcBorders>
              <w:top w:val="single" w:color="000000" w:sz="18" w:space="0"/>
              <w:bottom w:val="single" w:color="000000" w:sz="12" w:space="0"/>
            </w:tcBorders>
            <w:vAlign w:val="center"/>
          </w:tcPr>
          <w:p w14:paraId="3B30FF6A">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b/>
                <w:bCs/>
              </w:rPr>
            </w:pPr>
            <w:r>
              <w:rPr>
                <w:rFonts w:hint="eastAsia"/>
                <w:b/>
                <w:bCs/>
              </w:rPr>
              <w:t>商品描述</w:t>
            </w:r>
          </w:p>
        </w:tc>
        <w:tc>
          <w:tcPr>
            <w:tcW w:w="0" w:type="auto"/>
            <w:tcBorders>
              <w:top w:val="single" w:color="000000" w:sz="18" w:space="0"/>
              <w:bottom w:val="single" w:color="000000" w:sz="12" w:space="0"/>
            </w:tcBorders>
            <w:vAlign w:val="center"/>
          </w:tcPr>
          <w:p w14:paraId="7DC3D62B">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b/>
                <w:bCs/>
              </w:rPr>
            </w:pPr>
            <w:r>
              <w:rPr>
                <w:rFonts w:hint="eastAsia"/>
                <w:b/>
                <w:bCs/>
              </w:rPr>
              <w:t>BCG类型</w:t>
            </w:r>
          </w:p>
        </w:tc>
        <w:tc>
          <w:tcPr>
            <w:tcW w:w="0" w:type="auto"/>
            <w:tcBorders>
              <w:top w:val="single" w:color="000000" w:sz="18" w:space="0"/>
              <w:bottom w:val="single" w:color="000000" w:sz="12" w:space="0"/>
            </w:tcBorders>
            <w:vAlign w:val="center"/>
          </w:tcPr>
          <w:p w14:paraId="01622244">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b/>
                <w:bCs/>
              </w:rPr>
            </w:pPr>
            <w:r>
              <w:rPr>
                <w:rFonts w:hint="eastAsia"/>
                <w:b/>
                <w:bCs/>
              </w:rPr>
              <w:t>相对份额</w:t>
            </w:r>
          </w:p>
        </w:tc>
        <w:tc>
          <w:tcPr>
            <w:tcW w:w="0" w:type="auto"/>
            <w:tcBorders>
              <w:top w:val="single" w:color="000000" w:sz="18" w:space="0"/>
              <w:bottom w:val="single" w:color="000000" w:sz="12" w:space="0"/>
            </w:tcBorders>
            <w:vAlign w:val="center"/>
          </w:tcPr>
          <w:p w14:paraId="02A1B690">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b/>
                <w:bCs/>
              </w:rPr>
            </w:pPr>
            <w:r>
              <w:rPr>
                <w:rFonts w:hint="eastAsia"/>
                <w:b/>
                <w:bCs/>
              </w:rPr>
              <w:t>增长率</w:t>
            </w:r>
          </w:p>
        </w:tc>
        <w:tc>
          <w:tcPr>
            <w:tcW w:w="0" w:type="auto"/>
            <w:tcBorders>
              <w:top w:val="single" w:color="000000" w:sz="18" w:space="0"/>
              <w:bottom w:val="single" w:color="000000" w:sz="12" w:space="0"/>
            </w:tcBorders>
            <w:vAlign w:val="center"/>
          </w:tcPr>
          <w:p w14:paraId="02DF9B6B">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b/>
                <w:bCs/>
              </w:rPr>
            </w:pPr>
            <w:r>
              <w:rPr>
                <w:rFonts w:hint="eastAsia"/>
                <w:b/>
                <w:bCs/>
              </w:rPr>
              <w:t>H1销量</w:t>
            </w:r>
          </w:p>
        </w:tc>
        <w:tc>
          <w:tcPr>
            <w:tcW w:w="0" w:type="auto"/>
            <w:tcBorders>
              <w:top w:val="single" w:color="000000" w:sz="18" w:space="0"/>
              <w:bottom w:val="single" w:color="000000" w:sz="12" w:space="0"/>
            </w:tcBorders>
            <w:vAlign w:val="center"/>
          </w:tcPr>
          <w:p w14:paraId="383A1AA2">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b/>
                <w:bCs/>
              </w:rPr>
            </w:pPr>
            <w:r>
              <w:rPr>
                <w:rFonts w:hint="eastAsia"/>
                <w:b/>
                <w:bCs/>
              </w:rPr>
              <w:t>H2销量</w:t>
            </w:r>
          </w:p>
        </w:tc>
        <w:tc>
          <w:tcPr>
            <w:tcW w:w="0" w:type="auto"/>
            <w:tcBorders>
              <w:top w:val="single" w:color="000000" w:sz="18" w:space="0"/>
              <w:bottom w:val="single" w:color="000000" w:sz="12" w:space="0"/>
            </w:tcBorders>
            <w:vAlign w:val="center"/>
          </w:tcPr>
          <w:p w14:paraId="4F0DE3A7">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b/>
                <w:bCs/>
              </w:rPr>
            </w:pPr>
            <w:r>
              <w:rPr>
                <w:rFonts w:hint="eastAsia"/>
                <w:b/>
                <w:bCs/>
              </w:rPr>
              <w:t>总销量</w:t>
            </w:r>
          </w:p>
        </w:tc>
      </w:tr>
      <w:tr w14:paraId="05DC0A3F">
        <w:tblPrEx>
          <w:tblCellMar>
            <w:top w:w="0" w:type="dxa"/>
            <w:left w:w="108" w:type="dxa"/>
            <w:bottom w:w="0" w:type="dxa"/>
            <w:right w:w="108" w:type="dxa"/>
          </w:tblCellMar>
        </w:tblPrEx>
        <w:tc>
          <w:tcPr>
            <w:tcW w:w="0" w:type="auto"/>
            <w:tcBorders>
              <w:top w:val="single" w:color="000000" w:sz="12" w:space="0"/>
            </w:tcBorders>
            <w:vAlign w:val="center"/>
          </w:tcPr>
          <w:p w14:paraId="16292BBF">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22697</w:t>
            </w:r>
          </w:p>
        </w:tc>
        <w:tc>
          <w:tcPr>
            <w:tcW w:w="0" w:type="auto"/>
            <w:tcBorders>
              <w:top w:val="single" w:color="000000" w:sz="12" w:space="0"/>
            </w:tcBorders>
            <w:vAlign w:val="center"/>
          </w:tcPr>
          <w:p w14:paraId="5FC91E97">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GREEN REGENCY TEACUP AND SAUCER</w:t>
            </w:r>
          </w:p>
        </w:tc>
        <w:tc>
          <w:tcPr>
            <w:tcW w:w="0" w:type="auto"/>
            <w:tcBorders>
              <w:top w:val="single" w:color="000000" w:sz="12" w:space="0"/>
            </w:tcBorders>
            <w:vAlign w:val="center"/>
          </w:tcPr>
          <w:p w14:paraId="41E56630">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Cash Cow</w:t>
            </w:r>
          </w:p>
        </w:tc>
        <w:tc>
          <w:tcPr>
            <w:tcW w:w="0" w:type="auto"/>
            <w:tcBorders>
              <w:top w:val="single" w:color="000000" w:sz="12" w:space="0"/>
            </w:tcBorders>
            <w:vAlign w:val="center"/>
          </w:tcPr>
          <w:p w14:paraId="37E88D83">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0.0791</w:t>
            </w:r>
          </w:p>
        </w:tc>
        <w:tc>
          <w:tcPr>
            <w:tcW w:w="0" w:type="auto"/>
            <w:tcBorders>
              <w:top w:val="single" w:color="000000" w:sz="12" w:space="0"/>
            </w:tcBorders>
            <w:vAlign w:val="center"/>
          </w:tcPr>
          <w:p w14:paraId="28510B19">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-0.348</w:t>
            </w:r>
          </w:p>
        </w:tc>
        <w:tc>
          <w:tcPr>
            <w:tcW w:w="0" w:type="auto"/>
            <w:tcBorders>
              <w:top w:val="single" w:color="000000" w:sz="12" w:space="0"/>
            </w:tcBorders>
            <w:vAlign w:val="center"/>
          </w:tcPr>
          <w:p w14:paraId="703737F9">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3,878</w:t>
            </w:r>
          </w:p>
        </w:tc>
        <w:tc>
          <w:tcPr>
            <w:tcW w:w="0" w:type="auto"/>
            <w:tcBorders>
              <w:top w:val="single" w:color="000000" w:sz="12" w:space="0"/>
            </w:tcBorders>
            <w:vAlign w:val="center"/>
          </w:tcPr>
          <w:p w14:paraId="59A75B06">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2,528</w:t>
            </w:r>
          </w:p>
        </w:tc>
        <w:tc>
          <w:tcPr>
            <w:tcW w:w="0" w:type="auto"/>
            <w:tcBorders>
              <w:top w:val="single" w:color="000000" w:sz="12" w:space="0"/>
            </w:tcBorders>
            <w:vAlign w:val="center"/>
          </w:tcPr>
          <w:p w14:paraId="32077079">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6,406</w:t>
            </w:r>
          </w:p>
        </w:tc>
      </w:tr>
      <w:tr w14:paraId="168FEFCC">
        <w:tblPrEx>
          <w:tblCellMar>
            <w:top w:w="0" w:type="dxa"/>
            <w:left w:w="108" w:type="dxa"/>
            <w:bottom w:w="0" w:type="dxa"/>
            <w:right w:w="108" w:type="dxa"/>
          </w:tblCellMar>
        </w:tblPrEx>
        <w:tc>
          <w:tcPr>
            <w:tcW w:w="0" w:type="auto"/>
            <w:vAlign w:val="center"/>
          </w:tcPr>
          <w:p w14:paraId="625777A7">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22698</w:t>
            </w:r>
          </w:p>
        </w:tc>
        <w:tc>
          <w:tcPr>
            <w:tcW w:w="0" w:type="auto"/>
            <w:vAlign w:val="center"/>
          </w:tcPr>
          <w:p w14:paraId="5360D0F0">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PINK REGENCY TEACUP AND SAUCER（粉色摄政茶杯碟）</w:t>
            </w:r>
          </w:p>
        </w:tc>
        <w:tc>
          <w:tcPr>
            <w:tcW w:w="0" w:type="auto"/>
            <w:vAlign w:val="center"/>
          </w:tcPr>
          <w:p w14:paraId="5A3015BA">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Star*</w:t>
            </w:r>
          </w:p>
        </w:tc>
        <w:tc>
          <w:tcPr>
            <w:tcW w:w="0" w:type="auto"/>
            <w:vAlign w:val="center"/>
          </w:tcPr>
          <w:p w14:paraId="5DCFA844">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0.0655</w:t>
            </w:r>
          </w:p>
        </w:tc>
        <w:tc>
          <w:tcPr>
            <w:tcW w:w="0" w:type="auto"/>
            <w:vAlign w:val="center"/>
          </w:tcPr>
          <w:p w14:paraId="0D486A42">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-0.229</w:t>
            </w:r>
          </w:p>
        </w:tc>
        <w:tc>
          <w:tcPr>
            <w:tcW w:w="0" w:type="auto"/>
            <w:vAlign w:val="center"/>
          </w:tcPr>
          <w:p w14:paraId="6BF24BEE">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2,996</w:t>
            </w:r>
          </w:p>
        </w:tc>
        <w:tc>
          <w:tcPr>
            <w:tcW w:w="0" w:type="auto"/>
            <w:vAlign w:val="center"/>
          </w:tcPr>
          <w:p w14:paraId="609A67EA">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2,311</w:t>
            </w:r>
          </w:p>
        </w:tc>
        <w:tc>
          <w:tcPr>
            <w:tcW w:w="0" w:type="auto"/>
            <w:vAlign w:val="center"/>
          </w:tcPr>
          <w:p w14:paraId="5497872B">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5,307</w:t>
            </w:r>
          </w:p>
        </w:tc>
      </w:tr>
      <w:tr w14:paraId="79772F75">
        <w:tblPrEx>
          <w:tblCellMar>
            <w:top w:w="0" w:type="dxa"/>
            <w:left w:w="108" w:type="dxa"/>
            <w:bottom w:w="0" w:type="dxa"/>
            <w:right w:w="108" w:type="dxa"/>
          </w:tblCellMar>
        </w:tblPrEx>
        <w:tc>
          <w:tcPr>
            <w:tcW w:w="0" w:type="auto"/>
            <w:vAlign w:val="center"/>
          </w:tcPr>
          <w:p w14:paraId="2EDB5DCA">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22699</w:t>
            </w:r>
          </w:p>
        </w:tc>
        <w:tc>
          <w:tcPr>
            <w:tcW w:w="0" w:type="auto"/>
            <w:vAlign w:val="center"/>
          </w:tcPr>
          <w:p w14:paraId="50680975">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ROSES REGENCY TEACUP AND SAUCER（玫瑰摄政茶杯碟）</w:t>
            </w:r>
          </w:p>
        </w:tc>
        <w:tc>
          <w:tcPr>
            <w:tcW w:w="0" w:type="auto"/>
            <w:vAlign w:val="center"/>
          </w:tcPr>
          <w:p w14:paraId="04B5A00F">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Cash Cow</w:t>
            </w:r>
          </w:p>
        </w:tc>
        <w:tc>
          <w:tcPr>
            <w:tcW w:w="0" w:type="auto"/>
            <w:vAlign w:val="center"/>
          </w:tcPr>
          <w:p w14:paraId="4166032C">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0.1126</w:t>
            </w:r>
          </w:p>
        </w:tc>
        <w:tc>
          <w:tcPr>
            <w:tcW w:w="0" w:type="auto"/>
            <w:vAlign w:val="center"/>
          </w:tcPr>
          <w:p w14:paraId="63EC2DC0">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-0.490</w:t>
            </w:r>
          </w:p>
        </w:tc>
        <w:tc>
          <w:tcPr>
            <w:tcW w:w="0" w:type="auto"/>
            <w:vAlign w:val="center"/>
          </w:tcPr>
          <w:p w14:paraId="2ED86D09">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6,041</w:t>
            </w:r>
          </w:p>
        </w:tc>
        <w:tc>
          <w:tcPr>
            <w:tcW w:w="0" w:type="auto"/>
            <w:vAlign w:val="center"/>
          </w:tcPr>
          <w:p w14:paraId="302C8869">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3,078</w:t>
            </w:r>
          </w:p>
        </w:tc>
        <w:tc>
          <w:tcPr>
            <w:tcW w:w="0" w:type="auto"/>
            <w:vAlign w:val="center"/>
          </w:tcPr>
          <w:p w14:paraId="64DB5613">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9,119</w:t>
            </w:r>
          </w:p>
        </w:tc>
      </w:tr>
      <w:tr w14:paraId="17B2B53E">
        <w:tblPrEx>
          <w:tblCellMar>
            <w:top w:w="0" w:type="dxa"/>
            <w:left w:w="108" w:type="dxa"/>
            <w:bottom w:w="0" w:type="dxa"/>
            <w:right w:w="108" w:type="dxa"/>
          </w:tblCellMar>
        </w:tblPrEx>
        <w:tc>
          <w:tcPr>
            <w:tcW w:w="0" w:type="auto"/>
            <w:vAlign w:val="center"/>
          </w:tcPr>
          <w:p w14:paraId="38D03355">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22629</w:t>
            </w:r>
          </w:p>
        </w:tc>
        <w:tc>
          <w:tcPr>
            <w:tcW w:w="0" w:type="auto"/>
            <w:vAlign w:val="center"/>
          </w:tcPr>
          <w:p w14:paraId="552EBB71">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SPACEBOY LUNCH BOX（太空男孩午餐盒）</w:t>
            </w:r>
          </w:p>
        </w:tc>
        <w:tc>
          <w:tcPr>
            <w:tcW w:w="0" w:type="auto"/>
            <w:vAlign w:val="center"/>
          </w:tcPr>
          <w:p w14:paraId="7CC86545">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Cash Cow</w:t>
            </w:r>
          </w:p>
        </w:tc>
        <w:tc>
          <w:tcPr>
            <w:tcW w:w="0" w:type="auto"/>
            <w:vAlign w:val="center"/>
          </w:tcPr>
          <w:p w14:paraId="75D01FA4">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0.1717</w:t>
            </w:r>
          </w:p>
        </w:tc>
        <w:tc>
          <w:tcPr>
            <w:tcW w:w="0" w:type="auto"/>
            <w:vAlign w:val="center"/>
          </w:tcPr>
          <w:p w14:paraId="278ACF73">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-0.338</w:t>
            </w:r>
          </w:p>
        </w:tc>
        <w:tc>
          <w:tcPr>
            <w:tcW w:w="0" w:type="auto"/>
            <w:vAlign w:val="center"/>
          </w:tcPr>
          <w:p w14:paraId="6FE428E9">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8,369</w:t>
            </w:r>
          </w:p>
        </w:tc>
        <w:tc>
          <w:tcPr>
            <w:tcW w:w="0" w:type="auto"/>
            <w:vAlign w:val="center"/>
          </w:tcPr>
          <w:p w14:paraId="3AE4AE3F">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5,539</w:t>
            </w:r>
          </w:p>
        </w:tc>
        <w:tc>
          <w:tcPr>
            <w:tcW w:w="0" w:type="auto"/>
            <w:vAlign w:val="center"/>
          </w:tcPr>
          <w:p w14:paraId="3B4635FE">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13,908</w:t>
            </w:r>
          </w:p>
        </w:tc>
      </w:tr>
      <w:tr w14:paraId="510A5472">
        <w:tblPrEx>
          <w:tblCellMar>
            <w:top w:w="0" w:type="dxa"/>
            <w:left w:w="108" w:type="dxa"/>
            <w:bottom w:w="0" w:type="dxa"/>
            <w:right w:w="108" w:type="dxa"/>
          </w:tblCellMar>
        </w:tblPrEx>
        <w:tc>
          <w:tcPr>
            <w:tcW w:w="0" w:type="auto"/>
            <w:vAlign w:val="center"/>
          </w:tcPr>
          <w:p w14:paraId="0A2FDF89">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22630</w:t>
            </w:r>
          </w:p>
        </w:tc>
        <w:tc>
          <w:tcPr>
            <w:tcW w:w="0" w:type="auto"/>
            <w:vAlign w:val="center"/>
          </w:tcPr>
          <w:p w14:paraId="2C60FF13">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DOLLY GIRL LUNCH BOX（多莉女孩午餐盒）</w:t>
            </w:r>
          </w:p>
        </w:tc>
        <w:tc>
          <w:tcPr>
            <w:tcW w:w="0" w:type="auto"/>
            <w:vAlign w:val="center"/>
          </w:tcPr>
          <w:p w14:paraId="365E79D7">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Cash Cow</w:t>
            </w:r>
          </w:p>
        </w:tc>
        <w:tc>
          <w:tcPr>
            <w:tcW w:w="0" w:type="auto"/>
            <w:vAlign w:val="center"/>
          </w:tcPr>
          <w:p w14:paraId="25B6F0AF">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0.1398</w:t>
            </w:r>
          </w:p>
        </w:tc>
        <w:tc>
          <w:tcPr>
            <w:tcW w:w="0" w:type="auto"/>
            <w:vAlign w:val="center"/>
          </w:tcPr>
          <w:p w14:paraId="4D355C6D">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-0.365</w:t>
            </w:r>
          </w:p>
        </w:tc>
        <w:tc>
          <w:tcPr>
            <w:tcW w:w="0" w:type="auto"/>
            <w:vAlign w:val="center"/>
          </w:tcPr>
          <w:p w14:paraId="469328CD">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6,927</w:t>
            </w:r>
          </w:p>
        </w:tc>
        <w:tc>
          <w:tcPr>
            <w:tcW w:w="0" w:type="auto"/>
            <w:vAlign w:val="center"/>
          </w:tcPr>
          <w:p w14:paraId="42125848">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4,396</w:t>
            </w:r>
          </w:p>
        </w:tc>
        <w:tc>
          <w:tcPr>
            <w:tcW w:w="0" w:type="auto"/>
            <w:vAlign w:val="center"/>
          </w:tcPr>
          <w:p w14:paraId="598F0467">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11,323</w:t>
            </w:r>
          </w:p>
        </w:tc>
      </w:tr>
      <w:tr w14:paraId="7713FFEE">
        <w:tblPrEx>
          <w:tblCellMar>
            <w:top w:w="0" w:type="dxa"/>
            <w:left w:w="108" w:type="dxa"/>
            <w:bottom w:w="0" w:type="dxa"/>
            <w:right w:w="108" w:type="dxa"/>
          </w:tblCellMar>
        </w:tblPrEx>
        <w:tc>
          <w:tcPr>
            <w:tcW w:w="0" w:type="auto"/>
            <w:vAlign w:val="center"/>
          </w:tcPr>
          <w:p w14:paraId="509A0AA5">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23300</w:t>
            </w:r>
          </w:p>
        </w:tc>
        <w:tc>
          <w:tcPr>
            <w:tcW w:w="0" w:type="auto"/>
            <w:vAlign w:val="center"/>
          </w:tcPr>
          <w:p w14:paraId="36B724D1">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GARDENERS KNEELING PAD CUP OF TEA（园艺跪垫-茶杯图案）</w:t>
            </w:r>
          </w:p>
        </w:tc>
        <w:tc>
          <w:tcPr>
            <w:tcW w:w="0" w:type="auto"/>
            <w:vAlign w:val="center"/>
          </w:tcPr>
          <w:p w14:paraId="46FC0876">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Star</w:t>
            </w:r>
          </w:p>
        </w:tc>
        <w:tc>
          <w:tcPr>
            <w:tcW w:w="0" w:type="auto"/>
            <w:vAlign w:val="center"/>
          </w:tcPr>
          <w:p w14:paraId="7B6B37FA">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0.0776</w:t>
            </w:r>
          </w:p>
        </w:tc>
        <w:tc>
          <w:tcPr>
            <w:tcW w:w="0" w:type="auto"/>
            <w:vAlign w:val="center"/>
          </w:tcPr>
          <w:p w14:paraId="3C69B294">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0.266</w:t>
            </w:r>
          </w:p>
        </w:tc>
        <w:tc>
          <w:tcPr>
            <w:tcW w:w="0" w:type="auto"/>
            <w:vAlign w:val="center"/>
          </w:tcPr>
          <w:p w14:paraId="7E332DB6">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2,773</w:t>
            </w:r>
          </w:p>
        </w:tc>
        <w:tc>
          <w:tcPr>
            <w:tcW w:w="0" w:type="auto"/>
            <w:vAlign w:val="center"/>
          </w:tcPr>
          <w:p w14:paraId="38934DDA">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3,512</w:t>
            </w:r>
          </w:p>
        </w:tc>
        <w:tc>
          <w:tcPr>
            <w:tcW w:w="0" w:type="auto"/>
            <w:vAlign w:val="center"/>
          </w:tcPr>
          <w:p w14:paraId="05FEFA6E">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6,285</w:t>
            </w:r>
          </w:p>
        </w:tc>
      </w:tr>
      <w:tr w14:paraId="2D8953AA">
        <w:tblPrEx>
          <w:tblCellMar>
            <w:top w:w="0" w:type="dxa"/>
            <w:left w:w="108" w:type="dxa"/>
            <w:bottom w:w="0" w:type="dxa"/>
            <w:right w:w="108" w:type="dxa"/>
          </w:tblCellMar>
        </w:tblPrEx>
        <w:tc>
          <w:tcPr>
            <w:tcW w:w="0" w:type="auto"/>
            <w:vAlign w:val="center"/>
          </w:tcPr>
          <w:p w14:paraId="12D20991">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23301</w:t>
            </w:r>
          </w:p>
        </w:tc>
        <w:tc>
          <w:tcPr>
            <w:tcW w:w="0" w:type="auto"/>
            <w:vAlign w:val="center"/>
          </w:tcPr>
          <w:p w14:paraId="41062620">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GARDENERS KNEELING PAD KEEP CALM</w:t>
            </w:r>
          </w:p>
        </w:tc>
        <w:tc>
          <w:tcPr>
            <w:tcW w:w="0" w:type="auto"/>
            <w:vAlign w:val="center"/>
          </w:tcPr>
          <w:p w14:paraId="71DE16DE">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Star</w:t>
            </w:r>
          </w:p>
        </w:tc>
        <w:tc>
          <w:tcPr>
            <w:tcW w:w="0" w:type="auto"/>
            <w:vAlign w:val="center"/>
          </w:tcPr>
          <w:p w14:paraId="3FF4E3B4">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0.0953</w:t>
            </w:r>
          </w:p>
        </w:tc>
        <w:tc>
          <w:tcPr>
            <w:tcW w:w="0" w:type="auto"/>
            <w:vAlign w:val="center"/>
          </w:tcPr>
          <w:p w14:paraId="3C92855A">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1.101</w:t>
            </w:r>
          </w:p>
        </w:tc>
        <w:tc>
          <w:tcPr>
            <w:tcW w:w="0" w:type="auto"/>
            <w:vAlign w:val="center"/>
          </w:tcPr>
          <w:p w14:paraId="3ACA56E8">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2,490</w:t>
            </w:r>
          </w:p>
        </w:tc>
        <w:tc>
          <w:tcPr>
            <w:tcW w:w="0" w:type="auto"/>
            <w:vAlign w:val="center"/>
          </w:tcPr>
          <w:p w14:paraId="538E24A3">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5,232</w:t>
            </w:r>
          </w:p>
        </w:tc>
        <w:tc>
          <w:tcPr>
            <w:tcW w:w="0" w:type="auto"/>
            <w:vAlign w:val="center"/>
          </w:tcPr>
          <w:p w14:paraId="770D18FA">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7,722</w:t>
            </w:r>
          </w:p>
        </w:tc>
      </w:tr>
      <w:tr w14:paraId="7433EF32">
        <w:tblPrEx>
          <w:tblCellMar>
            <w:top w:w="0" w:type="dxa"/>
            <w:left w:w="108" w:type="dxa"/>
            <w:bottom w:w="0" w:type="dxa"/>
            <w:right w:w="108" w:type="dxa"/>
          </w:tblCellMar>
        </w:tblPrEx>
        <w:tc>
          <w:tcPr>
            <w:tcW w:w="0" w:type="auto"/>
            <w:vAlign w:val="center"/>
          </w:tcPr>
          <w:p w14:paraId="2829804A">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22726</w:t>
            </w:r>
          </w:p>
        </w:tc>
        <w:tc>
          <w:tcPr>
            <w:tcW w:w="0" w:type="auto"/>
            <w:vAlign w:val="center"/>
          </w:tcPr>
          <w:p w14:paraId="7D039468">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ALARM CLOCK BAKELIKE GREEN（复古闹钟-绿色）</w:t>
            </w:r>
          </w:p>
        </w:tc>
        <w:tc>
          <w:tcPr>
            <w:tcW w:w="0" w:type="auto"/>
            <w:vAlign w:val="center"/>
          </w:tcPr>
          <w:p w14:paraId="4DFAA534">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Star</w:t>
            </w:r>
          </w:p>
        </w:tc>
        <w:tc>
          <w:tcPr>
            <w:tcW w:w="0" w:type="auto"/>
            <w:vAlign w:val="center"/>
          </w:tcPr>
          <w:p w14:paraId="302DAFCB">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0.0695</w:t>
            </w:r>
          </w:p>
        </w:tc>
        <w:tc>
          <w:tcPr>
            <w:tcW w:w="0" w:type="auto"/>
            <w:vAlign w:val="center"/>
          </w:tcPr>
          <w:p w14:paraId="55889C79">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0.324</w:t>
            </w:r>
          </w:p>
        </w:tc>
        <w:tc>
          <w:tcPr>
            <w:tcW w:w="0" w:type="auto"/>
            <w:vAlign w:val="center"/>
          </w:tcPr>
          <w:p w14:paraId="5FBA0178">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2,423</w:t>
            </w:r>
          </w:p>
        </w:tc>
        <w:tc>
          <w:tcPr>
            <w:tcW w:w="0" w:type="auto"/>
            <w:vAlign w:val="center"/>
          </w:tcPr>
          <w:p w14:paraId="7FD654BB">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3,207</w:t>
            </w:r>
          </w:p>
        </w:tc>
        <w:tc>
          <w:tcPr>
            <w:tcW w:w="0" w:type="auto"/>
            <w:vAlign w:val="center"/>
          </w:tcPr>
          <w:p w14:paraId="21069A20">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5,630</w:t>
            </w:r>
          </w:p>
        </w:tc>
      </w:tr>
      <w:tr w14:paraId="54772B11">
        <w:tblPrEx>
          <w:tblCellMar>
            <w:top w:w="0" w:type="dxa"/>
            <w:left w:w="108" w:type="dxa"/>
            <w:bottom w:w="0" w:type="dxa"/>
            <w:right w:w="108" w:type="dxa"/>
          </w:tblCellMar>
        </w:tblPrEx>
        <w:tc>
          <w:tcPr>
            <w:tcW w:w="0" w:type="auto"/>
            <w:vAlign w:val="center"/>
          </w:tcPr>
          <w:p w14:paraId="2DC473BB">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22727</w:t>
            </w:r>
          </w:p>
        </w:tc>
        <w:tc>
          <w:tcPr>
            <w:tcW w:w="0" w:type="auto"/>
            <w:vAlign w:val="center"/>
          </w:tcPr>
          <w:p w14:paraId="327FF30F">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ALARM CLOCK BAKELIKE RED（复古闹钟-红色）</w:t>
            </w:r>
          </w:p>
        </w:tc>
        <w:tc>
          <w:tcPr>
            <w:tcW w:w="0" w:type="auto"/>
            <w:vAlign w:val="center"/>
          </w:tcPr>
          <w:p w14:paraId="05CC6298">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Star</w:t>
            </w:r>
          </w:p>
        </w:tc>
        <w:tc>
          <w:tcPr>
            <w:tcW w:w="0" w:type="auto"/>
            <w:vAlign w:val="center"/>
          </w:tcPr>
          <w:p w14:paraId="389AE9D4">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0.0890</w:t>
            </w:r>
          </w:p>
        </w:tc>
        <w:tc>
          <w:tcPr>
            <w:tcW w:w="0" w:type="auto"/>
            <w:vAlign w:val="center"/>
          </w:tcPr>
          <w:p w14:paraId="32D60FDE">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0.406</w:t>
            </w:r>
          </w:p>
        </w:tc>
        <w:tc>
          <w:tcPr>
            <w:tcW w:w="0" w:type="auto"/>
            <w:vAlign w:val="center"/>
          </w:tcPr>
          <w:p w14:paraId="4B19D77C">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2,995</w:t>
            </w:r>
          </w:p>
        </w:tc>
        <w:tc>
          <w:tcPr>
            <w:tcW w:w="0" w:type="auto"/>
            <w:vAlign w:val="center"/>
          </w:tcPr>
          <w:p w14:paraId="2E273DC8">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4,211</w:t>
            </w:r>
          </w:p>
        </w:tc>
        <w:tc>
          <w:tcPr>
            <w:tcW w:w="0" w:type="auto"/>
            <w:vAlign w:val="center"/>
          </w:tcPr>
          <w:p w14:paraId="3344A1A5">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7,206</w:t>
            </w:r>
          </w:p>
        </w:tc>
      </w:tr>
      <w:tr w14:paraId="2FCEE20C">
        <w:tblPrEx>
          <w:tblCellMar>
            <w:top w:w="0" w:type="dxa"/>
            <w:left w:w="108" w:type="dxa"/>
            <w:bottom w:w="0" w:type="dxa"/>
            <w:right w:w="108" w:type="dxa"/>
          </w:tblCellMar>
        </w:tblPrEx>
        <w:tc>
          <w:tcPr>
            <w:tcW w:w="0" w:type="auto"/>
            <w:tcBorders>
              <w:bottom w:val="single" w:color="000000" w:sz="18" w:space="0"/>
            </w:tcBorders>
            <w:vAlign w:val="center"/>
          </w:tcPr>
          <w:p w14:paraId="3AF42488">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22728</w:t>
            </w:r>
          </w:p>
        </w:tc>
        <w:tc>
          <w:tcPr>
            <w:tcW w:w="0" w:type="auto"/>
            <w:tcBorders>
              <w:bottom w:val="single" w:color="000000" w:sz="18" w:space="0"/>
            </w:tcBorders>
            <w:vAlign w:val="center"/>
          </w:tcPr>
          <w:p w14:paraId="0BD259D3">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ALARM CLOCK BAKELIKE PINK（复古闹钟-粉色）</w:t>
            </w:r>
          </w:p>
        </w:tc>
        <w:tc>
          <w:tcPr>
            <w:tcW w:w="0" w:type="auto"/>
            <w:tcBorders>
              <w:bottom w:val="single" w:color="000000" w:sz="18" w:space="0"/>
            </w:tcBorders>
            <w:vAlign w:val="center"/>
          </w:tcPr>
          <w:p w14:paraId="44DB7ED1">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Star</w:t>
            </w:r>
          </w:p>
        </w:tc>
        <w:tc>
          <w:tcPr>
            <w:tcW w:w="0" w:type="auto"/>
            <w:tcBorders>
              <w:bottom w:val="single" w:color="000000" w:sz="18" w:space="0"/>
            </w:tcBorders>
            <w:vAlign w:val="center"/>
          </w:tcPr>
          <w:p w14:paraId="1376409D">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0.0625</w:t>
            </w:r>
          </w:p>
        </w:tc>
        <w:tc>
          <w:tcPr>
            <w:tcW w:w="0" w:type="auto"/>
            <w:tcBorders>
              <w:bottom w:val="single" w:color="000000" w:sz="18" w:space="0"/>
            </w:tcBorders>
            <w:vAlign w:val="center"/>
          </w:tcPr>
          <w:p w14:paraId="334C8C5C">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0.483</w:t>
            </w:r>
          </w:p>
        </w:tc>
        <w:tc>
          <w:tcPr>
            <w:tcW w:w="0" w:type="auto"/>
            <w:tcBorders>
              <w:bottom w:val="single" w:color="000000" w:sz="18" w:space="0"/>
            </w:tcBorders>
            <w:vAlign w:val="center"/>
          </w:tcPr>
          <w:p w14:paraId="7E00020F">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2,040</w:t>
            </w:r>
          </w:p>
        </w:tc>
        <w:tc>
          <w:tcPr>
            <w:tcW w:w="0" w:type="auto"/>
            <w:tcBorders>
              <w:bottom w:val="single" w:color="000000" w:sz="18" w:space="0"/>
            </w:tcBorders>
            <w:vAlign w:val="center"/>
          </w:tcPr>
          <w:p w14:paraId="286EDEB2">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3,026</w:t>
            </w:r>
          </w:p>
        </w:tc>
        <w:tc>
          <w:tcPr>
            <w:tcW w:w="0" w:type="auto"/>
            <w:tcBorders>
              <w:bottom w:val="single" w:color="000000" w:sz="18" w:space="0"/>
            </w:tcBorders>
            <w:vAlign w:val="center"/>
          </w:tcPr>
          <w:p w14:paraId="58161899">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rPr>
            </w:pPr>
            <w:r>
              <w:rPr>
                <w:rFonts w:hint="eastAsia"/>
              </w:rPr>
              <w:t>5,066</w:t>
            </w:r>
          </w:p>
        </w:tc>
      </w:tr>
    </w:tbl>
    <w:p w14:paraId="6B133BC6">
      <w:pPr>
        <w:pStyle w:val="3"/>
      </w:pPr>
    </w:p>
    <w:bookmarkEnd w:id="69"/>
    <w:p w14:paraId="4F12BC37">
      <w:pPr>
        <w:pStyle w:val="5"/>
      </w:pPr>
      <w:bookmarkStart w:id="70" w:name="X152f1a9132fb7ea0ebd2af12ed7eb2674c7a3f7"/>
      <w:r>
        <w:t xml:space="preserve">4.2.2 </w:t>
      </w:r>
      <w:r>
        <w:rPr>
          <w:rFonts w:hint="eastAsia"/>
        </w:rPr>
        <w:t>逻辑推演</w:t>
      </w:r>
    </w:p>
    <w:p w14:paraId="28CBF0DB">
      <w:pPr>
        <w:pStyle w:val="28"/>
      </w:pPr>
      <w:r>
        <w:rPr>
          <w:rFonts w:hint="eastAsia"/>
        </w:rPr>
        <w:t>六组核心关联组合的场景化解读：</w:t>
      </w:r>
    </w:p>
    <w:p w14:paraId="37B3CCD3">
      <w:pPr>
        <w:pStyle w:val="3"/>
        <w:rPr>
          <w:rFonts w:hint="eastAsia"/>
        </w:rPr>
      </w:pPr>
      <w:r>
        <w:rPr>
          <w:rFonts w:hint="eastAsia"/>
        </w:rPr>
        <w:t>组合一：{22697,</w:t>
      </w:r>
      <w:r>
        <w:t xml:space="preserve"> 22698, 22699} — </w:t>
      </w:r>
      <w:r>
        <w:rPr>
          <w:rFonts w:hint="eastAsia"/>
        </w:rPr>
        <w:t>"摄政茶杯三色系"收藏套装型</w:t>
      </w:r>
    </w:p>
    <w:p w14:paraId="42DC71AF">
      <w:pPr>
        <w:pStyle w:val="12"/>
        <w:rPr>
          <w:rFonts w:hint="eastAsia" w:eastAsia="宋体"/>
          <w:lang w:val="en-US" w:eastAsia="zh-CN"/>
        </w:rPr>
      </w:pPr>
      <w:r>
        <w:t xml:space="preserve">表 </w:t>
      </w:r>
      <w:r>
        <w:fldChar w:fldCharType="begin"/>
      </w:r>
      <w:r>
        <w:instrText xml:space="preserve"> SEQ 表 \* ARABIC </w:instrText>
      </w:r>
      <w:r>
        <w:fldChar w:fldCharType="separate"/>
      </w:r>
      <w:r>
        <w:t>9</w:t>
      </w:r>
      <w:r>
        <w:fldChar w:fldCharType="end"/>
      </w:r>
      <w:r>
        <w:rPr>
          <w:rFonts w:hint="eastAsia"/>
          <w:lang w:val="en-US" w:eastAsia="zh-CN"/>
        </w:rPr>
        <w:t xml:space="preserve"> 组合一</w:t>
      </w:r>
    </w:p>
    <w:tbl>
      <w:tblPr>
        <w:tblStyle w:val="46"/>
        <w:tblW w:w="0" w:type="auto"/>
        <w:tblInd w:w="0" w:type="dxa"/>
        <w:tblLayout w:type="autofit"/>
        <w:tblCellMar>
          <w:top w:w="0" w:type="dxa"/>
          <w:left w:w="108" w:type="dxa"/>
          <w:bottom w:w="0" w:type="dxa"/>
          <w:right w:w="108" w:type="dxa"/>
        </w:tblCellMar>
      </w:tblPr>
      <w:tblGrid>
        <w:gridCol w:w="1138"/>
        <w:gridCol w:w="3875"/>
        <w:gridCol w:w="1068"/>
        <w:gridCol w:w="836"/>
        <w:gridCol w:w="1939"/>
      </w:tblGrid>
      <w:tr w14:paraId="4589A6F6">
        <w:tblPrEx>
          <w:tblCellMar>
            <w:top w:w="0" w:type="dxa"/>
            <w:left w:w="108" w:type="dxa"/>
            <w:bottom w:w="0" w:type="dxa"/>
            <w:right w:w="108" w:type="dxa"/>
          </w:tblCellMar>
        </w:tblPrEx>
        <w:trPr>
          <w:tblHeader/>
        </w:trPr>
        <w:tc>
          <w:tcPr>
            <w:tcBorders>
              <w:top w:val="single" w:color="000000" w:sz="18" w:space="0"/>
              <w:bottom w:val="single" w:color="000000" w:sz="12" w:space="0"/>
            </w:tcBorders>
            <w:vAlign w:val="center"/>
          </w:tcPr>
          <w:p w14:paraId="2A325E43">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sz w:val="21"/>
                <w:szCs w:val="21"/>
              </w:rPr>
              <w:t>StockCode</w:t>
            </w:r>
          </w:p>
        </w:tc>
        <w:tc>
          <w:tcPr>
            <w:tcBorders>
              <w:top w:val="single" w:color="000000" w:sz="18" w:space="0"/>
              <w:bottom w:val="single" w:color="000000" w:sz="12" w:space="0"/>
            </w:tcBorders>
            <w:vAlign w:val="center"/>
          </w:tcPr>
          <w:p w14:paraId="749CE2E3">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sz w:val="21"/>
                <w:szCs w:val="21"/>
              </w:rPr>
              <w:t>商品描述</w:t>
            </w:r>
          </w:p>
        </w:tc>
        <w:tc>
          <w:tcPr>
            <w:tcBorders>
              <w:top w:val="single" w:color="000000" w:sz="18" w:space="0"/>
              <w:bottom w:val="single" w:color="000000" w:sz="12" w:space="0"/>
            </w:tcBorders>
            <w:vAlign w:val="center"/>
          </w:tcPr>
          <w:p w14:paraId="777010FC">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sz w:val="21"/>
                <w:szCs w:val="21"/>
              </w:rPr>
              <w:t>BCG类型</w:t>
            </w:r>
          </w:p>
        </w:tc>
        <w:tc>
          <w:tcPr>
            <w:tcBorders>
              <w:top w:val="single" w:color="000000" w:sz="18" w:space="0"/>
              <w:bottom w:val="single" w:color="000000" w:sz="12" w:space="0"/>
            </w:tcBorders>
            <w:vAlign w:val="center"/>
          </w:tcPr>
          <w:p w14:paraId="55B109ED">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sz w:val="21"/>
                <w:szCs w:val="21"/>
              </w:rPr>
              <w:t>增长率</w:t>
            </w:r>
          </w:p>
        </w:tc>
        <w:tc>
          <w:tcPr>
            <w:tcBorders>
              <w:top w:val="single" w:color="000000" w:sz="18" w:space="0"/>
              <w:bottom w:val="single" w:color="000000" w:sz="12" w:space="0"/>
            </w:tcBorders>
            <w:vAlign w:val="center"/>
          </w:tcPr>
          <w:p w14:paraId="76BBD75E">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sz w:val="21"/>
                <w:szCs w:val="21"/>
              </w:rPr>
              <w:t>角色定位</w:t>
            </w:r>
          </w:p>
        </w:tc>
      </w:tr>
      <w:tr w14:paraId="255C7F75">
        <w:tblPrEx>
          <w:tblCellMar>
            <w:top w:w="0" w:type="dxa"/>
            <w:left w:w="108" w:type="dxa"/>
            <w:bottom w:w="0" w:type="dxa"/>
            <w:right w:w="108" w:type="dxa"/>
          </w:tblCellMar>
        </w:tblPrEx>
        <w:trPr>
          <w:trHeight w:val="1176" w:hRule="atLeast"/>
        </w:trPr>
        <w:tc>
          <w:tcPr>
            <w:tcBorders>
              <w:top w:val="single" w:color="000000" w:sz="12" w:space="0"/>
            </w:tcBorders>
            <w:vAlign w:val="center"/>
          </w:tcPr>
          <w:p w14:paraId="25D8BE1F">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sz w:val="21"/>
                <w:szCs w:val="21"/>
              </w:rPr>
              <w:t>22697</w:t>
            </w:r>
          </w:p>
        </w:tc>
        <w:tc>
          <w:tcPr>
            <w:tcBorders>
              <w:top w:val="single" w:color="000000" w:sz="12" w:space="0"/>
            </w:tcBorders>
            <w:vAlign w:val="center"/>
          </w:tcPr>
          <w:p w14:paraId="65767714">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sz w:val="21"/>
                <w:szCs w:val="21"/>
              </w:rPr>
              <w:t>GREEN REGENCY TEACUP AND SAUCER</w:t>
            </w:r>
          </w:p>
        </w:tc>
        <w:tc>
          <w:tcPr>
            <w:tcBorders>
              <w:top w:val="single" w:color="000000" w:sz="12" w:space="0"/>
            </w:tcBorders>
            <w:vAlign w:val="center"/>
          </w:tcPr>
          <w:p w14:paraId="79F838B2">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sz w:val="21"/>
                <w:szCs w:val="21"/>
              </w:rPr>
              <w:t>Cash Cow</w:t>
            </w:r>
          </w:p>
        </w:tc>
        <w:tc>
          <w:tcPr>
            <w:tcBorders>
              <w:top w:val="single" w:color="000000" w:sz="12" w:space="0"/>
            </w:tcBorders>
            <w:vAlign w:val="center"/>
          </w:tcPr>
          <w:p w14:paraId="030A83F0">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sz w:val="21"/>
                <w:szCs w:val="21"/>
              </w:rPr>
              <w:t>34.8%</w:t>
            </w:r>
          </w:p>
        </w:tc>
        <w:tc>
          <w:tcPr>
            <w:tcBorders>
              <w:top w:val="single" w:color="000000" w:sz="12" w:space="0"/>
            </w:tcBorders>
            <w:vAlign w:val="center"/>
          </w:tcPr>
          <w:p w14:paraId="39403F8D">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sz w:val="21"/>
                <w:szCs w:val="21"/>
              </w:rPr>
              <w:t>经典款，负增长</w:t>
            </w:r>
          </w:p>
        </w:tc>
      </w:tr>
      <w:tr w14:paraId="27E47BDC">
        <w:tblPrEx>
          <w:tblCellMar>
            <w:top w:w="0" w:type="dxa"/>
            <w:left w:w="108" w:type="dxa"/>
            <w:bottom w:w="0" w:type="dxa"/>
            <w:right w:w="108" w:type="dxa"/>
          </w:tblCellMar>
        </w:tblPrEx>
        <w:tc>
          <w:tcPr>
            <w:vAlign w:val="center"/>
          </w:tcPr>
          <w:p w14:paraId="4E2417E9">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sz w:val="21"/>
                <w:szCs w:val="21"/>
              </w:rPr>
              <w:t>22698</w:t>
            </w:r>
          </w:p>
        </w:tc>
        <w:tc>
          <w:tcPr>
            <w:vAlign w:val="center"/>
          </w:tcPr>
          <w:p w14:paraId="17FEA382">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sz w:val="21"/>
                <w:szCs w:val="21"/>
              </w:rPr>
              <w:t>PINK REGENCY TEACUP AND SAUCER</w:t>
            </w:r>
          </w:p>
        </w:tc>
        <w:tc>
          <w:tcPr>
            <w:vAlign w:val="center"/>
          </w:tcPr>
          <w:p w14:paraId="78CD9A35">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sz w:val="21"/>
                <w:szCs w:val="21"/>
              </w:rPr>
              <w:t>Star*</w:t>
            </w:r>
          </w:p>
        </w:tc>
        <w:tc>
          <w:tcPr>
            <w:vAlign w:val="center"/>
          </w:tcPr>
          <w:p w14:paraId="5C8CFA6F">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sz w:val="21"/>
                <w:szCs w:val="21"/>
              </w:rPr>
              <w:t>22.9%</w:t>
            </w:r>
          </w:p>
        </w:tc>
        <w:tc>
          <w:tcPr>
            <w:vAlign w:val="center"/>
          </w:tcPr>
          <w:p w14:paraId="53A72977">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default" w:eastAsia="宋体"/>
                <w:sz w:val="21"/>
                <w:szCs w:val="21"/>
                <w:lang w:val="en-US" w:eastAsia="zh-CN"/>
              </w:rPr>
            </w:pPr>
            <w:r>
              <w:rPr>
                <w:rFonts w:hint="eastAsia"/>
                <w:sz w:val="21"/>
                <w:szCs w:val="21"/>
              </w:rPr>
              <w:t>"伪明星"，实质</w:t>
            </w:r>
            <w:r>
              <w:rPr>
                <w:rFonts w:hint="eastAsia"/>
                <w:sz w:val="21"/>
                <w:szCs w:val="21"/>
                <w:lang w:val="en-US" w:eastAsia="zh-CN"/>
              </w:rPr>
              <w:t xml:space="preserve">   </w:t>
            </w:r>
          </w:p>
        </w:tc>
      </w:tr>
      <w:tr w14:paraId="0CA5BAD4">
        <w:tblPrEx>
          <w:tblCellMar>
            <w:top w:w="0" w:type="dxa"/>
            <w:left w:w="108" w:type="dxa"/>
            <w:bottom w:w="0" w:type="dxa"/>
            <w:right w:w="108" w:type="dxa"/>
          </w:tblCellMar>
        </w:tblPrEx>
        <w:tc>
          <w:tcPr>
            <w:tcBorders>
              <w:bottom w:val="single" w:color="000000" w:sz="18" w:space="0"/>
            </w:tcBorders>
            <w:vAlign w:val="center"/>
          </w:tcPr>
          <w:p w14:paraId="1EEB3E19">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sz w:val="21"/>
                <w:szCs w:val="21"/>
              </w:rPr>
              <w:t>22699</w:t>
            </w:r>
          </w:p>
        </w:tc>
        <w:tc>
          <w:tcPr>
            <w:tcBorders>
              <w:bottom w:val="single" w:color="000000" w:sz="18" w:space="0"/>
            </w:tcBorders>
            <w:vAlign w:val="center"/>
          </w:tcPr>
          <w:p w14:paraId="16143B85">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sz w:val="21"/>
                <w:szCs w:val="21"/>
              </w:rPr>
              <w:t>ROSES REGENCY TEACUP AND SAUCER</w:t>
            </w:r>
          </w:p>
        </w:tc>
        <w:tc>
          <w:tcPr>
            <w:tcBorders>
              <w:bottom w:val="single" w:color="000000" w:sz="18" w:space="0"/>
            </w:tcBorders>
            <w:vAlign w:val="center"/>
          </w:tcPr>
          <w:p w14:paraId="21270399">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sz w:val="21"/>
                <w:szCs w:val="21"/>
              </w:rPr>
              <w:t>Cash Cow</w:t>
            </w:r>
          </w:p>
        </w:tc>
        <w:tc>
          <w:tcPr>
            <w:tcBorders>
              <w:bottom w:val="single" w:color="000000" w:sz="18" w:space="0"/>
            </w:tcBorders>
            <w:vAlign w:val="center"/>
          </w:tcPr>
          <w:p w14:paraId="7938A6F4">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sz w:val="21"/>
                <w:szCs w:val="21"/>
              </w:rPr>
              <w:t>49.0%</w:t>
            </w:r>
          </w:p>
        </w:tc>
        <w:tc>
          <w:tcPr>
            <w:tcBorders>
              <w:bottom w:val="single" w:color="000000" w:sz="18" w:space="0"/>
            </w:tcBorders>
            <w:vAlign w:val="center"/>
          </w:tcPr>
          <w:p w14:paraId="0BB8CAC7">
            <w:pPr>
              <w:pStyle w:val="3"/>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sz w:val="21"/>
                <w:szCs w:val="21"/>
              </w:rPr>
              <w:t>份额最高，下滑最快</w:t>
            </w:r>
          </w:p>
        </w:tc>
      </w:tr>
    </w:tbl>
    <w:p w14:paraId="06865C5D">
      <w:pPr>
        <w:pStyle w:val="3"/>
      </w:pPr>
    </w:p>
    <w:p w14:paraId="42D73ED4">
      <w:pPr>
        <w:pStyle w:val="3"/>
      </w:pPr>
      <w:r>
        <w:rPr>
          <w:rFonts w:hint="eastAsia"/>
        </w:rPr>
        <w:t>关联规则表现：</w:t>
      </w:r>
    </w:p>
    <w:p w14:paraId="71D0641F">
      <w:pPr>
        <w:numPr>
          <w:ilvl w:val="0"/>
          <w:numId w:val="1"/>
        </w:numPr>
      </w:pPr>
      <w:r>
        <w:rPr>
          <w:rFonts w:hint="eastAsia"/>
        </w:rPr>
        <w:t>最强规则：{22699,</w:t>
      </w:r>
      <w:r>
        <w:t xml:space="preserve"> 22697} → </w:t>
      </w:r>
      <w:r>
        <w:rPr>
          <w:rFonts w:hint="eastAsia"/>
        </w:rPr>
        <w:t>{22698}，支持度2.23%，置信度71.6%，</w:t>
      </w:r>
      <w:r>
        <w:rPr>
          <w:rFonts w:hint="eastAsia"/>
          <w:b/>
          <w:bCs/>
        </w:rPr>
        <w:t>提升度22.45</w:t>
      </w:r>
      <w:r>
        <w:rPr>
          <w:rFonts w:hint="eastAsia"/>
        </w:rPr>
        <w:t>（全平台最高）</w:t>
      </w:r>
    </w:p>
    <w:p w14:paraId="52526DCA">
      <w:pPr>
        <w:numPr>
          <w:ilvl w:val="0"/>
          <w:numId w:val="1"/>
        </w:numPr>
      </w:pPr>
      <w:r>
        <w:rPr>
          <w:rFonts w:hint="eastAsia"/>
        </w:rPr>
        <w:t>双向强关联：任意两件同时出现时，第三件的置信度均在50%–89%之间</w:t>
      </w:r>
    </w:p>
    <w:p w14:paraId="0FD4BD71">
      <w:pPr>
        <w:pStyle w:val="28"/>
      </w:pPr>
      <w:r>
        <w:rPr>
          <w:rFonts w:hint="eastAsia"/>
        </w:rPr>
        <w:t>场景化洞察：</w:t>
      </w:r>
    </w:p>
    <w:p w14:paraId="7DBB084D">
      <w:pPr>
        <w:pStyle w:val="3"/>
      </w:pPr>
      <w:r>
        <w:rPr>
          <w:rFonts w:hint="eastAsia"/>
        </w:rPr>
        <w:t>这是典型的"</w:t>
      </w:r>
      <w:r>
        <w:rPr>
          <w:rFonts w:hint="eastAsia"/>
          <w:b/>
          <w:bCs/>
        </w:rPr>
        <w:t>颜色收集癖好</w:t>
      </w:r>
      <w:r>
        <w:rPr>
          <w:rFonts w:hint="eastAsia"/>
        </w:rPr>
        <w:t>"驱动的消费模式。三件商品均为摄政风格（Regency</w:t>
      </w:r>
      <w:r>
        <w:t xml:space="preserve"> </w:t>
      </w:r>
      <w:r>
        <w:rPr>
          <w:rFonts w:hint="eastAsia"/>
        </w:rPr>
        <w:t>Style）的茶杯碟，唯一差异是花色（绿色/粉色/玫瑰）。极高的提升度（17.68–22.45）说明：</w:t>
      </w:r>
      <w:r>
        <w:rPr>
          <w:rFonts w:hint="eastAsia"/>
          <w:b/>
          <w:bCs/>
        </w:rPr>
        <w:t>一旦客户购买了其中任意两款，极大概率会补齐全套三色</w:t>
      </w:r>
      <w:r>
        <w:rPr>
          <w:rFonts w:hint="eastAsia"/>
        </w:rPr>
        <w:t>。这种关联并非功能互补（一个茶杯并不"需要"另一个茶杯），而是情感驱动——收藏心理、配套陈列需求、或礼品套装采购。</w:t>
      </w:r>
    </w:p>
    <w:p w14:paraId="4D21FEC8">
      <w:pPr>
        <w:pStyle w:val="3"/>
      </w:pPr>
      <w:r>
        <w:rPr>
          <w:rFonts w:hint="eastAsia"/>
        </w:rPr>
        <w:t>值得注意的是，三件商品的增长率均为负值（-22.9%至-49.0%），表明该系列已进入生命周期衰退期。但高关联性也意味着：</w:t>
      </w:r>
      <w:r>
        <w:rPr>
          <w:rFonts w:hint="eastAsia"/>
          <w:b/>
          <w:bCs/>
        </w:rPr>
        <w:t>存量客户中仍有强烈的成套购买意愿，只是新客户流入不足</w:t>
      </w:r>
      <w:r>
        <w:t>。</w:t>
      </w:r>
    </w:p>
    <w:p w14:paraId="0EA50C7E">
      <w:pPr>
        <w:pStyle w:val="3"/>
      </w:pPr>
      <w:r>
        <w:rPr>
          <w:rFonts w:hint="eastAsia"/>
        </w:rPr>
        <w:t>策略含义：</w:t>
      </w:r>
    </w:p>
    <w:p w14:paraId="37899EF1">
      <w:pPr>
        <w:numPr>
          <w:ilvl w:val="0"/>
          <w:numId w:val="2"/>
        </w:numPr>
      </w:pPr>
      <w:r>
        <w:rPr>
          <w:rFonts w:hint="eastAsia"/>
        </w:rPr>
        <w:t>套装捆绑优先级：极高，</w:t>
      </w:r>
      <w:r>
        <w:t xml:space="preserve"> </w:t>
      </w:r>
      <w:r>
        <w:rPr>
          <w:rFonts w:hint="eastAsia"/>
        </w:rPr>
        <w:t>鉴于三件商品均处于衰退期，建议立即推出"摄政茶杯三色珍藏套装"，定价为单件累计价的70%–75%（相当于7–7.5折），在商品详情页、购物车页、会员邮件中同步推广。目标是加速库存周转，回收现金流，而非追求利润。</w:t>
      </w:r>
    </w:p>
    <w:p w14:paraId="14177742">
      <w:pPr>
        <w:numPr>
          <w:ilvl w:val="0"/>
          <w:numId w:val="3"/>
        </w:numPr>
      </w:pPr>
      <w:r>
        <w:rPr>
          <w:rFonts w:hint="eastAsia"/>
        </w:rPr>
        <w:t>推荐话术设计：强调"收藏完整性"。</w:t>
      </w:r>
      <w:r>
        <w:t xml:space="preserve"> </w:t>
      </w:r>
      <w:r>
        <w:rPr>
          <w:rFonts w:hint="eastAsia"/>
        </w:rPr>
        <w:t>对于已购买1–2件的客户，推荐语应突出"集齐三色""限量经典""陈列更美观"等情感诉求，而非功能卖点。例如："您已拥有绿色和粉色，还差玫瑰色即可集齐全套摄政茶杯！"</w:t>
      </w:r>
    </w:p>
    <w:p w14:paraId="773BB9B7">
      <w:pPr>
        <w:numPr>
          <w:ilvl w:val="0"/>
          <w:numId w:val="3"/>
        </w:numPr>
      </w:pPr>
      <w:r>
        <w:rPr>
          <w:rFonts w:hint="eastAsia"/>
        </w:rPr>
        <w:t>生命周期预警：</w:t>
      </w:r>
      <w:r>
        <w:t xml:space="preserve"> </w:t>
      </w:r>
      <w:r>
        <w:rPr>
          <w:rFonts w:hint="eastAsia"/>
        </w:rPr>
        <w:t>该系列衰退明显，不建议追加生产或营销投入。若库存清理完毕后仍有客户需求，可考虑开发"新摄政系列"（如更新花色、材质升级），以新产品承接老客户的收藏需求。</w:t>
      </w:r>
    </w:p>
    <w:p w14:paraId="338C56CC">
      <w:pPr>
        <w:pStyle w:val="28"/>
      </w:pPr>
      <w:r>
        <w:rPr>
          <w:rFonts w:hint="eastAsia"/>
        </w:rPr>
        <w:t>组合二：{22629,</w:t>
      </w:r>
      <w:r>
        <w:t xml:space="preserve"> 22630} — </w:t>
      </w:r>
      <w:r>
        <w:rPr>
          <w:rFonts w:hint="eastAsia"/>
        </w:rPr>
        <w:t>"儿童午餐盒CP"性别对称型</w:t>
      </w:r>
    </w:p>
    <w:p w14:paraId="02FABBE3">
      <w:pPr>
        <w:pStyle w:val="12"/>
        <w:rPr>
          <w:rFonts w:hint="default" w:eastAsia="宋体"/>
          <w:lang w:val="en-US" w:eastAsia="zh-CN"/>
        </w:rPr>
      </w:pPr>
      <w:r>
        <w:t xml:space="preserve">表 </w:t>
      </w:r>
      <w:r>
        <w:fldChar w:fldCharType="begin"/>
      </w:r>
      <w:r>
        <w:instrText xml:space="preserve"> SEQ 表 \* ARABIC </w:instrText>
      </w:r>
      <w:r>
        <w:fldChar w:fldCharType="separate"/>
      </w:r>
      <w:r>
        <w:t>10</w:t>
      </w:r>
      <w:r>
        <w:fldChar w:fldCharType="end"/>
      </w:r>
      <w:r>
        <w:rPr>
          <w:rFonts w:hint="eastAsia"/>
          <w:lang w:val="en-US" w:eastAsia="zh-CN"/>
        </w:rPr>
        <w:t xml:space="preserve"> 组合二</w:t>
      </w:r>
    </w:p>
    <w:tbl>
      <w:tblPr>
        <w:tblStyle w:val="46"/>
        <w:tblW w:w="0" w:type="auto"/>
        <w:tblInd w:w="0" w:type="dxa"/>
        <w:tblLayout w:type="autofit"/>
        <w:tblCellMar>
          <w:top w:w="0" w:type="dxa"/>
          <w:left w:w="108" w:type="dxa"/>
          <w:bottom w:w="0" w:type="dxa"/>
          <w:right w:w="108" w:type="dxa"/>
        </w:tblCellMar>
      </w:tblPr>
      <w:tblGrid>
        <w:gridCol w:w="1185"/>
        <w:gridCol w:w="3783"/>
        <w:gridCol w:w="1107"/>
        <w:gridCol w:w="842"/>
        <w:gridCol w:w="1939"/>
      </w:tblGrid>
      <w:tr w14:paraId="3F0597DB">
        <w:tblPrEx>
          <w:tblCellMar>
            <w:top w:w="0" w:type="dxa"/>
            <w:left w:w="108" w:type="dxa"/>
            <w:bottom w:w="0" w:type="dxa"/>
            <w:right w:w="108" w:type="dxa"/>
          </w:tblCellMar>
        </w:tblPrEx>
        <w:trPr>
          <w:tblHeader/>
        </w:trPr>
        <w:tc>
          <w:tcPr>
            <w:tcW w:w="0" w:type="auto"/>
            <w:tcBorders>
              <w:top w:val="single" w:color="000000" w:sz="18" w:space="0"/>
              <w:bottom w:val="single" w:color="000000" w:sz="12" w:space="0"/>
            </w:tcBorders>
            <w:vAlign w:val="center"/>
          </w:tcPr>
          <w:p w14:paraId="184ED6F7">
            <w:pPr>
              <w:pStyle w:val="29"/>
              <w:keepNext w:val="0"/>
              <w:keepLines w:val="0"/>
              <w:pageBreakBefore w:val="0"/>
              <w:widowControl/>
              <w:kinsoku/>
              <w:wordWrap/>
              <w:overflowPunct/>
              <w:topLinePunct w:val="0"/>
              <w:autoSpaceDE/>
              <w:autoSpaceDN/>
              <w:bidi w:val="0"/>
              <w:adjustRightInd/>
              <w:snapToGrid/>
              <w:ind w:firstLine="0" w:firstLineChars="0"/>
              <w:jc w:val="center"/>
              <w:rPr>
                <w:b/>
                <w:bCs/>
                <w:sz w:val="21"/>
                <w:szCs w:val="21"/>
              </w:rPr>
            </w:pPr>
            <w:r>
              <w:rPr>
                <w:b/>
                <w:bCs/>
                <w:sz w:val="21"/>
                <w:szCs w:val="21"/>
              </w:rPr>
              <w:t>StockCode</w:t>
            </w:r>
          </w:p>
        </w:tc>
        <w:tc>
          <w:tcPr>
            <w:tcW w:w="0" w:type="auto"/>
            <w:tcBorders>
              <w:top w:val="single" w:color="000000" w:sz="18" w:space="0"/>
              <w:bottom w:val="single" w:color="000000" w:sz="12" w:space="0"/>
            </w:tcBorders>
            <w:vAlign w:val="center"/>
          </w:tcPr>
          <w:p w14:paraId="6F7FA8FD">
            <w:pPr>
              <w:pStyle w:val="29"/>
              <w:keepNext w:val="0"/>
              <w:keepLines w:val="0"/>
              <w:pageBreakBefore w:val="0"/>
              <w:widowControl/>
              <w:kinsoku/>
              <w:wordWrap/>
              <w:overflowPunct/>
              <w:topLinePunct w:val="0"/>
              <w:autoSpaceDE/>
              <w:autoSpaceDN/>
              <w:bidi w:val="0"/>
              <w:adjustRightInd/>
              <w:snapToGrid/>
              <w:ind w:firstLine="0" w:firstLineChars="0"/>
              <w:jc w:val="center"/>
              <w:rPr>
                <w:b/>
                <w:bCs/>
                <w:sz w:val="21"/>
                <w:szCs w:val="21"/>
              </w:rPr>
            </w:pPr>
            <w:r>
              <w:rPr>
                <w:rFonts w:hint="default"/>
                <w:b/>
                <w:bCs/>
                <w:sz w:val="21"/>
                <w:szCs w:val="21"/>
              </w:rPr>
              <w:t>商品描述</w:t>
            </w:r>
          </w:p>
        </w:tc>
        <w:tc>
          <w:tcPr>
            <w:tcW w:w="0" w:type="auto"/>
            <w:tcBorders>
              <w:top w:val="single" w:color="000000" w:sz="18" w:space="0"/>
              <w:bottom w:val="single" w:color="000000" w:sz="12" w:space="0"/>
            </w:tcBorders>
            <w:vAlign w:val="center"/>
          </w:tcPr>
          <w:p w14:paraId="4DC6C400">
            <w:pPr>
              <w:pStyle w:val="29"/>
              <w:keepNext w:val="0"/>
              <w:keepLines w:val="0"/>
              <w:pageBreakBefore w:val="0"/>
              <w:widowControl/>
              <w:kinsoku/>
              <w:wordWrap/>
              <w:overflowPunct/>
              <w:topLinePunct w:val="0"/>
              <w:autoSpaceDE/>
              <w:autoSpaceDN/>
              <w:bidi w:val="0"/>
              <w:adjustRightInd/>
              <w:snapToGrid/>
              <w:ind w:firstLine="0" w:firstLineChars="0"/>
              <w:jc w:val="center"/>
              <w:rPr>
                <w:rFonts w:hint="default" w:eastAsia="宋体"/>
                <w:b/>
                <w:bCs/>
                <w:sz w:val="21"/>
                <w:szCs w:val="21"/>
                <w:lang w:val="en-US" w:eastAsia="zh-CN"/>
              </w:rPr>
            </w:pPr>
            <w:r>
              <w:rPr>
                <w:rFonts w:hint="eastAsia"/>
                <w:b/>
                <w:bCs/>
                <w:sz w:val="21"/>
                <w:szCs w:val="21"/>
                <w:lang w:val="en-US" w:eastAsia="zh-CN"/>
              </w:rPr>
              <w:t>BCG类型</w:t>
            </w:r>
          </w:p>
        </w:tc>
        <w:tc>
          <w:tcPr>
            <w:tcW w:w="842" w:type="dxa"/>
            <w:tcBorders>
              <w:top w:val="single" w:color="000000" w:sz="18" w:space="0"/>
              <w:bottom w:val="single" w:color="000000" w:sz="12" w:space="0"/>
            </w:tcBorders>
            <w:shd w:val="clear" w:color="auto" w:fill="auto"/>
            <w:vAlign w:val="center"/>
          </w:tcPr>
          <w:p w14:paraId="4A5B8883">
            <w:pPr>
              <w:pStyle w:val="29"/>
              <w:keepNext w:val="0"/>
              <w:keepLines w:val="0"/>
              <w:pageBreakBefore w:val="0"/>
              <w:widowControl/>
              <w:kinsoku/>
              <w:wordWrap/>
              <w:overflowPunct/>
              <w:topLinePunct w:val="0"/>
              <w:autoSpaceDE/>
              <w:autoSpaceDN/>
              <w:bidi w:val="0"/>
              <w:adjustRightInd/>
              <w:snapToGrid/>
              <w:ind w:firstLine="0" w:firstLineChars="0"/>
              <w:jc w:val="center"/>
              <w:rPr>
                <w:rFonts w:hint="default" w:ascii="Times New Roman" w:hAnsi="Times New Roman" w:eastAsia="宋体" w:cs="Times New Roman"/>
                <w:b/>
                <w:bCs/>
                <w:i w:val="0"/>
                <w:iCs w:val="0"/>
                <w:caps/>
                <w:color w:val="1F0909"/>
                <w:spacing w:val="0"/>
                <w:sz w:val="21"/>
                <w:szCs w:val="21"/>
                <w:shd w:val="clear" w:fill="DADADA"/>
                <w:lang w:val="en-US" w:eastAsia="zh-CN"/>
              </w:rPr>
            </w:pPr>
            <w:r>
              <w:rPr>
                <w:rFonts w:hint="eastAsia" w:cs="Times New Roman"/>
                <w:b/>
                <w:bCs/>
                <w:i w:val="0"/>
                <w:iCs w:val="0"/>
                <w:caps/>
                <w:color w:val="1F0909"/>
                <w:spacing w:val="0"/>
                <w:sz w:val="21"/>
                <w:szCs w:val="21"/>
                <w:shd w:val="clear" w:fill="FFFFFF" w:themeFill="background1"/>
                <w:lang w:val="en-US" w:eastAsia="zh-CN"/>
              </w:rPr>
              <w:t>增长率</w:t>
            </w:r>
          </w:p>
        </w:tc>
        <w:tc>
          <w:tcPr>
            <w:tcW w:w="1939" w:type="dxa"/>
            <w:tcBorders>
              <w:top w:val="single" w:color="000000" w:sz="18" w:space="0"/>
              <w:bottom w:val="single" w:color="000000" w:sz="12" w:space="0"/>
            </w:tcBorders>
            <w:vAlign w:val="center"/>
          </w:tcPr>
          <w:p w14:paraId="4C47B7AC">
            <w:pPr>
              <w:pStyle w:val="29"/>
              <w:keepNext w:val="0"/>
              <w:keepLines w:val="0"/>
              <w:pageBreakBefore w:val="0"/>
              <w:widowControl/>
              <w:kinsoku/>
              <w:wordWrap/>
              <w:overflowPunct/>
              <w:topLinePunct w:val="0"/>
              <w:autoSpaceDE/>
              <w:autoSpaceDN/>
              <w:bidi w:val="0"/>
              <w:adjustRightInd/>
              <w:snapToGrid/>
              <w:ind w:firstLine="0" w:firstLineChars="0"/>
              <w:jc w:val="center"/>
              <w:rPr>
                <w:rFonts w:hint="default" w:ascii="Times New Roman" w:hAnsi="Times New Roman" w:eastAsia="Times New Roman" w:cs="Times New Roman"/>
                <w:b/>
                <w:bCs/>
                <w:i w:val="0"/>
                <w:iCs w:val="0"/>
                <w:caps/>
                <w:color w:val="1F0909"/>
                <w:spacing w:val="0"/>
                <w:sz w:val="21"/>
                <w:szCs w:val="21"/>
                <w:shd w:val="clear" w:fill="DADADA"/>
              </w:rPr>
            </w:pPr>
            <w:r>
              <w:rPr>
                <w:rFonts w:hint="default" w:ascii="Times New Roman" w:hAnsi="Times New Roman" w:eastAsia="Times New Roman" w:cs="Times New Roman"/>
                <w:b/>
                <w:bCs/>
                <w:i w:val="0"/>
                <w:iCs w:val="0"/>
                <w:caps/>
                <w:color w:val="1F0909"/>
                <w:spacing w:val="0"/>
                <w:sz w:val="21"/>
                <w:szCs w:val="21"/>
                <w:shd w:val="clear" w:fill="FFFFFF" w:themeFill="background1"/>
              </w:rPr>
              <w:t>角色定位</w:t>
            </w:r>
          </w:p>
        </w:tc>
      </w:tr>
      <w:tr w14:paraId="4ABC935F">
        <w:tblPrEx>
          <w:tblCellMar>
            <w:top w:w="0" w:type="dxa"/>
            <w:left w:w="108" w:type="dxa"/>
            <w:bottom w:w="0" w:type="dxa"/>
            <w:right w:w="108" w:type="dxa"/>
          </w:tblCellMar>
        </w:tblPrEx>
        <w:tc>
          <w:tcPr>
            <w:tcW w:w="0" w:type="auto"/>
            <w:tcBorders>
              <w:top w:val="single" w:color="000000" w:sz="12" w:space="0"/>
            </w:tcBorders>
            <w:vAlign w:val="center"/>
          </w:tcPr>
          <w:p w14:paraId="1BC2F07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top"/>
              <w:rPr>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22629</w:t>
            </w:r>
          </w:p>
        </w:tc>
        <w:tc>
          <w:tcPr>
            <w:tcW w:w="0" w:type="auto"/>
            <w:tcBorders>
              <w:top w:val="single" w:color="000000" w:sz="12" w:space="0"/>
            </w:tcBorders>
            <w:vAlign w:val="center"/>
          </w:tcPr>
          <w:p w14:paraId="20B0C54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top"/>
              <w:rPr>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SPACEBOY LUNCH BOX（太空男孩）</w:t>
            </w:r>
          </w:p>
        </w:tc>
        <w:tc>
          <w:tcPr>
            <w:tcW w:w="0" w:type="auto"/>
            <w:tcBorders>
              <w:top w:val="single" w:color="000000" w:sz="12" w:space="0"/>
            </w:tcBorders>
            <w:vAlign w:val="center"/>
          </w:tcPr>
          <w:p w14:paraId="7839E38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top"/>
              <w:rPr>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Cash Cow</w:t>
            </w:r>
          </w:p>
        </w:tc>
        <w:tc>
          <w:tcPr>
            <w:tcW w:w="842" w:type="dxa"/>
            <w:tcBorders>
              <w:top w:val="single" w:color="000000" w:sz="12" w:space="0"/>
            </w:tcBorders>
            <w:vAlign w:val="center"/>
          </w:tcPr>
          <w:p w14:paraId="564E1ED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top"/>
              <w:rPr>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-33.8%</w:t>
            </w:r>
          </w:p>
        </w:tc>
        <w:tc>
          <w:tcPr>
            <w:tcW w:w="1939" w:type="dxa"/>
            <w:tcBorders>
              <w:top w:val="single" w:color="000000" w:sz="12" w:space="0"/>
            </w:tcBorders>
            <w:vAlign w:val="center"/>
          </w:tcPr>
          <w:p w14:paraId="7A075C2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top"/>
              <w:rPr>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男性主题，份额第2</w:t>
            </w:r>
          </w:p>
        </w:tc>
      </w:tr>
      <w:tr w14:paraId="617B5075">
        <w:tblPrEx>
          <w:tblCellMar>
            <w:top w:w="0" w:type="dxa"/>
            <w:left w:w="108" w:type="dxa"/>
            <w:bottom w:w="0" w:type="dxa"/>
            <w:right w:w="108" w:type="dxa"/>
          </w:tblCellMar>
        </w:tblPrEx>
        <w:tc>
          <w:tcPr>
            <w:tcW w:w="0" w:type="auto"/>
            <w:tcBorders>
              <w:bottom w:val="single" w:color="000000" w:sz="18" w:space="0"/>
            </w:tcBorders>
            <w:vAlign w:val="center"/>
          </w:tcPr>
          <w:p w14:paraId="58BD940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top"/>
              <w:rPr>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22630</w:t>
            </w:r>
          </w:p>
        </w:tc>
        <w:tc>
          <w:tcPr>
            <w:tcW w:w="0" w:type="auto"/>
            <w:tcBorders>
              <w:bottom w:val="single" w:color="000000" w:sz="18" w:space="0"/>
            </w:tcBorders>
            <w:vAlign w:val="center"/>
          </w:tcPr>
          <w:p w14:paraId="75D52D0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top"/>
              <w:rPr>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DOLLY GIRL LUNCH BOX（多莉女孩）</w:t>
            </w:r>
          </w:p>
        </w:tc>
        <w:tc>
          <w:tcPr>
            <w:tcW w:w="0" w:type="auto"/>
            <w:tcBorders>
              <w:bottom w:val="single" w:color="000000" w:sz="18" w:space="0"/>
            </w:tcBorders>
            <w:vAlign w:val="center"/>
          </w:tcPr>
          <w:p w14:paraId="79D6033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top"/>
              <w:rPr>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Cash Cow</w:t>
            </w:r>
          </w:p>
        </w:tc>
        <w:tc>
          <w:tcPr>
            <w:tcW w:w="842" w:type="dxa"/>
            <w:tcBorders>
              <w:bottom w:val="single" w:color="000000" w:sz="18" w:space="0"/>
            </w:tcBorders>
            <w:vAlign w:val="center"/>
          </w:tcPr>
          <w:p w14:paraId="7D78FBF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top"/>
              <w:rPr>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-36.5%</w:t>
            </w:r>
          </w:p>
        </w:tc>
        <w:tc>
          <w:tcPr>
            <w:tcW w:w="1939" w:type="dxa"/>
            <w:tcBorders>
              <w:bottom w:val="single" w:color="000000" w:sz="18" w:space="0"/>
            </w:tcBorders>
            <w:vAlign w:val="center"/>
          </w:tcPr>
          <w:p w14:paraId="68658CD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top"/>
              <w:rPr>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女性主题，份额第3</w:t>
            </w:r>
          </w:p>
        </w:tc>
      </w:tr>
    </w:tbl>
    <w:p w14:paraId="0467A96A">
      <w:pPr>
        <w:pStyle w:val="3"/>
      </w:pPr>
      <w:r>
        <w:rPr>
          <w:rFonts w:hint="eastAsia"/>
        </w:rPr>
        <w:t>关联规则表现：</w:t>
      </w:r>
    </w:p>
    <w:p w14:paraId="6E20FB68">
      <w:pPr>
        <w:numPr>
          <w:ilvl w:val="0"/>
          <w:numId w:val="1"/>
        </w:numPr>
      </w:pPr>
      <w:r>
        <w:rPr>
          <w:rFonts w:hint="eastAsia"/>
        </w:rPr>
        <w:t>双向对称：22629</w:t>
      </w:r>
      <w:r>
        <w:t xml:space="preserve"> → </w:t>
      </w:r>
      <w:r>
        <w:rPr>
          <w:rFonts w:hint="eastAsia"/>
        </w:rPr>
        <w:t>22630（置信度61.9%，提升度20.30）；22630</w:t>
      </w:r>
      <w:r>
        <w:t xml:space="preserve"> → </w:t>
      </w:r>
      <w:r>
        <w:rPr>
          <w:rFonts w:hint="eastAsia"/>
        </w:rPr>
        <w:t>22629（置信度67.0%，提升度20.30）</w:t>
      </w:r>
    </w:p>
    <w:p w14:paraId="0CBBD1E4">
      <w:pPr>
        <w:numPr>
          <w:ilvl w:val="0"/>
          <w:numId w:val="1"/>
        </w:numPr>
      </w:pPr>
      <w:r>
        <w:rPr>
          <w:rFonts w:hint="eastAsia"/>
        </w:rPr>
        <w:t>支持度2.04%，覆盖超200笔订单</w:t>
      </w:r>
    </w:p>
    <w:p w14:paraId="37292A11">
      <w:pPr>
        <w:pStyle w:val="28"/>
      </w:pPr>
      <w:r>
        <w:rPr>
          <w:rFonts w:hint="eastAsia"/>
        </w:rPr>
        <w:t>场景化洞察：</w:t>
      </w:r>
    </w:p>
    <w:p w14:paraId="375A14BA">
      <w:pPr>
        <w:pStyle w:val="3"/>
      </w:pPr>
      <w:r>
        <w:rPr>
          <w:rFonts w:hint="eastAsia"/>
        </w:rPr>
        <w:t>这是Top</w:t>
      </w:r>
      <w:r>
        <w:t xml:space="preserve"> </w:t>
      </w:r>
      <w:r>
        <w:rPr>
          <w:rFonts w:hint="eastAsia"/>
        </w:rPr>
        <w:t>20中最具"</w:t>
      </w:r>
      <w:r>
        <w:rPr>
          <w:rFonts w:hint="eastAsia"/>
          <w:b/>
          <w:bCs/>
        </w:rPr>
        <w:t>家庭采购</w:t>
      </w:r>
      <w:r>
        <w:rPr>
          <w:rFonts w:hint="eastAsia"/>
        </w:rPr>
        <w:t>"特征的组合。SPACEBOY（太空男孩）和DOLLY</w:t>
      </w:r>
      <w:r>
        <w:t xml:space="preserve"> </w:t>
      </w:r>
      <w:r>
        <w:rPr>
          <w:rFonts w:hint="eastAsia"/>
        </w:rPr>
        <w:t>GIRL（多莉女孩）显然是针对男童和女童设计的主题午餐盒。两者相对份额分别高达17.17%和13.98%（全平台第2和第3），且关联强度极高（提升度20.30），说明：</w:t>
      </w:r>
      <w:r>
        <w:rPr>
          <w:rFonts w:hint="eastAsia"/>
          <w:b/>
          <w:bCs/>
        </w:rPr>
        <w:t>大量客户是"一男一女"两个孩子的家长、或是需要采购礼品的批发商（如幼儿园、培训机构）</w:t>
      </w:r>
      <w:r>
        <w:t>。</w:t>
      </w:r>
    </w:p>
    <w:p w14:paraId="41F1BCE4">
      <w:pPr>
        <w:pStyle w:val="3"/>
      </w:pPr>
      <w:r>
        <w:rPr>
          <w:rFonts w:hint="eastAsia"/>
        </w:rPr>
        <w:t>双向置信度的对称性（61.9%</w:t>
      </w:r>
      <w:r>
        <w:t xml:space="preserve"> vs </w:t>
      </w:r>
      <w:r>
        <w:rPr>
          <w:rFonts w:hint="eastAsia"/>
        </w:rPr>
        <w:t>67.0%）进一步验证了这一点——无论先看到哪一款，另一款被同时购买的概率都极高。</w:t>
      </w:r>
    </w:p>
    <w:p w14:paraId="2EC76079">
      <w:pPr>
        <w:pStyle w:val="3"/>
      </w:pPr>
      <w:r>
        <w:rPr>
          <w:rFonts w:hint="eastAsia"/>
        </w:rPr>
        <w:t>策略含义：</w:t>
      </w:r>
    </w:p>
    <w:p w14:paraId="744946FA">
      <w:pPr>
        <w:numPr>
          <w:ilvl w:val="0"/>
          <w:numId w:val="4"/>
        </w:numPr>
      </w:pPr>
      <w:r>
        <w:rPr>
          <w:rFonts w:hint="eastAsia"/>
        </w:rPr>
        <w:t>套装捆绑优先级：最高（家庭装/</w:t>
      </w:r>
      <w:r>
        <w:t xml:space="preserve"> sibling </w:t>
      </w:r>
      <w:r>
        <w:rPr>
          <w:rFonts w:hint="eastAsia"/>
        </w:rPr>
        <w:t>pack）。</w:t>
      </w:r>
      <w:r>
        <w:t xml:space="preserve"> </w:t>
      </w:r>
      <w:r>
        <w:rPr>
          <w:rFonts w:hint="eastAsia"/>
        </w:rPr>
        <w:t>强烈建议推出"兄妹套装"或"姐弟套装"，两件打包价较单件累计优惠10%–15%。营销文案可围绕"家有儿女，一人一个""公平对待，不偏不向"的情感诉求展开。</w:t>
      </w:r>
    </w:p>
    <w:p w14:paraId="191B38E5">
      <w:pPr>
        <w:numPr>
          <w:ilvl w:val="0"/>
          <w:numId w:val="4"/>
        </w:numPr>
      </w:pPr>
      <w:r>
        <w:rPr>
          <w:rFonts w:hint="eastAsia"/>
        </w:rPr>
        <w:t>批发商定向营销：</w:t>
      </w:r>
      <w:r>
        <w:t xml:space="preserve"> </w:t>
      </w:r>
      <w:r>
        <w:rPr>
          <w:rFonts w:hint="eastAsia"/>
        </w:rPr>
        <w:t>鉴于该组合的高份额和高关联度，极可能是B2B批发商的大单采购对象（如幼儿园统一采购、儿童活动礼品包）。建议定向推送"批量采购享阶梯折扣"的专属报价单。</w:t>
      </w:r>
    </w:p>
    <w:p w14:paraId="5A2D80C9">
      <w:pPr>
        <w:numPr>
          <w:ilvl w:val="0"/>
          <w:numId w:val="4"/>
        </w:numPr>
      </w:pPr>
      <w:r>
        <w:rPr>
          <w:rFonts w:hint="eastAsia"/>
        </w:rPr>
        <w:t>库存协同管理：</w:t>
      </w:r>
      <w:r>
        <w:t xml:space="preserve"> </w:t>
      </w:r>
      <w:r>
        <w:rPr>
          <w:rFonts w:hint="eastAsia"/>
        </w:rPr>
        <w:t>由于两件商品经常被同时购买，必须确保库存同步——避免出现"只有男孩款有货、女孩款缺货"的情况，导致家庭客户放弃整单。建议在WMS系统中设置"关联库存预警"，当一件商品库存低于安全线时自动触发另一件的备货提醒。</w:t>
      </w:r>
    </w:p>
    <w:p w14:paraId="7CA93145">
      <w:pPr>
        <w:numPr>
          <w:ilvl w:val="0"/>
          <w:numId w:val="0"/>
        </w:numPr>
        <w:spacing w:after="200" w:line="360" w:lineRule="auto"/>
      </w:pPr>
      <w:r>
        <w:rPr>
          <w:rFonts w:hint="eastAsia"/>
        </w:rPr>
        <w:t>组合三：{23300,</w:t>
      </w:r>
      <w:r>
        <w:t xml:space="preserve"> 23301} — </w:t>
      </w:r>
      <w:r>
        <w:rPr>
          <w:rFonts w:hint="eastAsia"/>
        </w:rPr>
        <w:t>"园艺跪垫双图案"生活方式型</w:t>
      </w:r>
    </w:p>
    <w:p w14:paraId="328F7702">
      <w:pPr>
        <w:pStyle w:val="12"/>
        <w:rPr>
          <w:rFonts w:hint="default" w:eastAsia="宋体"/>
          <w:lang w:val="en-US" w:eastAsia="zh-CN"/>
        </w:rPr>
      </w:pPr>
      <w:r>
        <w:t xml:space="preserve">表 </w:t>
      </w:r>
      <w:r>
        <w:fldChar w:fldCharType="begin"/>
      </w:r>
      <w:r>
        <w:instrText xml:space="preserve"> SEQ 表 \* ARABIC </w:instrText>
      </w:r>
      <w:r>
        <w:fldChar w:fldCharType="separate"/>
      </w:r>
      <w:r>
        <w:t>11</w:t>
      </w:r>
      <w:r>
        <w:fldChar w:fldCharType="end"/>
      </w:r>
      <w:r>
        <w:rPr>
          <w:rFonts w:hint="eastAsia"/>
          <w:lang w:val="en-US" w:eastAsia="zh-CN"/>
        </w:rPr>
        <w:t xml:space="preserve"> 组合三</w:t>
      </w:r>
    </w:p>
    <w:tbl>
      <w:tblPr>
        <w:tblStyle w:val="46"/>
        <w:tblW w:w="0" w:type="auto"/>
        <w:tblInd w:w="0" w:type="dxa"/>
        <w:tblLayout w:type="autofit"/>
        <w:tblCellMar>
          <w:top w:w="0" w:type="dxa"/>
          <w:left w:w="108" w:type="dxa"/>
          <w:bottom w:w="0" w:type="dxa"/>
          <w:right w:w="108" w:type="dxa"/>
        </w:tblCellMar>
      </w:tblPr>
      <w:tblGrid>
        <w:gridCol w:w="1221"/>
        <w:gridCol w:w="4692"/>
        <w:gridCol w:w="983"/>
        <w:gridCol w:w="982"/>
        <w:gridCol w:w="978"/>
      </w:tblGrid>
      <w:tr w14:paraId="3B8F38FA">
        <w:tblPrEx>
          <w:tblCellMar>
            <w:top w:w="0" w:type="dxa"/>
            <w:left w:w="108" w:type="dxa"/>
            <w:bottom w:w="0" w:type="dxa"/>
            <w:right w:w="108" w:type="dxa"/>
          </w:tblCellMar>
        </w:tblPrEx>
        <w:trPr>
          <w:tblHeader/>
        </w:trPr>
        <w:tc>
          <w:tcPr>
            <w:tcW w:w="0" w:type="auto"/>
            <w:tcBorders>
              <w:top w:val="single" w:color="000000" w:sz="18" w:space="0"/>
              <w:bottom w:val="single" w:color="000000" w:sz="12" w:space="0"/>
            </w:tcBorders>
            <w:vAlign w:val="top"/>
          </w:tcPr>
          <w:p w14:paraId="161A5CBF">
            <w:pPr>
              <w:pStyle w:val="29"/>
              <w:keepNext w:val="0"/>
              <w:keepLines w:val="0"/>
              <w:pageBreakBefore w:val="0"/>
              <w:widowControl/>
              <w:kinsoku/>
              <w:wordWrap/>
              <w:overflowPunct/>
              <w:topLinePunct w:val="0"/>
              <w:autoSpaceDE/>
              <w:autoSpaceDN/>
              <w:bidi w:val="0"/>
              <w:adjustRightInd/>
              <w:snapToGrid/>
              <w:ind w:firstLine="0" w:firstLineChars="0"/>
              <w:textAlignment w:val="auto"/>
              <w:rPr>
                <w:b/>
                <w:bCs/>
                <w:sz w:val="21"/>
                <w:szCs w:val="21"/>
              </w:rPr>
            </w:pPr>
            <w:r>
              <w:rPr>
                <w:b/>
                <w:bCs/>
                <w:sz w:val="21"/>
                <w:szCs w:val="21"/>
              </w:rPr>
              <w:t>StockCode</w:t>
            </w:r>
          </w:p>
        </w:tc>
        <w:tc>
          <w:tcPr>
            <w:tcW w:w="0" w:type="auto"/>
            <w:tcBorders>
              <w:top w:val="single" w:color="000000" w:sz="18" w:space="0"/>
              <w:bottom w:val="single" w:color="000000" w:sz="12" w:space="0"/>
            </w:tcBorders>
            <w:shd w:val="clear" w:color="auto" w:fill="FFFFFF" w:themeFill="background1"/>
            <w:vAlign w:val="top"/>
          </w:tcPr>
          <w:p w14:paraId="738228FB">
            <w:pPr>
              <w:pStyle w:val="29"/>
              <w:keepNext w:val="0"/>
              <w:keepLines w:val="0"/>
              <w:pageBreakBefore w:val="0"/>
              <w:widowControl/>
              <w:kinsoku/>
              <w:wordWrap/>
              <w:overflowPunct/>
              <w:topLinePunct w:val="0"/>
              <w:autoSpaceDE/>
              <w:autoSpaceDN/>
              <w:bidi w:val="0"/>
              <w:adjustRightInd/>
              <w:snapToGrid/>
              <w:ind w:firstLine="0" w:firstLineChars="0"/>
              <w:rPr>
                <w:b/>
                <w:bCs/>
                <w:sz w:val="21"/>
                <w:szCs w:val="21"/>
              </w:rPr>
            </w:pPr>
            <w:r>
              <w:rPr>
                <w:rFonts w:hint="default" w:ascii="Times New Roman" w:hAnsi="Times New Roman" w:eastAsia="Times New Roman" w:cs="Times New Roman"/>
                <w:b/>
                <w:bCs/>
                <w:i w:val="0"/>
                <w:iCs w:val="0"/>
                <w:caps/>
                <w:color w:val="1F0909"/>
                <w:spacing w:val="0"/>
                <w:sz w:val="21"/>
                <w:szCs w:val="21"/>
                <w:shd w:val="clear" w:fill="FFFFFF" w:themeFill="background1"/>
              </w:rPr>
              <w:t>商品描述</w:t>
            </w:r>
          </w:p>
        </w:tc>
        <w:tc>
          <w:tcPr>
            <w:tcW w:w="0" w:type="auto"/>
            <w:tcBorders>
              <w:top w:val="single" w:color="000000" w:sz="18" w:space="0"/>
              <w:bottom w:val="single" w:color="000000" w:sz="12" w:space="0"/>
            </w:tcBorders>
            <w:shd w:val="clear" w:color="auto" w:fill="FFFFFF" w:themeFill="background1"/>
            <w:vAlign w:val="top"/>
          </w:tcPr>
          <w:p w14:paraId="0AB1027A">
            <w:pPr>
              <w:pStyle w:val="29"/>
              <w:keepNext w:val="0"/>
              <w:keepLines w:val="0"/>
              <w:pageBreakBefore w:val="0"/>
              <w:widowControl/>
              <w:kinsoku/>
              <w:wordWrap/>
              <w:overflowPunct/>
              <w:topLinePunct w:val="0"/>
              <w:autoSpaceDE/>
              <w:autoSpaceDN/>
              <w:bidi w:val="0"/>
              <w:adjustRightInd/>
              <w:snapToGrid/>
              <w:ind w:firstLine="0" w:firstLineChars="0"/>
              <w:rPr>
                <w:rFonts w:hint="default" w:ascii="Times New Roman" w:hAnsi="Times New Roman" w:eastAsia="Times New Roman" w:cs="Times New Roman"/>
                <w:b/>
                <w:bCs/>
                <w:i w:val="0"/>
                <w:iCs w:val="0"/>
                <w:caps/>
                <w:color w:val="1F0909"/>
                <w:spacing w:val="0"/>
                <w:sz w:val="21"/>
                <w:szCs w:val="21"/>
                <w:shd w:val="clear" w:fill="DADADA"/>
              </w:rPr>
            </w:pPr>
            <w:r>
              <w:rPr>
                <w:rFonts w:hint="default" w:ascii="Times New Roman" w:hAnsi="Times New Roman" w:eastAsia="Times New Roman" w:cs="Times New Roman"/>
                <w:b/>
                <w:bCs/>
                <w:i w:val="0"/>
                <w:iCs w:val="0"/>
                <w:caps/>
                <w:color w:val="1F0909"/>
                <w:spacing w:val="0"/>
                <w:sz w:val="21"/>
                <w:szCs w:val="21"/>
                <w:shd w:val="clear" w:fill="FFFFFF" w:themeFill="background1"/>
              </w:rPr>
              <w:t>BCG类型</w:t>
            </w:r>
          </w:p>
        </w:tc>
        <w:tc>
          <w:tcPr>
            <w:tcW w:w="0" w:type="auto"/>
            <w:tcBorders>
              <w:top w:val="single" w:color="000000" w:sz="18" w:space="0"/>
              <w:bottom w:val="single" w:color="000000" w:sz="12" w:space="0"/>
            </w:tcBorders>
            <w:shd w:val="clear" w:color="auto" w:fill="FFFFFF" w:themeFill="background1"/>
            <w:vAlign w:val="top"/>
          </w:tcPr>
          <w:p w14:paraId="02CB5BC8">
            <w:pPr>
              <w:pStyle w:val="29"/>
              <w:keepNext w:val="0"/>
              <w:keepLines w:val="0"/>
              <w:pageBreakBefore w:val="0"/>
              <w:widowControl/>
              <w:kinsoku/>
              <w:wordWrap/>
              <w:overflowPunct/>
              <w:topLinePunct w:val="0"/>
              <w:autoSpaceDE/>
              <w:autoSpaceDN/>
              <w:bidi w:val="0"/>
              <w:adjustRightInd/>
              <w:snapToGrid/>
              <w:ind w:firstLine="0" w:firstLineChars="0"/>
              <w:rPr>
                <w:rFonts w:hint="default" w:ascii="Times New Roman" w:hAnsi="Times New Roman" w:eastAsia="Times New Roman" w:cs="Times New Roman"/>
                <w:b/>
                <w:bCs/>
                <w:i w:val="0"/>
                <w:iCs w:val="0"/>
                <w:caps/>
                <w:color w:val="1F0909"/>
                <w:spacing w:val="0"/>
                <w:sz w:val="21"/>
                <w:szCs w:val="21"/>
                <w:shd w:val="clear" w:fill="DADADA"/>
              </w:rPr>
            </w:pPr>
            <w:r>
              <w:rPr>
                <w:rFonts w:hint="default" w:ascii="Times New Roman" w:hAnsi="Times New Roman" w:eastAsia="Times New Roman" w:cs="Times New Roman"/>
                <w:b/>
                <w:bCs/>
                <w:i w:val="0"/>
                <w:iCs w:val="0"/>
                <w:caps/>
                <w:color w:val="1F0909"/>
                <w:spacing w:val="0"/>
                <w:sz w:val="21"/>
                <w:szCs w:val="21"/>
                <w:shd w:val="clear" w:fill="FFFFFF" w:themeFill="background1"/>
              </w:rPr>
              <w:t>增长率</w:t>
            </w:r>
          </w:p>
        </w:tc>
        <w:tc>
          <w:tcPr>
            <w:tcW w:w="0" w:type="auto"/>
            <w:tcBorders>
              <w:top w:val="single" w:color="000000" w:sz="18" w:space="0"/>
              <w:bottom w:val="single" w:color="000000" w:sz="12" w:space="0"/>
            </w:tcBorders>
            <w:shd w:val="clear" w:color="auto" w:fill="FFFFFF" w:themeFill="background1"/>
            <w:vAlign w:val="top"/>
          </w:tcPr>
          <w:p w14:paraId="57232084">
            <w:pPr>
              <w:pStyle w:val="29"/>
              <w:keepNext w:val="0"/>
              <w:keepLines w:val="0"/>
              <w:pageBreakBefore w:val="0"/>
              <w:widowControl/>
              <w:kinsoku/>
              <w:wordWrap/>
              <w:overflowPunct/>
              <w:topLinePunct w:val="0"/>
              <w:autoSpaceDE/>
              <w:autoSpaceDN/>
              <w:bidi w:val="0"/>
              <w:adjustRightInd/>
              <w:snapToGrid/>
              <w:ind w:firstLine="0" w:firstLineChars="0"/>
              <w:rPr>
                <w:rFonts w:hint="default" w:ascii="Times New Roman" w:hAnsi="Times New Roman" w:eastAsia="Times New Roman" w:cs="Times New Roman"/>
                <w:b/>
                <w:bCs/>
                <w:i w:val="0"/>
                <w:iCs w:val="0"/>
                <w:caps/>
                <w:color w:val="1F0909"/>
                <w:spacing w:val="0"/>
                <w:sz w:val="21"/>
                <w:szCs w:val="21"/>
                <w:shd w:val="clear" w:fill="DADADA"/>
              </w:rPr>
            </w:pPr>
            <w:r>
              <w:rPr>
                <w:rFonts w:hint="default" w:ascii="Times New Roman" w:hAnsi="Times New Roman" w:eastAsia="Times New Roman" w:cs="Times New Roman"/>
                <w:b/>
                <w:bCs/>
                <w:i w:val="0"/>
                <w:iCs w:val="0"/>
                <w:caps/>
                <w:color w:val="1F0909"/>
                <w:spacing w:val="0"/>
                <w:sz w:val="21"/>
                <w:szCs w:val="21"/>
                <w:shd w:val="clear" w:fill="FFFFFF" w:themeFill="background1"/>
              </w:rPr>
              <w:t>角色定位</w:t>
            </w:r>
          </w:p>
        </w:tc>
      </w:tr>
      <w:tr w14:paraId="4F760EDE">
        <w:tblPrEx>
          <w:tblCellMar>
            <w:top w:w="0" w:type="dxa"/>
            <w:left w:w="108" w:type="dxa"/>
            <w:bottom w:w="0" w:type="dxa"/>
            <w:right w:w="108" w:type="dxa"/>
          </w:tblCellMar>
        </w:tblPrEx>
        <w:tc>
          <w:tcPr>
            <w:tcW w:w="0" w:type="auto"/>
            <w:tcBorders>
              <w:top w:val="single" w:color="000000" w:sz="12" w:space="0"/>
            </w:tcBorders>
            <w:vAlign w:val="top"/>
          </w:tcPr>
          <w:p w14:paraId="604F762C">
            <w:pPr>
              <w:keepNext w:val="0"/>
              <w:keepLines w:val="0"/>
              <w:widowControl/>
              <w:suppressLineNumbers w:val="0"/>
              <w:ind w:firstLine="420" w:firstLineChars="200"/>
              <w:jc w:val="left"/>
              <w:textAlignment w:val="top"/>
              <w:rPr>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23300</w:t>
            </w:r>
          </w:p>
        </w:tc>
        <w:tc>
          <w:tcPr>
            <w:tcW w:w="0" w:type="auto"/>
            <w:tcBorders>
              <w:top w:val="single" w:color="000000" w:sz="12" w:space="0"/>
            </w:tcBorders>
            <w:vAlign w:val="top"/>
          </w:tcPr>
          <w:p w14:paraId="0943B4A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GARDENERS KNEELING PAD CUP OF TEA（茶杯图案）</w:t>
            </w:r>
          </w:p>
        </w:tc>
        <w:tc>
          <w:tcPr>
            <w:tcW w:w="0" w:type="auto"/>
            <w:tcBorders>
              <w:top w:val="single" w:color="000000" w:sz="12" w:space="0"/>
            </w:tcBorders>
            <w:vAlign w:val="top"/>
          </w:tcPr>
          <w:p w14:paraId="75DBF63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Star</w:t>
            </w:r>
          </w:p>
        </w:tc>
        <w:tc>
          <w:tcPr>
            <w:tcW w:w="0" w:type="auto"/>
            <w:tcBorders>
              <w:top w:val="single" w:color="000000" w:sz="12" w:space="0"/>
            </w:tcBorders>
            <w:vAlign w:val="top"/>
          </w:tcPr>
          <w:p w14:paraId="33C3C71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+26.6%</w:t>
            </w:r>
          </w:p>
        </w:tc>
        <w:tc>
          <w:tcPr>
            <w:tcW w:w="0" w:type="auto"/>
            <w:tcBorders>
              <w:top w:val="single" w:color="000000" w:sz="12" w:space="0"/>
            </w:tcBorders>
            <w:vAlign w:val="top"/>
          </w:tcPr>
          <w:p w14:paraId="1E9F1F7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稳健增长</w:t>
            </w:r>
          </w:p>
        </w:tc>
      </w:tr>
      <w:tr w14:paraId="1AE33DDA">
        <w:tblPrEx>
          <w:tblCellMar>
            <w:top w:w="0" w:type="dxa"/>
            <w:left w:w="108" w:type="dxa"/>
            <w:bottom w:w="0" w:type="dxa"/>
            <w:right w:w="108" w:type="dxa"/>
          </w:tblCellMar>
        </w:tblPrEx>
        <w:tc>
          <w:tcPr>
            <w:tcW w:w="0" w:type="auto"/>
            <w:tcBorders>
              <w:bottom w:val="single" w:color="000000" w:sz="18" w:space="0"/>
            </w:tcBorders>
            <w:vAlign w:val="top"/>
          </w:tcPr>
          <w:p w14:paraId="205603B2">
            <w:pPr>
              <w:keepNext w:val="0"/>
              <w:keepLines w:val="0"/>
              <w:widowControl/>
              <w:suppressLineNumbers w:val="0"/>
              <w:ind w:firstLine="420" w:firstLineChars="200"/>
              <w:jc w:val="left"/>
              <w:textAlignment w:val="top"/>
              <w:rPr>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23301</w:t>
            </w:r>
          </w:p>
        </w:tc>
        <w:tc>
          <w:tcPr>
            <w:tcW w:w="0" w:type="auto"/>
            <w:tcBorders>
              <w:bottom w:val="single" w:color="000000" w:sz="18" w:space="0"/>
            </w:tcBorders>
            <w:vAlign w:val="top"/>
          </w:tcPr>
          <w:p w14:paraId="3C2EB1F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GARDENERS KNEELING PAD KEEP CALM（KEEP CALM图案）</w:t>
            </w:r>
          </w:p>
        </w:tc>
        <w:tc>
          <w:tcPr>
            <w:tcW w:w="0" w:type="auto"/>
            <w:tcBorders>
              <w:bottom w:val="single" w:color="000000" w:sz="18" w:space="0"/>
            </w:tcBorders>
            <w:vAlign w:val="top"/>
          </w:tcPr>
          <w:p w14:paraId="0DF8ED5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Star</w:t>
            </w:r>
          </w:p>
        </w:tc>
        <w:tc>
          <w:tcPr>
            <w:tcW w:w="0" w:type="auto"/>
            <w:tcBorders>
              <w:bottom w:val="single" w:color="000000" w:sz="18" w:space="0"/>
            </w:tcBorders>
            <w:vAlign w:val="top"/>
          </w:tcPr>
          <w:p w14:paraId="5266999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+110.1%</w:t>
            </w:r>
          </w:p>
        </w:tc>
        <w:tc>
          <w:tcPr>
            <w:tcW w:w="0" w:type="auto"/>
            <w:tcBorders>
              <w:bottom w:val="single" w:color="000000" w:sz="18" w:space="0"/>
            </w:tcBorders>
            <w:vAlign w:val="top"/>
          </w:tcPr>
          <w:p w14:paraId="43B2867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爆发式增长</w:t>
            </w:r>
          </w:p>
        </w:tc>
      </w:tr>
    </w:tbl>
    <w:p w14:paraId="5C58A7B3">
      <w:pPr>
        <w:pStyle w:val="3"/>
      </w:pPr>
      <w:r>
        <w:rPr>
          <w:rFonts w:hint="eastAsia"/>
        </w:rPr>
        <w:t>关联规则表现：</w:t>
      </w:r>
    </w:p>
    <w:p w14:paraId="469263DD">
      <w:pPr>
        <w:numPr>
          <w:ilvl w:val="0"/>
          <w:numId w:val="1"/>
        </w:numPr>
      </w:pPr>
      <w:r>
        <w:rPr>
          <w:rFonts w:hint="eastAsia"/>
        </w:rPr>
        <w:t>最强方向：23300</w:t>
      </w:r>
      <w:r>
        <w:t xml:space="preserve"> → </w:t>
      </w:r>
      <w:r>
        <w:rPr>
          <w:rFonts w:hint="eastAsia"/>
        </w:rPr>
        <w:t>23301，置信度73.2%，提升度15.13</w:t>
      </w:r>
    </w:p>
    <w:p w14:paraId="762E82CE">
      <w:pPr>
        <w:numPr>
          <w:ilvl w:val="0"/>
          <w:numId w:val="1"/>
        </w:numPr>
      </w:pPr>
      <w:r>
        <w:rPr>
          <w:rFonts w:hint="eastAsia"/>
        </w:rPr>
        <w:t>反向规则：23301</w:t>
      </w:r>
      <w:r>
        <w:t xml:space="preserve"> → </w:t>
      </w:r>
      <w:r>
        <w:rPr>
          <w:rFonts w:hint="eastAsia"/>
        </w:rPr>
        <w:t>23300，置信度61.8%，提升度15.13</w:t>
      </w:r>
    </w:p>
    <w:p w14:paraId="0F81EAF0">
      <w:pPr>
        <w:pStyle w:val="28"/>
      </w:pPr>
      <w:r>
        <w:rPr>
          <w:rFonts w:hint="eastAsia"/>
        </w:rPr>
        <w:t>场景化洞察：</w:t>
      </w:r>
    </w:p>
    <w:p w14:paraId="40B36758">
      <w:pPr>
        <w:pStyle w:val="3"/>
      </w:pPr>
      <w:r>
        <w:rPr>
          <w:rFonts w:hint="eastAsia"/>
        </w:rPr>
        <w:t>这是Top</w:t>
      </w:r>
      <w:r>
        <w:t xml:space="preserve"> </w:t>
      </w:r>
      <w:r>
        <w:rPr>
          <w:rFonts w:hint="eastAsia"/>
        </w:rPr>
        <w:t>20中</w:t>
      </w:r>
      <w:r>
        <w:rPr>
          <w:rFonts w:hint="eastAsia"/>
          <w:b/>
          <w:bCs/>
        </w:rPr>
        <w:t>唯一一组"双真明星"组合</w:t>
      </w:r>
      <w:r>
        <w:rPr>
          <w:rFonts w:hint="eastAsia"/>
        </w:rPr>
        <w:t>，且23301的增长率高达110.1%（H2销量是H1的2.1倍），是全平台增长最迅猛的商品之一。两件商品均为园艺跪垫（Gardeners</w:t>
      </w:r>
      <w:r>
        <w:t xml:space="preserve"> Kneeling </w:t>
      </w:r>
      <w:r>
        <w:rPr>
          <w:rFonts w:hint="eastAsia"/>
        </w:rPr>
        <w:t>Pad），差异仅在于表面印花：一个是温馨的"茶杯图案"，一个是英伦风的"KEEP</w:t>
      </w:r>
      <w:r>
        <w:t xml:space="preserve"> </w:t>
      </w:r>
      <w:r>
        <w:rPr>
          <w:rFonts w:hint="eastAsia"/>
        </w:rPr>
        <w:t>CALM"标语。</w:t>
      </w:r>
    </w:p>
    <w:p w14:paraId="6F67317A">
      <w:pPr>
        <w:pStyle w:val="3"/>
      </w:pPr>
      <w:r>
        <w:rPr>
          <w:rFonts w:hint="eastAsia"/>
        </w:rPr>
        <w:t>23301的爆发式增长可能源于以下因素：</w:t>
      </w:r>
    </w:p>
    <w:p w14:paraId="3846428F">
      <w:pPr>
        <w:numPr>
          <w:ilvl w:val="0"/>
          <w:numId w:val="1"/>
        </w:numPr>
      </w:pPr>
      <w:r>
        <w:t xml:space="preserve">"KEEP </w:t>
      </w:r>
      <w:r>
        <w:rPr>
          <w:rFonts w:hint="eastAsia"/>
        </w:rPr>
        <w:t>CALM"IP的热度效应：该标语在英国文化中具有标志性意义，可能因社交媒体传播、名人带货、或季节性园艺热潮而走红；</w:t>
      </w:r>
    </w:p>
    <w:p w14:paraId="521EA0EA">
      <w:pPr>
        <w:numPr>
          <w:ilvl w:val="0"/>
          <w:numId w:val="1"/>
        </w:numPr>
      </w:pPr>
      <w:r>
        <w:rPr>
          <w:rFonts w:hint="eastAsia"/>
        </w:rPr>
        <w:t>礼品属性强化：KEEP</w:t>
      </w:r>
      <w:r>
        <w:t xml:space="preserve"> </w:t>
      </w:r>
      <w:r>
        <w:rPr>
          <w:rFonts w:hint="eastAsia"/>
        </w:rPr>
        <w:t>CALM图案更具通用性和幽默感，适合作为礼物赠送给园艺爱好者；</w:t>
      </w:r>
    </w:p>
    <w:p w14:paraId="2B9428F4">
      <w:pPr>
        <w:numPr>
          <w:ilvl w:val="0"/>
          <w:numId w:val="1"/>
        </w:numPr>
      </w:pPr>
      <w:r>
        <w:rPr>
          <w:rFonts w:hint="eastAsia"/>
        </w:rPr>
        <w:t>渠道扩张：可能进入了新的销售渠道（如园艺专卖店、家居买手店），带动了销量激增。</w:t>
      </w:r>
    </w:p>
    <w:p w14:paraId="55A82866">
      <w:pPr>
        <w:pStyle w:val="28"/>
      </w:pPr>
      <w:r>
        <w:rPr>
          <w:rFonts w:hint="eastAsia"/>
        </w:rPr>
        <w:t>策略含义：</w:t>
      </w:r>
    </w:p>
    <w:p w14:paraId="29FA4A84">
      <w:pPr>
        <w:numPr>
          <w:ilvl w:val="0"/>
          <w:numId w:val="5"/>
        </w:numPr>
      </w:pPr>
      <w:r>
        <w:rPr>
          <w:rFonts w:hint="eastAsia"/>
        </w:rPr>
        <w:t>流量资源配置：最高优先级，与前述"现金牛收割型"组合不同，本组合中的两件商品都处于增长通道，</w:t>
      </w:r>
      <w:r>
        <w:rPr>
          <w:rFonts w:hint="eastAsia"/>
          <w:b/>
          <w:bCs/>
        </w:rPr>
        <w:t>每一单位的流量投入都能获得"连带率提升+单品增长"的双重回报</w:t>
      </w:r>
      <w:r>
        <w:rPr>
          <w:rFonts w:hint="eastAsia"/>
        </w:rPr>
        <w:t>。应在首页Banner、搜索推荐位、购物车页等黄金位置优先展示该组合，尤其是23301（KEEP</w:t>
      </w:r>
      <w:r>
        <w:t xml:space="preserve"> </w:t>
      </w:r>
      <w:r>
        <w:rPr>
          <w:rFonts w:hint="eastAsia"/>
        </w:rPr>
        <w:t>CALM图案）。</w:t>
      </w:r>
    </w:p>
    <w:p w14:paraId="41F82A32">
      <w:pPr>
        <w:numPr>
          <w:ilvl w:val="0"/>
          <w:numId w:val="5"/>
        </w:numPr>
      </w:pPr>
      <w:r>
        <w:rPr>
          <w:rFonts w:hint="eastAsia"/>
        </w:rPr>
        <w:t>捆绑策略：谨慎使用深度折扣，由于两件商品都在快速增长期，过早捆绑打折可能牺牲利润空间。更推荐的策略是："加购推荐"（购买23301时提示"+£</w:t>
      </w:r>
      <w:r>
        <w:t xml:space="preserve"> </w:t>
      </w:r>
      <w:r>
        <w:rPr>
          <w:rFonts w:hint="eastAsia"/>
        </w:rPr>
        <w:t>XX换购23300"）或"满赠"（买23301送23300的小样/配件），既强化关联又不直接降价。</w:t>
      </w:r>
    </w:p>
    <w:p w14:paraId="4E3C327D">
      <w:pPr>
        <w:pStyle w:val="28"/>
      </w:pPr>
      <w:r>
        <w:rPr>
          <w:rFonts w:hint="eastAsia"/>
        </w:rPr>
        <w:t>组合四：{22726,</w:t>
      </w:r>
      <w:r>
        <w:t xml:space="preserve"> 22727, 22728} — </w:t>
      </w:r>
      <w:r>
        <w:rPr>
          <w:rFonts w:hint="eastAsia"/>
        </w:rPr>
        <w:t>"复古闹钟三色"颜值梯队型</w:t>
      </w:r>
    </w:p>
    <w:p w14:paraId="3C7EDFFA">
      <w:pPr>
        <w:pStyle w:val="12"/>
        <w:rPr>
          <w:rFonts w:hint="default" w:eastAsia="宋体"/>
          <w:lang w:val="en-US" w:eastAsia="zh-CN"/>
        </w:rPr>
      </w:pPr>
      <w:r>
        <w:t xml:space="preserve">表 </w:t>
      </w:r>
      <w:r>
        <w:fldChar w:fldCharType="begin"/>
      </w:r>
      <w:r>
        <w:instrText xml:space="preserve"> SEQ 表 \* ARABIC </w:instrText>
      </w:r>
      <w:r>
        <w:fldChar w:fldCharType="separate"/>
      </w:r>
      <w:r>
        <w:t>12</w:t>
      </w:r>
      <w:r>
        <w:fldChar w:fldCharType="end"/>
      </w:r>
      <w:r>
        <w:rPr>
          <w:rFonts w:hint="eastAsia"/>
          <w:lang w:val="en-US" w:eastAsia="zh-CN"/>
        </w:rPr>
        <w:t xml:space="preserve"> 组合四</w:t>
      </w:r>
    </w:p>
    <w:tbl>
      <w:tblPr>
        <w:tblStyle w:val="46"/>
        <w:tblW w:w="0" w:type="auto"/>
        <w:tblInd w:w="0" w:type="dxa"/>
        <w:tblLayout w:type="autofit"/>
        <w:tblCellMar>
          <w:top w:w="0" w:type="dxa"/>
          <w:left w:w="108" w:type="dxa"/>
          <w:bottom w:w="0" w:type="dxa"/>
          <w:right w:w="108" w:type="dxa"/>
        </w:tblCellMar>
      </w:tblPr>
      <w:tblGrid>
        <w:gridCol w:w="1750"/>
        <w:gridCol w:w="3634"/>
        <w:gridCol w:w="1069"/>
        <w:gridCol w:w="972"/>
        <w:gridCol w:w="1431"/>
      </w:tblGrid>
      <w:tr w14:paraId="3BC82833">
        <w:tblPrEx>
          <w:tblCellMar>
            <w:top w:w="0" w:type="dxa"/>
            <w:left w:w="108" w:type="dxa"/>
            <w:bottom w:w="0" w:type="dxa"/>
            <w:right w:w="108" w:type="dxa"/>
          </w:tblCellMar>
        </w:tblPrEx>
        <w:trPr>
          <w:tblHeader/>
        </w:trPr>
        <w:tc>
          <w:tcPr>
            <w:tcW w:w="0" w:type="auto"/>
            <w:tcBorders>
              <w:top w:val="single" w:color="000000" w:sz="18" w:space="0"/>
              <w:bottom w:val="single" w:color="000000" w:sz="12" w:space="0"/>
            </w:tcBorders>
            <w:vAlign w:val="center"/>
          </w:tcPr>
          <w:p w14:paraId="024712A2">
            <w:pPr>
              <w:keepNext w:val="0"/>
              <w:keepLines w:val="0"/>
              <w:pageBreakBefore w:val="0"/>
              <w:widowControl/>
              <w:suppressLineNumbers w:val="0"/>
              <w:kinsoku/>
              <w:wordWrap/>
              <w:overflowPunct/>
              <w:topLinePunct w:val="0"/>
              <w:autoSpaceDE/>
              <w:autoSpaceDN/>
              <w:bidi w:val="0"/>
              <w:adjustRightInd/>
              <w:snapToGrid/>
              <w:ind w:firstLine="0" w:firstLineChars="0"/>
              <w:jc w:val="center"/>
            </w:pPr>
            <w:r>
              <w:rPr>
                <w:rFonts w:hint="default" w:ascii="Times New Roman" w:hAnsi="Times New Roman" w:eastAsia="Times New Roman" w:cs="Times New Roman"/>
                <w:b/>
                <w:bCs/>
                <w:i w:val="0"/>
                <w:iCs w:val="0"/>
                <w:caps/>
                <w:color w:val="000000" w:themeColor="text1"/>
                <w:spacing w:val="0"/>
                <w:kern w:val="0"/>
                <w:sz w:val="24"/>
                <w:szCs w:val="24"/>
                <w:lang w:val="en-US" w:eastAsia="zh-CN" w:bidi="ar"/>
              </w:rPr>
              <w:t>STOCKCODE</w:t>
            </w:r>
          </w:p>
        </w:tc>
        <w:tc>
          <w:tcPr>
            <w:tcW w:w="0" w:type="auto"/>
            <w:tcBorders>
              <w:top w:val="single" w:color="000000" w:sz="18" w:space="0"/>
              <w:bottom w:val="single" w:color="000000" w:sz="12" w:space="0"/>
            </w:tcBorders>
            <w:vAlign w:val="center"/>
          </w:tcPr>
          <w:p w14:paraId="742DB34D">
            <w:pPr>
              <w:keepNext w:val="0"/>
              <w:keepLines w:val="0"/>
              <w:pageBreakBefore w:val="0"/>
              <w:widowControl/>
              <w:suppressLineNumbers w:val="0"/>
              <w:kinsoku/>
              <w:wordWrap/>
              <w:overflowPunct/>
              <w:topLinePunct w:val="0"/>
              <w:autoSpaceDE/>
              <w:autoSpaceDN/>
              <w:bidi w:val="0"/>
              <w:adjustRightInd/>
              <w:snapToGrid/>
              <w:ind w:firstLine="0" w:firstLineChars="0"/>
              <w:jc w:val="center"/>
            </w:pPr>
            <w:r>
              <w:rPr>
                <w:rFonts w:hint="default" w:ascii="Times New Roman" w:hAnsi="Times New Roman" w:eastAsia="Times New Roman" w:cs="Times New Roman"/>
                <w:b/>
                <w:bCs/>
                <w:i w:val="0"/>
                <w:iCs w:val="0"/>
                <w:caps/>
                <w:color w:val="000000" w:themeColor="text1"/>
                <w:spacing w:val="0"/>
                <w:kern w:val="0"/>
                <w:sz w:val="24"/>
                <w:szCs w:val="24"/>
                <w:lang w:val="en-US" w:eastAsia="zh-CN" w:bidi="ar"/>
              </w:rPr>
              <w:t>商品描述</w:t>
            </w:r>
          </w:p>
        </w:tc>
        <w:tc>
          <w:tcPr>
            <w:tcW w:w="0" w:type="auto"/>
            <w:tcBorders>
              <w:top w:val="single" w:color="000000" w:sz="18" w:space="0"/>
              <w:bottom w:val="single" w:color="000000" w:sz="12" w:space="0"/>
            </w:tcBorders>
            <w:vAlign w:val="center"/>
          </w:tcPr>
          <w:p w14:paraId="11152958">
            <w:pPr>
              <w:keepNext w:val="0"/>
              <w:keepLines w:val="0"/>
              <w:pageBreakBefore w:val="0"/>
              <w:widowControl/>
              <w:suppressLineNumbers w:val="0"/>
              <w:kinsoku/>
              <w:wordWrap/>
              <w:overflowPunct/>
              <w:topLinePunct w:val="0"/>
              <w:autoSpaceDE/>
              <w:autoSpaceDN/>
              <w:bidi w:val="0"/>
              <w:adjustRightInd/>
              <w:snapToGrid/>
              <w:ind w:firstLine="0" w:firstLineChars="0"/>
              <w:jc w:val="center"/>
            </w:pPr>
            <w:r>
              <w:rPr>
                <w:rFonts w:hint="default" w:ascii="Times New Roman" w:hAnsi="Times New Roman" w:eastAsia="Times New Roman" w:cs="Times New Roman"/>
                <w:b/>
                <w:bCs/>
                <w:i w:val="0"/>
                <w:iCs w:val="0"/>
                <w:caps/>
                <w:color w:val="000000" w:themeColor="text1"/>
                <w:spacing w:val="0"/>
                <w:kern w:val="0"/>
                <w:sz w:val="24"/>
                <w:szCs w:val="24"/>
                <w:lang w:val="en-US" w:eastAsia="zh-CN" w:bidi="ar"/>
              </w:rPr>
              <w:t>BCG类型</w:t>
            </w:r>
          </w:p>
        </w:tc>
        <w:tc>
          <w:tcPr>
            <w:tcW w:w="0" w:type="auto"/>
            <w:tcBorders>
              <w:top w:val="single" w:color="000000" w:sz="18" w:space="0"/>
              <w:bottom w:val="single" w:color="000000" w:sz="12" w:space="0"/>
            </w:tcBorders>
            <w:vAlign w:val="center"/>
          </w:tcPr>
          <w:p w14:paraId="3CC87763">
            <w:pPr>
              <w:keepNext w:val="0"/>
              <w:keepLines w:val="0"/>
              <w:pageBreakBefore w:val="0"/>
              <w:widowControl/>
              <w:suppressLineNumbers w:val="0"/>
              <w:kinsoku/>
              <w:wordWrap/>
              <w:overflowPunct/>
              <w:topLinePunct w:val="0"/>
              <w:autoSpaceDE/>
              <w:autoSpaceDN/>
              <w:bidi w:val="0"/>
              <w:adjustRightInd/>
              <w:snapToGrid/>
              <w:ind w:firstLine="0" w:firstLineChars="0"/>
              <w:jc w:val="center"/>
            </w:pPr>
            <w:r>
              <w:rPr>
                <w:rFonts w:hint="default" w:ascii="Times New Roman" w:hAnsi="Times New Roman" w:eastAsia="Times New Roman" w:cs="Times New Roman"/>
                <w:b/>
                <w:bCs/>
                <w:i w:val="0"/>
                <w:iCs w:val="0"/>
                <w:caps/>
                <w:color w:val="000000" w:themeColor="text1"/>
                <w:spacing w:val="0"/>
                <w:kern w:val="0"/>
                <w:sz w:val="24"/>
                <w:szCs w:val="24"/>
                <w:lang w:val="en-US" w:eastAsia="zh-CN" w:bidi="ar"/>
              </w:rPr>
              <w:t>增长率</w:t>
            </w:r>
          </w:p>
        </w:tc>
        <w:tc>
          <w:tcPr>
            <w:tcW w:w="0" w:type="auto"/>
            <w:tcBorders>
              <w:top w:val="single" w:color="000000" w:sz="18" w:space="0"/>
              <w:bottom w:val="single" w:color="000000" w:sz="12" w:space="0"/>
            </w:tcBorders>
            <w:vAlign w:val="center"/>
          </w:tcPr>
          <w:p w14:paraId="27F10B7B">
            <w:pPr>
              <w:keepNext w:val="0"/>
              <w:keepLines w:val="0"/>
              <w:pageBreakBefore w:val="0"/>
              <w:widowControl/>
              <w:suppressLineNumbers w:val="0"/>
              <w:kinsoku/>
              <w:wordWrap/>
              <w:overflowPunct/>
              <w:topLinePunct w:val="0"/>
              <w:autoSpaceDE/>
              <w:autoSpaceDN/>
              <w:bidi w:val="0"/>
              <w:adjustRightInd/>
              <w:snapToGrid/>
              <w:ind w:firstLine="0" w:firstLineChars="0"/>
              <w:jc w:val="center"/>
            </w:pPr>
            <w:r>
              <w:rPr>
                <w:rFonts w:hint="default" w:ascii="Times New Roman" w:hAnsi="Times New Roman" w:eastAsia="Times New Roman" w:cs="Times New Roman"/>
                <w:b/>
                <w:bCs/>
                <w:i w:val="0"/>
                <w:iCs w:val="0"/>
                <w:caps/>
                <w:color w:val="000000" w:themeColor="text1"/>
                <w:spacing w:val="0"/>
                <w:kern w:val="0"/>
                <w:sz w:val="24"/>
                <w:szCs w:val="24"/>
                <w:lang w:val="en-US" w:eastAsia="zh-CN" w:bidi="ar"/>
              </w:rPr>
              <w:t>角色定位</w:t>
            </w:r>
          </w:p>
        </w:tc>
      </w:tr>
      <w:tr w14:paraId="5E5149FA">
        <w:tblPrEx>
          <w:tblCellMar>
            <w:top w:w="0" w:type="dxa"/>
            <w:left w:w="108" w:type="dxa"/>
            <w:bottom w:w="0" w:type="dxa"/>
            <w:right w:w="108" w:type="dxa"/>
          </w:tblCellMar>
        </w:tblPrEx>
        <w:tc>
          <w:tcPr>
            <w:tcW w:w="0" w:type="auto"/>
            <w:tcBorders>
              <w:top w:val="single" w:color="000000" w:sz="12" w:space="0"/>
            </w:tcBorders>
            <w:vAlign w:val="center"/>
          </w:tcPr>
          <w:p w14:paraId="7531F81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top"/>
            </w:pPr>
            <w:r>
              <w:rPr>
                <w:rFonts w:hint="default" w:ascii="Times New Roman" w:hAnsi="Times New Roman" w:eastAsia="Times New Roman" w:cs="Times New Roman"/>
                <w:i w:val="0"/>
                <w:iCs w:val="0"/>
                <w:caps w:val="0"/>
                <w:color w:val="000000" w:themeColor="text1"/>
                <w:spacing w:val="0"/>
                <w:kern w:val="0"/>
                <w:sz w:val="24"/>
                <w:szCs w:val="24"/>
                <w:lang w:val="en-US" w:eastAsia="zh-CN" w:bidi="ar"/>
              </w:rPr>
              <w:t>22726</w:t>
            </w:r>
          </w:p>
        </w:tc>
        <w:tc>
          <w:tcPr>
            <w:tcW w:w="0" w:type="auto"/>
            <w:tcBorders>
              <w:top w:val="single" w:color="000000" w:sz="12" w:space="0"/>
            </w:tcBorders>
            <w:vAlign w:val="center"/>
          </w:tcPr>
          <w:p w14:paraId="2EA8474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top"/>
            </w:pPr>
            <w:r>
              <w:rPr>
                <w:rFonts w:hint="default" w:ascii="Times New Roman" w:hAnsi="Times New Roman" w:eastAsia="Times New Roman" w:cs="Times New Roman"/>
                <w:i w:val="0"/>
                <w:iCs w:val="0"/>
                <w:caps w:val="0"/>
                <w:color w:val="000000" w:themeColor="text1"/>
                <w:spacing w:val="0"/>
                <w:kern w:val="0"/>
                <w:sz w:val="24"/>
                <w:szCs w:val="24"/>
                <w:lang w:val="en-US" w:eastAsia="zh-CN" w:bidi="ar"/>
              </w:rPr>
              <w:t>ALARM CLOCK BAKELIKE GREEN（绿色）</w:t>
            </w:r>
          </w:p>
        </w:tc>
        <w:tc>
          <w:tcPr>
            <w:tcW w:w="0" w:type="auto"/>
            <w:tcBorders>
              <w:top w:val="single" w:color="000000" w:sz="12" w:space="0"/>
            </w:tcBorders>
            <w:vAlign w:val="center"/>
          </w:tcPr>
          <w:p w14:paraId="04B58A4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top"/>
            </w:pPr>
            <w:r>
              <w:rPr>
                <w:rFonts w:hint="default" w:ascii="Times New Roman" w:hAnsi="Times New Roman" w:eastAsia="Times New Roman" w:cs="Times New Roman"/>
                <w:i w:val="0"/>
                <w:iCs w:val="0"/>
                <w:caps w:val="0"/>
                <w:color w:val="000000" w:themeColor="text1"/>
                <w:spacing w:val="0"/>
                <w:kern w:val="0"/>
                <w:sz w:val="24"/>
                <w:szCs w:val="24"/>
                <w:lang w:val="en-US" w:eastAsia="zh-CN" w:bidi="ar"/>
              </w:rPr>
              <w:t>Star</w:t>
            </w:r>
          </w:p>
        </w:tc>
        <w:tc>
          <w:tcPr>
            <w:tcW w:w="0" w:type="auto"/>
            <w:tcBorders>
              <w:top w:val="single" w:color="000000" w:sz="12" w:space="0"/>
            </w:tcBorders>
            <w:vAlign w:val="center"/>
          </w:tcPr>
          <w:p w14:paraId="03C523C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top"/>
            </w:pPr>
            <w:r>
              <w:rPr>
                <w:rFonts w:hint="default" w:ascii="Times New Roman" w:hAnsi="Times New Roman" w:eastAsia="Times New Roman" w:cs="Times New Roman"/>
                <w:i w:val="0"/>
                <w:iCs w:val="0"/>
                <w:caps w:val="0"/>
                <w:color w:val="000000" w:themeColor="text1"/>
                <w:spacing w:val="0"/>
                <w:kern w:val="0"/>
                <w:sz w:val="24"/>
                <w:szCs w:val="24"/>
                <w:lang w:val="en-US" w:eastAsia="zh-CN" w:bidi="ar"/>
              </w:rPr>
              <w:t>+32.4%</w:t>
            </w:r>
          </w:p>
        </w:tc>
        <w:tc>
          <w:tcPr>
            <w:tcW w:w="0" w:type="auto"/>
            <w:tcBorders>
              <w:top w:val="single" w:color="000000" w:sz="12" w:space="0"/>
            </w:tcBorders>
            <w:vAlign w:val="center"/>
          </w:tcPr>
          <w:p w14:paraId="539BA68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top"/>
            </w:pPr>
            <w:r>
              <w:rPr>
                <w:rFonts w:hint="default" w:ascii="Times New Roman" w:hAnsi="Times New Roman" w:eastAsia="Times New Roman" w:cs="Times New Roman"/>
                <w:i w:val="0"/>
                <w:iCs w:val="0"/>
                <w:caps w:val="0"/>
                <w:color w:val="000000" w:themeColor="text1"/>
                <w:spacing w:val="0"/>
                <w:kern w:val="0"/>
                <w:sz w:val="24"/>
                <w:szCs w:val="24"/>
                <w:lang w:val="en-US" w:eastAsia="zh-CN" w:bidi="ar"/>
              </w:rPr>
              <w:t>稳健增长</w:t>
            </w:r>
          </w:p>
        </w:tc>
      </w:tr>
      <w:tr w14:paraId="0DAE3217">
        <w:tblPrEx>
          <w:tblCellMar>
            <w:top w:w="0" w:type="dxa"/>
            <w:left w:w="108" w:type="dxa"/>
            <w:bottom w:w="0" w:type="dxa"/>
            <w:right w:w="108" w:type="dxa"/>
          </w:tblCellMar>
        </w:tblPrEx>
        <w:tc>
          <w:tcPr>
            <w:tcW w:w="0" w:type="auto"/>
            <w:vAlign w:val="center"/>
          </w:tcPr>
          <w:p w14:paraId="56413B1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top"/>
            </w:pPr>
            <w:r>
              <w:rPr>
                <w:rFonts w:hint="default" w:ascii="Times New Roman" w:hAnsi="Times New Roman" w:eastAsia="Times New Roman" w:cs="Times New Roman"/>
                <w:i w:val="0"/>
                <w:iCs w:val="0"/>
                <w:caps w:val="0"/>
                <w:color w:val="000000" w:themeColor="text1"/>
                <w:spacing w:val="0"/>
                <w:kern w:val="0"/>
                <w:sz w:val="24"/>
                <w:szCs w:val="24"/>
                <w:lang w:val="en-US" w:eastAsia="zh-CN" w:bidi="ar"/>
              </w:rPr>
              <w:t>22727</w:t>
            </w:r>
          </w:p>
        </w:tc>
        <w:tc>
          <w:tcPr>
            <w:tcW w:w="0" w:type="auto"/>
            <w:vAlign w:val="center"/>
          </w:tcPr>
          <w:p w14:paraId="0734F84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top"/>
            </w:pPr>
            <w:r>
              <w:rPr>
                <w:rFonts w:hint="default" w:ascii="Times New Roman" w:hAnsi="Times New Roman" w:eastAsia="Times New Roman" w:cs="Times New Roman"/>
                <w:i w:val="0"/>
                <w:iCs w:val="0"/>
                <w:caps w:val="0"/>
                <w:color w:val="000000" w:themeColor="text1"/>
                <w:spacing w:val="0"/>
                <w:kern w:val="0"/>
                <w:sz w:val="24"/>
                <w:szCs w:val="24"/>
                <w:lang w:val="en-US" w:eastAsia="zh-CN" w:bidi="ar"/>
              </w:rPr>
              <w:t>ALARM CLOCK BAKELIKE RED（红色）</w:t>
            </w:r>
          </w:p>
        </w:tc>
        <w:tc>
          <w:tcPr>
            <w:tcW w:w="0" w:type="auto"/>
            <w:vAlign w:val="center"/>
          </w:tcPr>
          <w:p w14:paraId="227212C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top"/>
            </w:pPr>
            <w:r>
              <w:rPr>
                <w:rFonts w:hint="default" w:ascii="Times New Roman" w:hAnsi="Times New Roman" w:eastAsia="Times New Roman" w:cs="Times New Roman"/>
                <w:i w:val="0"/>
                <w:iCs w:val="0"/>
                <w:caps w:val="0"/>
                <w:color w:val="000000" w:themeColor="text1"/>
                <w:spacing w:val="0"/>
                <w:kern w:val="0"/>
                <w:sz w:val="24"/>
                <w:szCs w:val="24"/>
                <w:lang w:val="en-US" w:eastAsia="zh-CN" w:bidi="ar"/>
              </w:rPr>
              <w:t>Star</w:t>
            </w:r>
          </w:p>
        </w:tc>
        <w:tc>
          <w:tcPr>
            <w:tcW w:w="0" w:type="auto"/>
            <w:vAlign w:val="center"/>
          </w:tcPr>
          <w:p w14:paraId="14CF031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top"/>
            </w:pPr>
            <w:r>
              <w:rPr>
                <w:rFonts w:hint="default" w:ascii="Times New Roman" w:hAnsi="Times New Roman" w:eastAsia="Times New Roman" w:cs="Times New Roman"/>
                <w:i w:val="0"/>
                <w:iCs w:val="0"/>
                <w:caps w:val="0"/>
                <w:color w:val="000000" w:themeColor="text1"/>
                <w:spacing w:val="0"/>
                <w:kern w:val="0"/>
                <w:sz w:val="24"/>
                <w:szCs w:val="24"/>
                <w:lang w:val="en-US" w:eastAsia="zh-CN" w:bidi="ar"/>
              </w:rPr>
              <w:t>+40.6%</w:t>
            </w:r>
          </w:p>
        </w:tc>
        <w:tc>
          <w:tcPr>
            <w:tcW w:w="0" w:type="auto"/>
            <w:vAlign w:val="center"/>
          </w:tcPr>
          <w:p w14:paraId="1D5269F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top"/>
            </w:pPr>
            <w:r>
              <w:rPr>
                <w:rFonts w:hint="default" w:ascii="Times New Roman" w:hAnsi="Times New Roman" w:eastAsia="Times New Roman" w:cs="Times New Roman"/>
                <w:i w:val="0"/>
                <w:iCs w:val="0"/>
                <w:caps w:val="0"/>
                <w:color w:val="000000" w:themeColor="text1"/>
                <w:spacing w:val="0"/>
                <w:kern w:val="0"/>
                <w:sz w:val="24"/>
                <w:szCs w:val="24"/>
                <w:lang w:val="en-US" w:eastAsia="zh-CN" w:bidi="ar"/>
              </w:rPr>
              <w:t>高增长，枢纽款</w:t>
            </w:r>
          </w:p>
        </w:tc>
      </w:tr>
      <w:tr w14:paraId="6945C3AB">
        <w:tblPrEx>
          <w:tblCellMar>
            <w:top w:w="0" w:type="dxa"/>
            <w:left w:w="108" w:type="dxa"/>
            <w:bottom w:w="0" w:type="dxa"/>
            <w:right w:w="108" w:type="dxa"/>
          </w:tblCellMar>
        </w:tblPrEx>
        <w:tc>
          <w:tcPr>
            <w:tcW w:w="0" w:type="auto"/>
            <w:tcBorders>
              <w:bottom w:val="single" w:color="000000" w:sz="18" w:space="0"/>
            </w:tcBorders>
            <w:vAlign w:val="center"/>
          </w:tcPr>
          <w:p w14:paraId="61A2D31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top"/>
            </w:pPr>
            <w:r>
              <w:rPr>
                <w:rFonts w:hint="default" w:ascii="Times New Roman" w:hAnsi="Times New Roman" w:eastAsia="Times New Roman" w:cs="Times New Roman"/>
                <w:i w:val="0"/>
                <w:iCs w:val="0"/>
                <w:caps w:val="0"/>
                <w:color w:val="000000" w:themeColor="text1"/>
                <w:spacing w:val="0"/>
                <w:kern w:val="0"/>
                <w:sz w:val="24"/>
                <w:szCs w:val="24"/>
                <w:lang w:val="en-US" w:eastAsia="zh-CN" w:bidi="ar"/>
              </w:rPr>
              <w:t>22728</w:t>
            </w:r>
          </w:p>
        </w:tc>
        <w:tc>
          <w:tcPr>
            <w:tcW w:w="0" w:type="auto"/>
            <w:tcBorders>
              <w:bottom w:val="single" w:color="000000" w:sz="18" w:space="0"/>
            </w:tcBorders>
            <w:vAlign w:val="center"/>
          </w:tcPr>
          <w:p w14:paraId="14368ED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top"/>
            </w:pPr>
            <w:r>
              <w:rPr>
                <w:rFonts w:hint="default" w:ascii="Times New Roman" w:hAnsi="Times New Roman" w:eastAsia="Times New Roman" w:cs="Times New Roman"/>
                <w:i w:val="0"/>
                <w:iCs w:val="0"/>
                <w:caps w:val="0"/>
                <w:color w:val="000000" w:themeColor="text1"/>
                <w:spacing w:val="0"/>
                <w:kern w:val="0"/>
                <w:sz w:val="24"/>
                <w:szCs w:val="24"/>
                <w:lang w:val="en-US" w:eastAsia="zh-CN" w:bidi="ar"/>
              </w:rPr>
              <w:t>ALARM CLOCK BAKELIKE PINK（粉色）</w:t>
            </w:r>
          </w:p>
        </w:tc>
        <w:tc>
          <w:tcPr>
            <w:tcW w:w="0" w:type="auto"/>
            <w:tcBorders>
              <w:bottom w:val="single" w:color="000000" w:sz="18" w:space="0"/>
            </w:tcBorders>
            <w:vAlign w:val="center"/>
          </w:tcPr>
          <w:p w14:paraId="5ABF2EE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top"/>
            </w:pPr>
            <w:r>
              <w:rPr>
                <w:rFonts w:hint="default" w:ascii="Times New Roman" w:hAnsi="Times New Roman" w:eastAsia="Times New Roman" w:cs="Times New Roman"/>
                <w:i w:val="0"/>
                <w:iCs w:val="0"/>
                <w:caps w:val="0"/>
                <w:color w:val="000000" w:themeColor="text1"/>
                <w:spacing w:val="0"/>
                <w:kern w:val="0"/>
                <w:sz w:val="24"/>
                <w:szCs w:val="24"/>
                <w:lang w:val="en-US" w:eastAsia="zh-CN" w:bidi="ar"/>
              </w:rPr>
              <w:t>Star</w:t>
            </w:r>
          </w:p>
        </w:tc>
        <w:tc>
          <w:tcPr>
            <w:tcW w:w="0" w:type="auto"/>
            <w:tcBorders>
              <w:bottom w:val="single" w:color="000000" w:sz="18" w:space="0"/>
            </w:tcBorders>
            <w:vAlign w:val="center"/>
          </w:tcPr>
          <w:p w14:paraId="02A3C4C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top"/>
            </w:pPr>
            <w:r>
              <w:rPr>
                <w:rFonts w:hint="default" w:ascii="Times New Roman" w:hAnsi="Times New Roman" w:eastAsia="Times New Roman" w:cs="Times New Roman"/>
                <w:i w:val="0"/>
                <w:iCs w:val="0"/>
                <w:caps w:val="0"/>
                <w:color w:val="000000" w:themeColor="text1"/>
                <w:spacing w:val="0"/>
                <w:kern w:val="0"/>
                <w:sz w:val="24"/>
                <w:szCs w:val="24"/>
                <w:lang w:val="en-US" w:eastAsia="zh-CN" w:bidi="ar"/>
              </w:rPr>
              <w:t>+48.3%</w:t>
            </w:r>
          </w:p>
        </w:tc>
        <w:tc>
          <w:tcPr>
            <w:tcW w:w="0" w:type="auto"/>
            <w:tcBorders>
              <w:bottom w:val="single" w:color="000000" w:sz="18" w:space="0"/>
            </w:tcBorders>
            <w:vAlign w:val="center"/>
          </w:tcPr>
          <w:p w14:paraId="1CF0D67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top"/>
            </w:pPr>
            <w:r>
              <w:rPr>
                <w:rFonts w:hint="default" w:ascii="Times New Roman" w:hAnsi="Times New Roman" w:eastAsia="Times New Roman" w:cs="Times New Roman"/>
                <w:i w:val="0"/>
                <w:iCs w:val="0"/>
                <w:caps w:val="0"/>
                <w:color w:val="000000" w:themeColor="text1"/>
                <w:spacing w:val="0"/>
                <w:kern w:val="0"/>
                <w:sz w:val="24"/>
                <w:szCs w:val="24"/>
                <w:lang w:val="en-US" w:eastAsia="zh-CN" w:bidi="ar"/>
              </w:rPr>
              <w:t>增速最快</w:t>
            </w:r>
          </w:p>
        </w:tc>
      </w:tr>
    </w:tbl>
    <w:p w14:paraId="2E4C1A32">
      <w:pPr>
        <w:pStyle w:val="3"/>
      </w:pPr>
      <w:r>
        <w:rPr>
          <w:rFonts w:hint="eastAsia"/>
        </w:rPr>
        <w:t>关联规则表现：</w:t>
      </w:r>
    </w:p>
    <w:p w14:paraId="7D91477C">
      <w:pPr>
        <w:numPr>
          <w:ilvl w:val="0"/>
          <w:numId w:val="1"/>
        </w:numPr>
      </w:pPr>
      <w:r>
        <w:rPr>
          <w:rFonts w:hint="eastAsia"/>
        </w:rPr>
        <w:t>枢纽款22727（红色）→</w:t>
      </w:r>
      <w:r>
        <w:t xml:space="preserve"> </w:t>
      </w:r>
      <w:r>
        <w:rPr>
          <w:rFonts w:hint="eastAsia"/>
        </w:rPr>
        <w:t>22726（绿色）：置信度60.0%，提升度13.41</w:t>
      </w:r>
    </w:p>
    <w:p w14:paraId="6A896F23">
      <w:pPr>
        <w:numPr>
          <w:ilvl w:val="0"/>
          <w:numId w:val="1"/>
        </w:numPr>
      </w:pPr>
      <w:r>
        <w:rPr>
          <w:rFonts w:hint="eastAsia"/>
        </w:rPr>
        <w:t>枢纽款22727（红色）→</w:t>
      </w:r>
      <w:r>
        <w:t xml:space="preserve"> </w:t>
      </w:r>
      <w:r>
        <w:rPr>
          <w:rFonts w:hint="eastAsia"/>
        </w:rPr>
        <w:t>22728（粉色）：置信度42.3%，提升度13.19</w:t>
      </w:r>
    </w:p>
    <w:p w14:paraId="17A10C69">
      <w:pPr>
        <w:pStyle w:val="28"/>
      </w:pPr>
      <w:r>
        <w:rPr>
          <w:rFonts w:hint="eastAsia"/>
        </w:rPr>
        <w:t>场景化洞察：</w:t>
      </w:r>
    </w:p>
    <w:p w14:paraId="787564F9">
      <w:pPr>
        <w:pStyle w:val="3"/>
      </w:pPr>
      <w:r>
        <w:rPr>
          <w:rFonts w:hint="eastAsia"/>
        </w:rPr>
        <w:t>这是Top</w:t>
      </w:r>
      <w:r>
        <w:t xml:space="preserve"> </w:t>
      </w:r>
      <w:r>
        <w:rPr>
          <w:rFonts w:hint="eastAsia"/>
        </w:rPr>
        <w:t>20中</w:t>
      </w:r>
      <w:r>
        <w:rPr>
          <w:rFonts w:hint="eastAsia"/>
          <w:b/>
          <w:bCs/>
        </w:rPr>
        <w:t>BCG结构最健康、增长潜力最大的一组</w:t>
      </w:r>
      <w:r>
        <w:rPr>
          <w:rFonts w:hint="eastAsia"/>
        </w:rPr>
        <w:t>——三件商品均为真正的正增长明星，且增长率呈梯度分布（32.4%</w:t>
      </w:r>
      <w:r>
        <w:t xml:space="preserve"> → 40.6% → </w:t>
      </w:r>
      <w:r>
        <w:rPr>
          <w:rFonts w:hint="eastAsia"/>
        </w:rPr>
        <w:t>48.3%）。从商品描述看，三件均为复古风格（Bakelike）的闹钟，差异仅在于颜色。</w:t>
      </w:r>
    </w:p>
    <w:p w14:paraId="10D28C53">
      <w:pPr>
        <w:pStyle w:val="3"/>
      </w:pPr>
      <w:r>
        <w:rPr>
          <w:rFonts w:hint="eastAsia"/>
        </w:rPr>
        <w:t>关联模式显示：</w:t>
      </w:r>
      <w:r>
        <w:rPr>
          <w:rFonts w:hint="eastAsia"/>
          <w:b/>
          <w:bCs/>
        </w:rPr>
        <w:t>红色款（22727）是绝对的"枢纽"</w:t>
      </w:r>
      <w:r>
        <w:rPr>
          <w:rFonts w:hint="eastAsia"/>
        </w:rPr>
        <w:t>——购买了红色款的客户中，约60%会选择绿色款，约42%会选择粉色款。这一现象可能的解释是：</w:t>
      </w:r>
    </w:p>
    <w:p w14:paraId="6C1A78EB">
      <w:pPr>
        <w:numPr>
          <w:ilvl w:val="0"/>
          <w:numId w:val="1"/>
        </w:numPr>
      </w:pPr>
      <w:r>
        <w:rPr>
          <w:rFonts w:hint="eastAsia"/>
        </w:rPr>
        <w:t>红色是"安全选择"：在复古闹钟品类中，红色可能是最经典、最不易出错的颜色，客户倾向于先选红色，再根据喜好补充其他颜色；</w:t>
      </w:r>
    </w:p>
    <w:p w14:paraId="5D4B7B6A">
      <w:pPr>
        <w:numPr>
          <w:ilvl w:val="0"/>
          <w:numId w:val="1"/>
        </w:numPr>
      </w:pPr>
      <w:r>
        <w:rPr>
          <w:rFonts w:hint="eastAsia"/>
        </w:rPr>
        <w:t>场景分化：绿色款可能更适合卧室/书房（沉稳），粉色款可能更受年轻女性/儿童喜爱，红色款则是通用款；</w:t>
      </w:r>
    </w:p>
    <w:p w14:paraId="59515CB4">
      <w:pPr>
        <w:numPr>
          <w:ilvl w:val="0"/>
          <w:numId w:val="1"/>
        </w:numPr>
      </w:pPr>
      <w:r>
        <w:rPr>
          <w:rFonts w:hint="eastAsia"/>
        </w:rPr>
        <w:t>礼品采购：批发商可能以红色款为主力，搭配绿色或粉色作为差异化组合。</w:t>
      </w:r>
    </w:p>
    <w:p w14:paraId="30CE7E7F">
      <w:pPr>
        <w:pStyle w:val="28"/>
      </w:pPr>
      <w:r>
        <w:rPr>
          <w:rFonts w:hint="eastAsia"/>
        </w:rPr>
        <w:t>策略含义：</w:t>
      </w:r>
    </w:p>
    <w:p w14:paraId="7B7026DE">
      <w:pPr>
        <w:numPr>
          <w:ilvl w:val="0"/>
          <w:numId w:val="6"/>
        </w:numPr>
      </w:pPr>
      <w:r>
        <w:rPr>
          <w:rFonts w:hint="eastAsia"/>
        </w:rPr>
        <w:t>推荐策略：以红色为锚点的"1+N"模式，</w:t>
      </w:r>
      <w:r>
        <w:t xml:space="preserve"> </w:t>
      </w:r>
      <w:r>
        <w:rPr>
          <w:rFonts w:hint="eastAsia"/>
        </w:rPr>
        <w:t>在所有营销场景中，将22727（红色）设为默认展示款，在其商品详情页下方设置"同系列颜色推荐"模块，绿色款（22726）标注"经典沉稳"，粉色款（22728）标注"清新活力"，引导客户按需选择。</w:t>
      </w:r>
    </w:p>
    <w:p w14:paraId="0C56D135">
      <w:pPr>
        <w:numPr>
          <w:ilvl w:val="0"/>
          <w:numId w:val="6"/>
        </w:numPr>
      </w:pPr>
      <w:r>
        <w:rPr>
          <w:rFonts w:hint="eastAsia"/>
        </w:rPr>
        <w:t>视觉营销强化：</w:t>
      </w:r>
      <w:r>
        <w:t xml:space="preserve"> </w:t>
      </w:r>
      <w:r>
        <w:rPr>
          <w:rFonts w:hint="eastAsia"/>
        </w:rPr>
        <w:t>鉴于三件商品的高增长率和颜值属性，建议在Instagram、Pinterest等视觉社交平台投放"三色并列陈列"的场景图（如床头柜上摆放三个颜色的闹钟），激发客户的收集欲望。可发起"#MyBakelikeCollection"话题挑战，鼓励用户晒图。</w:t>
      </w:r>
    </w:p>
    <w:p w14:paraId="63A1C140">
      <w:pPr>
        <w:numPr>
          <w:ilvl w:val="0"/>
          <w:numId w:val="6"/>
        </w:numPr>
      </w:pPr>
      <w:r>
        <w:rPr>
          <w:rFonts w:hint="eastAsia"/>
        </w:rPr>
        <w:t>增长协同效应：</w:t>
      </w:r>
      <w:r>
        <w:t xml:space="preserve"> </w:t>
      </w:r>
      <w:r>
        <w:rPr>
          <w:rFonts w:hint="eastAsia"/>
        </w:rPr>
        <w:t>三件商品均处于增长期，且关联强度高，意味着</w:t>
      </w:r>
      <w:r>
        <w:rPr>
          <w:rFonts w:hint="eastAsia"/>
          <w:b/>
          <w:bCs/>
        </w:rPr>
        <w:t>任一单品的营销投入都会溢出到另外两件</w:t>
      </w:r>
      <w:r>
        <w:rPr>
          <w:rFonts w:hint="eastAsia"/>
        </w:rPr>
        <w:t>。建议将三件商品纳入同一营销主题（如"复古风潮·春日焕新"），统一投放、统一视觉、统一话术，最大化协同效应。</w:t>
      </w:r>
    </w:p>
    <w:p w14:paraId="617CE7D9">
      <w:pPr>
        <w:pStyle w:val="28"/>
        <w:rPr>
          <w:rFonts w:hint="eastAsia"/>
        </w:rPr>
      </w:pPr>
      <w:r>
        <w:rPr>
          <w:rFonts w:hint="eastAsia"/>
        </w:rPr>
        <w:t>基于上述六组关联组合的BCG交叉分析和商品场景解读，可提炼出四类战略场景及对应的运营策略：</w:t>
      </w:r>
    </w:p>
    <w:p w14:paraId="715B181B">
      <w:pPr>
        <w:pStyle w:val="28"/>
        <w:ind w:left="0" w:leftChars="0" w:firstLine="0" w:firstLineChars="0"/>
        <w:rPr>
          <w:rFonts w:hint="eastAsia"/>
        </w:rPr>
      </w:pPr>
      <w:r>
        <w:rPr>
          <w:rFonts w:hint="eastAsia"/>
        </w:rPr>
        <w:br w:type="page"/>
      </w:r>
    </w:p>
    <w:p w14:paraId="5A5490FE">
      <w:pPr>
        <w:pStyle w:val="12"/>
        <w:rPr>
          <w:rFonts w:hint="default" w:eastAsia="宋体"/>
          <w:lang w:val="en-US" w:eastAsia="zh-CN"/>
        </w:rPr>
      </w:pPr>
      <w:r>
        <w:t xml:space="preserve">表 </w:t>
      </w:r>
      <w:r>
        <w:fldChar w:fldCharType="begin"/>
      </w:r>
      <w:r>
        <w:instrText xml:space="preserve"> SEQ 表 \* ARABIC </w:instrText>
      </w:r>
      <w:r>
        <w:fldChar w:fldCharType="separate"/>
      </w:r>
      <w:r>
        <w:t>13</w:t>
      </w:r>
      <w:r>
        <w:fldChar w:fldCharType="end"/>
      </w:r>
      <w:r>
        <w:rPr>
          <w:rFonts w:hint="eastAsia"/>
          <w:lang w:val="en-US" w:eastAsia="zh-CN"/>
        </w:rPr>
        <w:t xml:space="preserve"> 运营策略表</w:t>
      </w:r>
    </w:p>
    <w:tbl>
      <w:tblPr>
        <w:tblStyle w:val="46"/>
        <w:tblW w:w="0" w:type="auto"/>
        <w:tblInd w:w="0" w:type="dxa"/>
        <w:tblLayout w:type="autofit"/>
        <w:tblCellMar>
          <w:top w:w="0" w:type="dxa"/>
          <w:left w:w="108" w:type="dxa"/>
          <w:bottom w:w="0" w:type="dxa"/>
          <w:right w:w="108" w:type="dxa"/>
        </w:tblCellMar>
      </w:tblPr>
      <w:tblGrid>
        <w:gridCol w:w="985"/>
        <w:gridCol w:w="1734"/>
        <w:gridCol w:w="1032"/>
        <w:gridCol w:w="1377"/>
        <w:gridCol w:w="1468"/>
        <w:gridCol w:w="2260"/>
      </w:tblGrid>
      <w:tr w14:paraId="4A08909B">
        <w:tblPrEx>
          <w:tblCellMar>
            <w:top w:w="0" w:type="dxa"/>
            <w:left w:w="108" w:type="dxa"/>
            <w:bottom w:w="0" w:type="dxa"/>
            <w:right w:w="108" w:type="dxa"/>
          </w:tblCellMar>
        </w:tblPrEx>
        <w:trPr>
          <w:tblHeader/>
        </w:trPr>
        <w:tc>
          <w:tcPr>
            <w:tcW w:w="0" w:type="auto"/>
            <w:tcBorders>
              <w:top w:val="single" w:color="000000" w:sz="18" w:space="0"/>
              <w:bottom w:val="single" w:color="000000" w:sz="12" w:space="0"/>
            </w:tcBorders>
            <w:vAlign w:val="center"/>
          </w:tcPr>
          <w:p w14:paraId="5F6489F5">
            <w:pPr>
              <w:pStyle w:val="28"/>
              <w:rPr>
                <w:b/>
                <w:bCs/>
                <w:sz w:val="21"/>
                <w:szCs w:val="21"/>
              </w:rPr>
            </w:pPr>
            <w:r>
              <w:rPr>
                <w:rFonts w:hint="eastAsia"/>
                <w:b/>
                <w:bCs/>
              </w:rPr>
              <w:br w:type="page"/>
            </w:r>
            <w:r>
              <w:rPr>
                <w:rFonts w:hint="default" w:ascii="Times New Roman" w:hAnsi="Times New Roman" w:eastAsia="Times New Roman" w:cs="Times New Roman"/>
                <w:b/>
                <w:bCs/>
                <w:i w:val="0"/>
                <w:iCs w:val="0"/>
                <w:caps/>
                <w:color w:val="000000" w:themeColor="text1"/>
                <w:spacing w:val="0"/>
                <w:kern w:val="0"/>
                <w:sz w:val="21"/>
                <w:szCs w:val="21"/>
                <w:lang w:val="en-US" w:eastAsia="zh-CN" w:bidi="ar"/>
              </w:rPr>
              <w:t>场景类型</w:t>
            </w:r>
          </w:p>
        </w:tc>
        <w:tc>
          <w:tcPr>
            <w:tcW w:w="0" w:type="auto"/>
            <w:tcBorders>
              <w:top w:val="single" w:color="000000" w:sz="18" w:space="0"/>
              <w:bottom w:val="single" w:color="000000" w:sz="12" w:space="0"/>
            </w:tcBorders>
            <w:vAlign w:val="center"/>
          </w:tcPr>
          <w:p w14:paraId="4F9BA63A">
            <w:pPr>
              <w:keepNext w:val="0"/>
              <w:keepLines w:val="0"/>
              <w:pageBreakBefore w:val="0"/>
              <w:widowControl/>
              <w:suppressLineNumbers w:val="0"/>
              <w:kinsoku/>
              <w:wordWrap/>
              <w:overflowPunct/>
              <w:topLinePunct w:val="0"/>
              <w:autoSpaceDE/>
              <w:autoSpaceDN/>
              <w:bidi w:val="0"/>
              <w:adjustRightInd/>
              <w:snapToGrid/>
              <w:ind w:firstLine="0" w:firstLineChars="0"/>
              <w:jc w:val="left"/>
              <w:rPr>
                <w:rFonts w:hint="eastAsia"/>
                <w:b/>
                <w:bCs/>
                <w:sz w:val="21"/>
                <w:szCs w:val="21"/>
              </w:rPr>
            </w:pPr>
            <w:r>
              <w:rPr>
                <w:rFonts w:hint="default" w:ascii="Times New Roman" w:hAnsi="Times New Roman" w:eastAsia="Times New Roman" w:cs="Times New Roman"/>
                <w:b/>
                <w:bCs/>
                <w:i w:val="0"/>
                <w:iCs w:val="0"/>
                <w:caps/>
                <w:color w:val="000000" w:themeColor="text1"/>
                <w:spacing w:val="0"/>
                <w:kern w:val="0"/>
                <w:sz w:val="21"/>
                <w:szCs w:val="21"/>
                <w:lang w:val="en-US" w:eastAsia="zh-CN" w:bidi="ar"/>
              </w:rPr>
              <w:t>代表组合</w:t>
            </w:r>
          </w:p>
        </w:tc>
        <w:tc>
          <w:tcPr>
            <w:tcW w:w="0" w:type="auto"/>
            <w:tcBorders>
              <w:top w:val="single" w:color="000000" w:sz="18" w:space="0"/>
              <w:bottom w:val="single" w:color="000000" w:sz="12" w:space="0"/>
            </w:tcBorders>
            <w:vAlign w:val="center"/>
          </w:tcPr>
          <w:p w14:paraId="48496F6E">
            <w:pPr>
              <w:keepNext w:val="0"/>
              <w:keepLines w:val="0"/>
              <w:pageBreakBefore w:val="0"/>
              <w:widowControl/>
              <w:suppressLineNumbers w:val="0"/>
              <w:kinsoku/>
              <w:wordWrap/>
              <w:overflowPunct/>
              <w:topLinePunct w:val="0"/>
              <w:autoSpaceDE/>
              <w:autoSpaceDN/>
              <w:bidi w:val="0"/>
              <w:adjustRightInd/>
              <w:snapToGrid/>
              <w:ind w:firstLine="0" w:firstLineChars="0"/>
              <w:jc w:val="left"/>
              <w:rPr>
                <w:rFonts w:hint="eastAsia"/>
                <w:b/>
                <w:bCs/>
                <w:sz w:val="21"/>
                <w:szCs w:val="21"/>
              </w:rPr>
            </w:pPr>
            <w:r>
              <w:rPr>
                <w:rFonts w:hint="default" w:ascii="Times New Roman" w:hAnsi="Times New Roman" w:eastAsia="Times New Roman" w:cs="Times New Roman"/>
                <w:b/>
                <w:bCs/>
                <w:i w:val="0"/>
                <w:iCs w:val="0"/>
                <w:caps/>
                <w:color w:val="000000" w:themeColor="text1"/>
                <w:spacing w:val="0"/>
                <w:kern w:val="0"/>
                <w:sz w:val="21"/>
                <w:szCs w:val="21"/>
                <w:lang w:val="en-US" w:eastAsia="zh-CN" w:bidi="ar"/>
              </w:rPr>
              <w:t>商品特征</w:t>
            </w:r>
          </w:p>
        </w:tc>
        <w:tc>
          <w:tcPr>
            <w:tcW w:w="0" w:type="auto"/>
            <w:tcBorders>
              <w:top w:val="single" w:color="000000" w:sz="18" w:space="0"/>
              <w:bottom w:val="single" w:color="000000" w:sz="12" w:space="0"/>
            </w:tcBorders>
            <w:vAlign w:val="center"/>
          </w:tcPr>
          <w:p w14:paraId="0FFCCEFE">
            <w:pPr>
              <w:keepNext w:val="0"/>
              <w:keepLines w:val="0"/>
              <w:pageBreakBefore w:val="0"/>
              <w:widowControl/>
              <w:suppressLineNumbers w:val="0"/>
              <w:kinsoku/>
              <w:wordWrap/>
              <w:overflowPunct/>
              <w:topLinePunct w:val="0"/>
              <w:autoSpaceDE/>
              <w:autoSpaceDN/>
              <w:bidi w:val="0"/>
              <w:adjustRightInd/>
              <w:snapToGrid/>
              <w:ind w:firstLine="0" w:firstLineChars="0"/>
              <w:jc w:val="left"/>
              <w:rPr>
                <w:rFonts w:hint="eastAsia"/>
                <w:b/>
                <w:bCs/>
                <w:sz w:val="21"/>
                <w:szCs w:val="21"/>
              </w:rPr>
            </w:pPr>
            <w:r>
              <w:rPr>
                <w:rFonts w:hint="default" w:ascii="Times New Roman" w:hAnsi="Times New Roman" w:eastAsia="Times New Roman" w:cs="Times New Roman"/>
                <w:b/>
                <w:bCs/>
                <w:i w:val="0"/>
                <w:iCs w:val="0"/>
                <w:caps/>
                <w:color w:val="000000" w:themeColor="text1"/>
                <w:spacing w:val="0"/>
                <w:kern w:val="0"/>
                <w:sz w:val="21"/>
                <w:szCs w:val="21"/>
                <w:lang w:val="en-US" w:eastAsia="zh-CN" w:bidi="ar"/>
              </w:rPr>
              <w:t>BCG结构</w:t>
            </w:r>
          </w:p>
        </w:tc>
        <w:tc>
          <w:tcPr>
            <w:tcW w:w="0" w:type="auto"/>
            <w:tcBorders>
              <w:top w:val="single" w:color="000000" w:sz="18" w:space="0"/>
              <w:bottom w:val="single" w:color="000000" w:sz="12" w:space="0"/>
            </w:tcBorders>
            <w:vAlign w:val="center"/>
          </w:tcPr>
          <w:p w14:paraId="4B624792">
            <w:pPr>
              <w:keepNext w:val="0"/>
              <w:keepLines w:val="0"/>
              <w:pageBreakBefore w:val="0"/>
              <w:widowControl/>
              <w:suppressLineNumbers w:val="0"/>
              <w:kinsoku/>
              <w:wordWrap/>
              <w:overflowPunct/>
              <w:topLinePunct w:val="0"/>
              <w:autoSpaceDE/>
              <w:autoSpaceDN/>
              <w:bidi w:val="0"/>
              <w:adjustRightInd/>
              <w:snapToGrid/>
              <w:ind w:firstLine="0" w:firstLineChars="0"/>
              <w:jc w:val="left"/>
              <w:rPr>
                <w:rFonts w:hint="eastAsia"/>
                <w:b/>
                <w:bCs/>
                <w:sz w:val="21"/>
                <w:szCs w:val="21"/>
              </w:rPr>
            </w:pPr>
            <w:r>
              <w:rPr>
                <w:rFonts w:hint="default" w:ascii="Times New Roman" w:hAnsi="Times New Roman" w:eastAsia="Times New Roman" w:cs="Times New Roman"/>
                <w:b/>
                <w:bCs/>
                <w:i w:val="0"/>
                <w:iCs w:val="0"/>
                <w:caps/>
                <w:color w:val="000000" w:themeColor="text1"/>
                <w:spacing w:val="0"/>
                <w:kern w:val="0"/>
                <w:sz w:val="21"/>
                <w:szCs w:val="21"/>
                <w:lang w:val="en-US" w:eastAsia="zh-CN" w:bidi="ar"/>
              </w:rPr>
              <w:t>关联强度</w:t>
            </w:r>
          </w:p>
        </w:tc>
        <w:tc>
          <w:tcPr>
            <w:tcW w:w="0" w:type="auto"/>
            <w:tcBorders>
              <w:top w:val="single" w:color="000000" w:sz="18" w:space="0"/>
              <w:bottom w:val="single" w:color="000000" w:sz="12" w:space="0"/>
            </w:tcBorders>
            <w:vAlign w:val="center"/>
          </w:tcPr>
          <w:p w14:paraId="5F9D92C5">
            <w:pPr>
              <w:keepNext w:val="0"/>
              <w:keepLines w:val="0"/>
              <w:pageBreakBefore w:val="0"/>
              <w:widowControl/>
              <w:suppressLineNumbers w:val="0"/>
              <w:kinsoku/>
              <w:wordWrap/>
              <w:overflowPunct/>
              <w:topLinePunct w:val="0"/>
              <w:autoSpaceDE/>
              <w:autoSpaceDN/>
              <w:bidi w:val="0"/>
              <w:adjustRightInd/>
              <w:snapToGrid/>
              <w:ind w:firstLine="0" w:firstLineChars="0"/>
              <w:jc w:val="left"/>
              <w:rPr>
                <w:rFonts w:hint="eastAsia"/>
                <w:b/>
                <w:bCs/>
                <w:sz w:val="21"/>
                <w:szCs w:val="21"/>
              </w:rPr>
            </w:pPr>
            <w:r>
              <w:rPr>
                <w:rFonts w:hint="default" w:ascii="Times New Roman" w:hAnsi="Times New Roman" w:eastAsia="Times New Roman" w:cs="Times New Roman"/>
                <w:b/>
                <w:bCs/>
                <w:i w:val="0"/>
                <w:iCs w:val="0"/>
                <w:caps/>
                <w:color w:val="000000" w:themeColor="text1"/>
                <w:spacing w:val="0"/>
                <w:kern w:val="0"/>
                <w:sz w:val="21"/>
                <w:szCs w:val="21"/>
                <w:lang w:val="en-US" w:eastAsia="zh-CN" w:bidi="ar"/>
              </w:rPr>
              <w:t>核心策略</w:t>
            </w:r>
          </w:p>
        </w:tc>
      </w:tr>
      <w:tr w14:paraId="3D82F4FE">
        <w:tblPrEx>
          <w:tblCellMar>
            <w:top w:w="0" w:type="dxa"/>
            <w:left w:w="108" w:type="dxa"/>
            <w:bottom w:w="0" w:type="dxa"/>
            <w:right w:w="108" w:type="dxa"/>
          </w:tblCellMar>
        </w:tblPrEx>
        <w:tc>
          <w:tcPr>
            <w:tcW w:w="0" w:type="auto"/>
            <w:tcBorders>
              <w:top w:val="single" w:color="000000" w:sz="12" w:space="0"/>
            </w:tcBorders>
            <w:vAlign w:val="top"/>
          </w:tcPr>
          <w:p w14:paraId="3454A9D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收藏套装收割型</w:t>
            </w:r>
          </w:p>
        </w:tc>
        <w:tc>
          <w:tcPr>
            <w:tcW w:w="0" w:type="auto"/>
            <w:tcBorders>
              <w:top w:val="single" w:color="000000" w:sz="12" w:space="0"/>
            </w:tcBorders>
            <w:vAlign w:val="top"/>
          </w:tcPr>
          <w:p w14:paraId="1DA7503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{22697, 22698, 22699} 摄政茶杯三色系</w:t>
            </w:r>
          </w:p>
        </w:tc>
        <w:tc>
          <w:tcPr>
            <w:tcW w:w="0" w:type="auto"/>
            <w:tcBorders>
              <w:top w:val="single" w:color="000000" w:sz="12" w:space="0"/>
            </w:tcBorders>
            <w:vAlign w:val="top"/>
          </w:tcPr>
          <w:p w14:paraId="407FEB2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同系列不同花色 衰退期</w:t>
            </w:r>
          </w:p>
        </w:tc>
        <w:tc>
          <w:tcPr>
            <w:tcW w:w="0" w:type="auto"/>
            <w:tcBorders>
              <w:top w:val="single" w:color="000000" w:sz="12" w:space="0"/>
            </w:tcBorders>
            <w:vAlign w:val="top"/>
          </w:tcPr>
          <w:p w14:paraId="431827E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三现金牛</w:t>
            </w:r>
          </w:p>
        </w:tc>
        <w:tc>
          <w:tcPr>
            <w:tcW w:w="0" w:type="auto"/>
            <w:tcBorders>
              <w:top w:val="single" w:color="000000" w:sz="12" w:space="0"/>
            </w:tcBorders>
            <w:vAlign w:val="top"/>
          </w:tcPr>
          <w:p w14:paraId="720BAA1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极高 (Lift=17–22)</w:t>
            </w:r>
          </w:p>
        </w:tc>
        <w:tc>
          <w:tcPr>
            <w:tcW w:w="0" w:type="auto"/>
            <w:tcBorders>
              <w:top w:val="single" w:color="000000" w:sz="12" w:space="0"/>
            </w:tcBorders>
            <w:vAlign w:val="top"/>
          </w:tcPr>
          <w:p w14:paraId="788C196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7–7.5折套装清仓 强调"集齐全套"情感诉求 不再追加投入</w:t>
            </w:r>
          </w:p>
        </w:tc>
      </w:tr>
      <w:tr w14:paraId="51FFDD92">
        <w:tblPrEx>
          <w:tblCellMar>
            <w:top w:w="0" w:type="dxa"/>
            <w:left w:w="108" w:type="dxa"/>
            <w:bottom w:w="0" w:type="dxa"/>
            <w:right w:w="108" w:type="dxa"/>
          </w:tblCellMar>
        </w:tblPrEx>
        <w:tc>
          <w:tcPr>
            <w:tcW w:w="0" w:type="auto"/>
            <w:vAlign w:val="top"/>
          </w:tcPr>
          <w:p w14:paraId="09497E2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家庭采购捆绑型</w:t>
            </w:r>
          </w:p>
        </w:tc>
        <w:tc>
          <w:tcPr>
            <w:tcW w:w="0" w:type="auto"/>
            <w:vAlign w:val="top"/>
          </w:tcPr>
          <w:p w14:paraId="77F2D6B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{22629, 22630} 儿童午餐盒CP</w:t>
            </w:r>
          </w:p>
        </w:tc>
        <w:tc>
          <w:tcPr>
            <w:tcW w:w="0" w:type="auto"/>
            <w:vAlign w:val="top"/>
          </w:tcPr>
          <w:p w14:paraId="470DA38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性别对称主题 成熟期</w:t>
            </w:r>
          </w:p>
        </w:tc>
        <w:tc>
          <w:tcPr>
            <w:tcW w:w="0" w:type="auto"/>
            <w:vAlign w:val="top"/>
          </w:tcPr>
          <w:p w14:paraId="13329BB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双超高份额现金牛</w:t>
            </w:r>
          </w:p>
        </w:tc>
        <w:tc>
          <w:tcPr>
            <w:tcW w:w="0" w:type="auto"/>
            <w:vAlign w:val="top"/>
          </w:tcPr>
          <w:p w14:paraId="074C105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极高 (Lift=20.3)</w:t>
            </w:r>
          </w:p>
        </w:tc>
        <w:tc>
          <w:tcPr>
            <w:tcW w:w="0" w:type="auto"/>
            <w:vAlign w:val="top"/>
          </w:tcPr>
          <w:p w14:paraId="40A7185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10–15%折扣家庭装 批发商定向阶梯报价 库存同步预警</w:t>
            </w:r>
          </w:p>
        </w:tc>
      </w:tr>
      <w:tr w14:paraId="3FA5432F">
        <w:tblPrEx>
          <w:tblCellMar>
            <w:top w:w="0" w:type="dxa"/>
            <w:left w:w="108" w:type="dxa"/>
            <w:bottom w:w="0" w:type="dxa"/>
            <w:right w:w="108" w:type="dxa"/>
          </w:tblCellMar>
        </w:tblPrEx>
        <w:tc>
          <w:tcPr>
            <w:tcW w:w="0" w:type="auto"/>
            <w:vAlign w:val="top"/>
          </w:tcPr>
          <w:p w14:paraId="7F432DA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明星增长拉动型</w:t>
            </w:r>
          </w:p>
        </w:tc>
        <w:tc>
          <w:tcPr>
            <w:tcW w:w="0" w:type="auto"/>
            <w:vAlign w:val="top"/>
          </w:tcPr>
          <w:p w14:paraId="5C5E42D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{23300, 23301} 园艺跪垫双图案</w:t>
            </w:r>
          </w:p>
        </w:tc>
        <w:tc>
          <w:tcPr>
            <w:tcW w:w="0" w:type="auto"/>
            <w:vAlign w:val="top"/>
          </w:tcPr>
          <w:p w14:paraId="3B31E49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IP/图案驱动 成长期</w:t>
            </w:r>
          </w:p>
        </w:tc>
        <w:tc>
          <w:tcPr>
            <w:tcW w:w="0" w:type="auto"/>
            <w:vAlign w:val="top"/>
          </w:tcPr>
          <w:p w14:paraId="330771D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双真明星 (+110%爆发)</w:t>
            </w:r>
          </w:p>
        </w:tc>
        <w:tc>
          <w:tcPr>
            <w:tcW w:w="0" w:type="auto"/>
            <w:vAlign w:val="top"/>
          </w:tcPr>
          <w:p w14:paraId="1962EED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中高 (Lift=15.1)</w:t>
            </w:r>
          </w:p>
        </w:tc>
        <w:tc>
          <w:tcPr>
            <w:tcW w:w="0" w:type="auto"/>
            <w:vAlign w:val="top"/>
          </w:tcPr>
          <w:p w14:paraId="0AD99E2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流量资源最高优先级 加购推荐而非深折 紧急归因分析</w:t>
            </w:r>
          </w:p>
        </w:tc>
      </w:tr>
      <w:tr w14:paraId="12DBE912">
        <w:tblPrEx>
          <w:tblCellMar>
            <w:top w:w="0" w:type="dxa"/>
            <w:left w:w="108" w:type="dxa"/>
            <w:bottom w:w="0" w:type="dxa"/>
            <w:right w:w="108" w:type="dxa"/>
          </w:tblCellMar>
        </w:tblPrEx>
        <w:tc>
          <w:tcPr>
            <w:tcW w:w="0" w:type="auto"/>
            <w:tcBorders>
              <w:bottom w:val="single" w:color="000000" w:sz="18" w:space="0"/>
            </w:tcBorders>
            <w:vAlign w:val="top"/>
          </w:tcPr>
          <w:p w14:paraId="2A34AD2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颜值梯队协同型</w:t>
            </w:r>
          </w:p>
        </w:tc>
        <w:tc>
          <w:tcPr>
            <w:tcW w:w="0" w:type="auto"/>
            <w:tcBorders>
              <w:bottom w:val="single" w:color="000000" w:sz="18" w:space="0"/>
            </w:tcBorders>
            <w:vAlign w:val="top"/>
          </w:tcPr>
          <w:p w14:paraId="169B473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{22726, 22727, 22728} 复古闹钟三色</w:t>
            </w:r>
          </w:p>
        </w:tc>
        <w:tc>
          <w:tcPr>
            <w:tcW w:w="0" w:type="auto"/>
            <w:tcBorders>
              <w:bottom w:val="single" w:color="000000" w:sz="18" w:space="0"/>
            </w:tcBorders>
            <w:vAlign w:val="top"/>
          </w:tcPr>
          <w:p w14:paraId="2F62A60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颜色梯度 成长期</w:t>
            </w:r>
          </w:p>
        </w:tc>
        <w:tc>
          <w:tcPr>
            <w:tcW w:w="0" w:type="auto"/>
            <w:tcBorders>
              <w:bottom w:val="single" w:color="000000" w:sz="18" w:space="0"/>
            </w:tcBorders>
            <w:vAlign w:val="top"/>
          </w:tcPr>
          <w:p w14:paraId="28F8706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全明星 (32–48%增长)</w:t>
            </w:r>
          </w:p>
        </w:tc>
        <w:tc>
          <w:tcPr>
            <w:tcW w:w="0" w:type="auto"/>
            <w:tcBorders>
              <w:bottom w:val="single" w:color="000000" w:sz="18" w:space="0"/>
            </w:tcBorders>
            <w:vAlign w:val="top"/>
          </w:tcPr>
          <w:p w14:paraId="4AB70D3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中高 (Lift=13–14)</w:t>
            </w:r>
          </w:p>
        </w:tc>
        <w:tc>
          <w:tcPr>
            <w:tcW w:w="0" w:type="auto"/>
            <w:tcBorders>
              <w:bottom w:val="single" w:color="000000" w:sz="18" w:space="0"/>
            </w:tcBorders>
            <w:vAlign w:val="top"/>
          </w:tcPr>
          <w:p w14:paraId="123B107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以红色为锚点1+N推荐 视觉社交营销 统一主题投放</w:t>
            </w:r>
          </w:p>
        </w:tc>
      </w:tr>
    </w:tbl>
    <w:p w14:paraId="1B46632E">
      <w:pPr>
        <w:pStyle w:val="3"/>
      </w:pPr>
      <w:r>
        <w:rPr>
          <w:rFonts w:hint="eastAsia"/>
        </w:rPr>
        <w:t>关键发现：</w:t>
      </w:r>
    </w:p>
    <w:p w14:paraId="296C904C">
      <w:pPr>
        <w:pStyle w:val="3"/>
      </w:pPr>
      <w:r>
        <w:rPr>
          <w:b/>
          <w:bCs/>
        </w:rPr>
        <w:t xml:space="preserve">Top </w:t>
      </w:r>
      <w:r>
        <w:rPr>
          <w:rFonts w:hint="eastAsia"/>
          <w:b/>
          <w:bCs/>
        </w:rPr>
        <w:t>20关联规则中未出现"瘦狗（Dog）"商品</w:t>
      </w:r>
      <w:r>
        <w:rPr>
          <w:rFonts w:hint="eastAsia"/>
        </w:rPr>
        <w:t>，这是一个积极信号——说明强关联规则主要集中在有商业价值的商品上，而非长尾滞销品的偶然共现。</w:t>
      </w:r>
    </w:p>
    <w:p w14:paraId="5BFC33D7">
      <w:pPr>
        <w:pStyle w:val="3"/>
      </w:pPr>
      <w:r>
        <w:rPr>
          <w:rFonts w:hint="eastAsia"/>
          <w:b/>
          <w:bCs/>
        </w:rPr>
        <w:t>"伪明星"现象警示：</w:t>
      </w:r>
      <w:r>
        <w:t xml:space="preserve"> </w:t>
      </w:r>
      <w:r>
        <w:rPr>
          <w:rFonts w:hint="eastAsia"/>
        </w:rPr>
        <w:t>22698（粉色茶杯）被BCG算法标记为Star，但实际增长率为-22.9%。这提示我们：BCG矩阵中的"Star"定义（相对份额&gt;中位数且增长率&gt;中位数）可能过于机械，需结合绝对增长率和业务直觉综合判断。</w:t>
      </w:r>
    </w:p>
    <w:p w14:paraId="4354FFA5">
      <w:pPr>
        <w:pStyle w:val="3"/>
      </w:pPr>
      <w:r>
        <w:rPr>
          <w:rFonts w:hint="eastAsia"/>
          <w:b/>
          <w:bCs/>
        </w:rPr>
        <w:t>颜色/系列驱动的关联是主流模式：</w:t>
      </w:r>
      <w:r>
        <w:t xml:space="preserve"> Top </w:t>
      </w:r>
      <w:r>
        <w:rPr>
          <w:rFonts w:hint="eastAsia"/>
        </w:rPr>
        <w:t>20规则中，有四组（茶杯三色系、午餐盒CP、闹钟三色）都是同一系列内不同款式/颜色的强关联。这说明：</w:t>
      </w:r>
      <w:r>
        <w:rPr>
          <w:rFonts w:hint="eastAsia"/>
          <w:b/>
          <w:bCs/>
        </w:rPr>
        <w:t>该平台的客户具有强烈的"系列收集"和"配套购买"倾向</w:t>
      </w:r>
      <w:r>
        <w:rPr>
          <w:rFonts w:hint="eastAsia"/>
        </w:rPr>
        <w:t>，未来新品开发可优先考虑"系列化"策略（如一个SKU推出3–5个颜色/图案），以天然激发关联购买。</w:t>
      </w:r>
    </w:p>
    <w:p w14:paraId="2B4D0293">
      <w:pPr>
        <w:pStyle w:val="3"/>
      </w:pPr>
      <w:r>
        <w:rPr>
          <w:rFonts w:hint="eastAsia"/>
          <w:b/>
          <w:bCs/>
        </w:rPr>
        <w:t>B2B批发属性的隐性体现：</w:t>
      </w:r>
      <w:r>
        <w:t xml:space="preserve"> </w:t>
      </w:r>
      <w:r>
        <w:rPr>
          <w:rFonts w:hint="eastAsia"/>
        </w:rPr>
        <w:t>儿童午餐盒CP的高份额、高关联、双向对称特征，强烈暗示了批发商/机构采购的存在。这与项目背景中"公司主营全场合礼品，客户以批发商为主（B2B属性）"的定位高度吻合。后续可将购买该组合的客户与RFM分层交叉，验证是否集中在"重要价值客户"（高F高M）群体。</w:t>
      </w:r>
    </w:p>
    <w:bookmarkEnd w:id="68"/>
    <w:bookmarkEnd w:id="70"/>
    <w:p w14:paraId="5AFC923D">
      <w:pPr>
        <w:pStyle w:val="4"/>
      </w:pPr>
      <w:bookmarkStart w:id="71" w:name="_Toc143"/>
      <w:bookmarkStart w:id="72" w:name="Xd40a1b189e5d2c99ba357de60c1831dc5bbf281"/>
      <w:r>
        <w:t xml:space="preserve">4.2 </w:t>
      </w:r>
      <w:r>
        <w:rPr>
          <w:rFonts w:hint="eastAsia"/>
        </w:rPr>
        <w:t>RFM分层与关联规则的交叉验证：以23301高增长原因为例</w:t>
      </w:r>
      <w:bookmarkEnd w:id="71"/>
    </w:p>
    <w:p w14:paraId="6F2825DD">
      <w:pPr>
        <w:pStyle w:val="5"/>
      </w:pPr>
      <w:bookmarkStart w:id="73" w:name="Xb9c30f36f28b8c7378e617fd6c6b4aa4aed6250"/>
      <w:r>
        <w:t xml:space="preserve">4.2.1 </w:t>
      </w:r>
      <w:r>
        <w:rPr>
          <w:rFonts w:hint="eastAsia"/>
        </w:rPr>
        <w:t>分析背景与数据准备</w:t>
      </w:r>
    </w:p>
    <w:p w14:paraId="6696AFE0">
      <w:pPr>
        <w:pStyle w:val="28"/>
      </w:pPr>
      <w:r>
        <w:rPr>
          <w:rFonts w:hint="eastAsia"/>
        </w:rPr>
        <w:t>在4.1节中，我们发现商品</w:t>
      </w:r>
      <w:r>
        <w:rPr>
          <w:rFonts w:hint="eastAsia"/>
          <w:b/>
          <w:bCs/>
        </w:rPr>
        <w:t>23301（GARDENERS</w:t>
      </w:r>
      <w:r>
        <w:rPr>
          <w:b/>
          <w:bCs/>
        </w:rPr>
        <w:t xml:space="preserve"> KNEELING PAD KEEP </w:t>
      </w:r>
      <w:r>
        <w:rPr>
          <w:rFonts w:hint="eastAsia"/>
          <w:b/>
          <w:bCs/>
        </w:rPr>
        <w:t>CALM）</w:t>
      </w:r>
      <w:r>
        <w:rPr>
          <w:rFonts w:hint="eastAsia"/>
        </w:rPr>
        <w:t>呈现爆发式增长（H2销量5,232件是H1的2.1倍，增长率+110.1%），并与23300（茶杯图案款）形成强关联（提升度15.13）。这里暗藏了一个关键问题：</w:t>
      </w:r>
      <w:r>
        <w:rPr>
          <w:rFonts w:hint="eastAsia"/>
          <w:b/>
          <w:bCs/>
        </w:rPr>
        <w:t>这一增长是由新客户涌入驱动（拉新能力强），还是由老客户复购驱动（粘性强）？</w:t>
      </w:r>
    </w:p>
    <w:bookmarkEnd w:id="73"/>
    <w:p w14:paraId="662AF483">
      <w:pPr>
        <w:pStyle w:val="5"/>
      </w:pPr>
      <w:bookmarkStart w:id="74" w:name="Xba4c8fdbd605f64a6b59c55f7001a20504c7dcd"/>
      <w:r>
        <w:t xml:space="preserve">4.2.2 </w:t>
      </w:r>
      <w:r>
        <w:rPr>
          <w:rFonts w:hint="eastAsia"/>
        </w:rPr>
        <w:t>购买23301客户的RFM分布特征</w:t>
      </w:r>
    </w:p>
    <w:p w14:paraId="48560120">
      <w:pPr>
        <w:pStyle w:val="28"/>
      </w:pPr>
      <w:r>
        <w:drawing>
          <wp:inline distT="0" distB="0" distL="114300" distR="114300">
            <wp:extent cx="4895850" cy="2936875"/>
            <wp:effectExtent l="0" t="0" r="0" b="15875"/>
            <wp:docPr id="8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title="fig:"/>
                    <pic:cNvPicPr>
                      <a:picLocks noChangeAspect="1" noChangeArrowheads="1"/>
                    </pic:cNvPicPr>
                  </pic:nvPicPr>
                  <pic:blipFill>
                    <a:blip r:embed="rId17"/>
                    <a:stretch>
                      <a:fillRect/>
                    </a:stretch>
                  </pic:blipFill>
                  <pic:spPr>
                    <a:xfrm>
                      <a:off x="0" y="0"/>
                      <a:ext cx="4895850" cy="2936875"/>
                    </a:xfrm>
                    <a:prstGeom prst="rect">
                      <a:avLst/>
                    </a:prstGeom>
                    <a:noFill/>
                    <a:ln w="9525">
                      <a:noFill/>
                    </a:ln>
                  </pic:spPr>
                </pic:pic>
              </a:graphicData>
            </a:graphic>
          </wp:inline>
        </w:drawing>
      </w:r>
    </w:p>
    <w:p w14:paraId="14ED559C">
      <w:pPr>
        <w:pStyle w:val="12"/>
        <w:rPr>
          <w:rFonts w:hint="eastAsia" w:eastAsia="宋体"/>
          <w:lang w:val="en-US" w:eastAsia="zh-CN"/>
        </w:rPr>
      </w:pPr>
      <w:bookmarkStart w:id="75" w:name="_Ref27104"/>
      <w:r>
        <w:t xml:space="preserve">图 </w:t>
      </w:r>
      <w:r>
        <w:fldChar w:fldCharType="begin"/>
      </w:r>
      <w:r>
        <w:instrText xml:space="preserve"> SEQ 图 \* ARABIC </w:instrText>
      </w:r>
      <w:r>
        <w:fldChar w:fldCharType="separate"/>
      </w:r>
      <w:r>
        <w:t>11</w:t>
      </w:r>
      <w:r>
        <w:fldChar w:fldCharType="end"/>
      </w:r>
      <w:r>
        <w:rPr>
          <w:rFonts w:hint="eastAsia"/>
          <w:lang w:val="en-US" w:eastAsia="zh-CN"/>
        </w:rPr>
        <w:t xml:space="preserve"> RFM Customer Tiering Results (StockCode 23301)</w:t>
      </w:r>
      <w:bookmarkEnd w:id="75"/>
    </w:p>
    <w:p w14:paraId="727B150A">
      <w:pPr>
        <w:pStyle w:val="3"/>
      </w:pPr>
      <w:r>
        <w:rPr>
          <w:rFonts w:hint="eastAsia"/>
        </w:rPr>
        <w:t>从</w:t>
      </w:r>
      <w:r>
        <w:rPr>
          <w:rFonts w:hint="eastAsia"/>
        </w:rPr>
        <w:fldChar w:fldCharType="begin"/>
      </w:r>
      <w:r>
        <w:rPr>
          <w:rFonts w:hint="eastAsia"/>
        </w:rPr>
        <w:instrText xml:space="preserve"> REF _Ref27104 \h </w:instrText>
      </w:r>
      <w:r>
        <w:rPr>
          <w:rFonts w:hint="eastAsia"/>
        </w:rPr>
        <w:fldChar w:fldCharType="separate"/>
      </w:r>
      <w:r>
        <w:t>图 11</w:t>
      </w:r>
      <w:r>
        <w:rPr>
          <w:rFonts w:hint="eastAsia"/>
          <w:lang w:val="en-US" w:eastAsia="zh-CN"/>
        </w:rPr>
        <w:t xml:space="preserve"> RFM Customer Tiering Results (StockCode 23301)</w:t>
      </w:r>
      <w:r>
        <w:rPr>
          <w:rFonts w:hint="eastAsia"/>
        </w:rPr>
        <w:fldChar w:fldCharType="end"/>
      </w:r>
      <w:r>
        <w:rPr>
          <w:rFonts w:hint="eastAsia"/>
        </w:rPr>
        <w:t>可见，405位购买23301的客户在各RFM类型中的分布如下：</w:t>
      </w:r>
    </w:p>
    <w:p w14:paraId="5B0AC530">
      <w:pPr>
        <w:pStyle w:val="12"/>
        <w:rPr>
          <w:rFonts w:hint="default" w:eastAsia="宋体"/>
          <w:lang w:val="en-US" w:eastAsia="zh-CN"/>
        </w:rPr>
      </w:pPr>
      <w:r>
        <w:t xml:space="preserve">表 </w:t>
      </w:r>
      <w:r>
        <w:fldChar w:fldCharType="begin"/>
      </w:r>
      <w:r>
        <w:instrText xml:space="preserve"> SEQ 表 \* ARABIC </w:instrText>
      </w:r>
      <w:r>
        <w:fldChar w:fldCharType="separate"/>
      </w:r>
      <w:r>
        <w:t>14</w:t>
      </w:r>
      <w:r>
        <w:fldChar w:fldCharType="end"/>
      </w:r>
      <w:r>
        <w:rPr>
          <w:rFonts w:hint="eastAsia"/>
          <w:lang w:val="en-US" w:eastAsia="zh-CN"/>
        </w:rPr>
        <w:t xml:space="preserve"> 购买23301的客户类型表</w:t>
      </w:r>
    </w:p>
    <w:tbl>
      <w:tblPr>
        <w:tblStyle w:val="46"/>
        <w:tblW w:w="0" w:type="auto"/>
        <w:tblInd w:w="0" w:type="dxa"/>
        <w:tblLayout w:type="autofit"/>
        <w:tblCellMar>
          <w:top w:w="0" w:type="dxa"/>
          <w:left w:w="108" w:type="dxa"/>
          <w:bottom w:w="0" w:type="dxa"/>
          <w:right w:w="108" w:type="dxa"/>
        </w:tblCellMar>
      </w:tblPr>
      <w:tblGrid>
        <w:gridCol w:w="3937"/>
        <w:gridCol w:w="796"/>
        <w:gridCol w:w="864"/>
        <w:gridCol w:w="1731"/>
        <w:gridCol w:w="1528"/>
      </w:tblGrid>
      <w:tr w14:paraId="268BCACA">
        <w:tblPrEx>
          <w:tblCellMar>
            <w:top w:w="0" w:type="dxa"/>
            <w:left w:w="108" w:type="dxa"/>
            <w:bottom w:w="0" w:type="dxa"/>
            <w:right w:w="108" w:type="dxa"/>
          </w:tblCellMar>
        </w:tblPrEx>
        <w:trPr>
          <w:tblHeader/>
        </w:trPr>
        <w:tc>
          <w:tcPr>
            <w:tcW w:w="0" w:type="auto"/>
            <w:tcBorders>
              <w:top w:val="single" w:color="000000" w:sz="18" w:space="0"/>
              <w:bottom w:val="single" w:color="000000" w:sz="12" w:space="0"/>
            </w:tcBorders>
            <w:vAlign w:val="center"/>
          </w:tcPr>
          <w:p w14:paraId="14133EE0">
            <w:pPr>
              <w:keepNext w:val="0"/>
              <w:keepLines w:val="0"/>
              <w:pageBreakBefore w:val="0"/>
              <w:widowControl/>
              <w:suppressLineNumbers w:val="0"/>
              <w:tabs>
                <w:tab w:val="left" w:pos="480"/>
              </w:tabs>
              <w:kinsoku/>
              <w:wordWrap/>
              <w:overflowPunct/>
              <w:topLinePunct w:val="0"/>
              <w:autoSpaceDE/>
              <w:autoSpaceDN/>
              <w:bidi w:val="0"/>
              <w:adjustRightInd/>
              <w:snapToGrid/>
              <w:ind w:firstLine="0" w:firstLineChars="0"/>
              <w:jc w:val="center"/>
              <w:rPr>
                <w:sz w:val="21"/>
                <w:szCs w:val="21"/>
              </w:rPr>
            </w:pPr>
            <w:r>
              <w:rPr>
                <w:rFonts w:hint="default" w:ascii="Times New Roman" w:hAnsi="Times New Roman" w:eastAsia="Times New Roman" w:cs="Times New Roman"/>
                <w:b/>
                <w:bCs/>
                <w:i w:val="0"/>
                <w:iCs w:val="0"/>
                <w:caps/>
                <w:color w:val="000000" w:themeColor="text1"/>
                <w:spacing w:val="0"/>
                <w:kern w:val="0"/>
                <w:sz w:val="21"/>
                <w:szCs w:val="21"/>
                <w:lang w:val="en-US" w:eastAsia="zh-CN" w:bidi="ar"/>
              </w:rPr>
              <w:t>RFM类型</w:t>
            </w:r>
          </w:p>
        </w:tc>
        <w:tc>
          <w:tcPr>
            <w:tcW w:w="0" w:type="auto"/>
            <w:tcBorders>
              <w:top w:val="single" w:color="000000" w:sz="18" w:space="0"/>
              <w:bottom w:val="single" w:color="000000" w:sz="12" w:space="0"/>
            </w:tcBorders>
            <w:vAlign w:val="center"/>
          </w:tcPr>
          <w:p w14:paraId="34BF99DB">
            <w:pPr>
              <w:keepNext w:val="0"/>
              <w:keepLines w:val="0"/>
              <w:pageBreakBefore w:val="0"/>
              <w:widowControl/>
              <w:suppressLineNumbers w:val="0"/>
              <w:tabs>
                <w:tab w:val="left" w:pos="480"/>
              </w:tabs>
              <w:kinsoku/>
              <w:wordWrap/>
              <w:overflowPunct/>
              <w:topLinePunct w:val="0"/>
              <w:autoSpaceDE/>
              <w:autoSpaceDN/>
              <w:bidi w:val="0"/>
              <w:adjustRightInd/>
              <w:snapToGrid/>
              <w:ind w:firstLine="0" w:firstLineChars="0"/>
              <w:jc w:val="center"/>
              <w:rPr>
                <w:rFonts w:hint="eastAsia"/>
                <w:sz w:val="21"/>
                <w:szCs w:val="21"/>
              </w:rPr>
            </w:pPr>
            <w:r>
              <w:rPr>
                <w:rFonts w:hint="default" w:ascii="Times New Roman" w:hAnsi="Times New Roman" w:eastAsia="Times New Roman" w:cs="Times New Roman"/>
                <w:b/>
                <w:bCs/>
                <w:i w:val="0"/>
                <w:iCs w:val="0"/>
                <w:caps/>
                <w:color w:val="000000" w:themeColor="text1"/>
                <w:spacing w:val="0"/>
                <w:kern w:val="0"/>
                <w:sz w:val="21"/>
                <w:szCs w:val="21"/>
                <w:lang w:val="en-US" w:eastAsia="zh-CN" w:bidi="ar"/>
              </w:rPr>
              <w:t>客户数</w:t>
            </w:r>
          </w:p>
        </w:tc>
        <w:tc>
          <w:tcPr>
            <w:tcW w:w="0" w:type="auto"/>
            <w:tcBorders>
              <w:top w:val="single" w:color="000000" w:sz="18" w:space="0"/>
              <w:bottom w:val="single" w:color="000000" w:sz="12" w:space="0"/>
            </w:tcBorders>
            <w:vAlign w:val="center"/>
          </w:tcPr>
          <w:p w14:paraId="0EF10B74">
            <w:pPr>
              <w:keepNext w:val="0"/>
              <w:keepLines w:val="0"/>
              <w:pageBreakBefore w:val="0"/>
              <w:widowControl/>
              <w:suppressLineNumbers w:val="0"/>
              <w:tabs>
                <w:tab w:val="left" w:pos="480"/>
              </w:tabs>
              <w:kinsoku/>
              <w:wordWrap/>
              <w:overflowPunct/>
              <w:topLinePunct w:val="0"/>
              <w:autoSpaceDE/>
              <w:autoSpaceDN/>
              <w:bidi w:val="0"/>
              <w:adjustRightInd/>
              <w:snapToGrid/>
              <w:ind w:firstLine="0" w:firstLineChars="0"/>
              <w:jc w:val="center"/>
              <w:rPr>
                <w:rFonts w:hint="eastAsia"/>
                <w:sz w:val="21"/>
                <w:szCs w:val="21"/>
              </w:rPr>
            </w:pPr>
            <w:r>
              <w:rPr>
                <w:rFonts w:hint="default" w:ascii="Times New Roman" w:hAnsi="Times New Roman" w:eastAsia="Times New Roman" w:cs="Times New Roman"/>
                <w:b/>
                <w:bCs/>
                <w:i w:val="0"/>
                <w:iCs w:val="0"/>
                <w:caps/>
                <w:color w:val="000000" w:themeColor="text1"/>
                <w:spacing w:val="0"/>
                <w:kern w:val="0"/>
                <w:sz w:val="21"/>
                <w:szCs w:val="21"/>
                <w:lang w:val="en-US" w:eastAsia="zh-CN" w:bidi="ar"/>
              </w:rPr>
              <w:t>占比</w:t>
            </w:r>
          </w:p>
        </w:tc>
        <w:tc>
          <w:tcPr>
            <w:tcW w:w="0" w:type="auto"/>
            <w:tcBorders>
              <w:top w:val="single" w:color="000000" w:sz="18" w:space="0"/>
              <w:bottom w:val="single" w:color="000000" w:sz="12" w:space="0"/>
            </w:tcBorders>
            <w:vAlign w:val="center"/>
          </w:tcPr>
          <w:p w14:paraId="2B535FE0">
            <w:pPr>
              <w:keepNext w:val="0"/>
              <w:keepLines w:val="0"/>
              <w:pageBreakBefore w:val="0"/>
              <w:widowControl/>
              <w:suppressLineNumbers w:val="0"/>
              <w:tabs>
                <w:tab w:val="left" w:pos="480"/>
              </w:tabs>
              <w:kinsoku/>
              <w:wordWrap/>
              <w:overflowPunct/>
              <w:topLinePunct w:val="0"/>
              <w:autoSpaceDE/>
              <w:autoSpaceDN/>
              <w:bidi w:val="0"/>
              <w:adjustRightInd/>
              <w:snapToGrid/>
              <w:ind w:firstLine="0" w:firstLineChars="0"/>
              <w:jc w:val="center"/>
              <w:rPr>
                <w:rFonts w:hint="eastAsia"/>
                <w:sz w:val="21"/>
                <w:szCs w:val="21"/>
              </w:rPr>
            </w:pPr>
            <w:r>
              <w:rPr>
                <w:rFonts w:hint="default" w:ascii="Times New Roman" w:hAnsi="Times New Roman" w:eastAsia="Times New Roman" w:cs="Times New Roman"/>
                <w:b/>
                <w:bCs/>
                <w:i w:val="0"/>
                <w:iCs w:val="0"/>
                <w:caps/>
                <w:color w:val="000000" w:themeColor="text1"/>
                <w:spacing w:val="0"/>
                <w:kern w:val="0"/>
                <w:sz w:val="21"/>
                <w:szCs w:val="21"/>
                <w:lang w:val="en-US" w:eastAsia="zh-CN" w:bidi="ar"/>
              </w:rPr>
              <w:t>全局占比（对照）</w:t>
            </w:r>
          </w:p>
        </w:tc>
        <w:tc>
          <w:tcPr>
            <w:tcW w:w="0" w:type="auto"/>
            <w:tcBorders>
              <w:top w:val="single" w:color="000000" w:sz="18" w:space="0"/>
              <w:bottom w:val="single" w:color="000000" w:sz="12" w:space="0"/>
            </w:tcBorders>
            <w:vAlign w:val="center"/>
          </w:tcPr>
          <w:p w14:paraId="0AE9D93E">
            <w:pPr>
              <w:keepNext w:val="0"/>
              <w:keepLines w:val="0"/>
              <w:pageBreakBefore w:val="0"/>
              <w:widowControl/>
              <w:suppressLineNumbers w:val="0"/>
              <w:tabs>
                <w:tab w:val="left" w:pos="480"/>
              </w:tabs>
              <w:kinsoku/>
              <w:wordWrap/>
              <w:overflowPunct/>
              <w:topLinePunct w:val="0"/>
              <w:autoSpaceDE/>
              <w:autoSpaceDN/>
              <w:bidi w:val="0"/>
              <w:adjustRightInd/>
              <w:snapToGrid/>
              <w:ind w:firstLine="0" w:firstLineChars="0"/>
              <w:jc w:val="center"/>
              <w:rPr>
                <w:rFonts w:hint="eastAsia"/>
                <w:sz w:val="21"/>
                <w:szCs w:val="21"/>
              </w:rPr>
            </w:pPr>
            <w:r>
              <w:rPr>
                <w:rFonts w:hint="default" w:ascii="Times New Roman" w:hAnsi="Times New Roman" w:eastAsia="Times New Roman" w:cs="Times New Roman"/>
                <w:b/>
                <w:bCs/>
                <w:i w:val="0"/>
                <w:iCs w:val="0"/>
                <w:caps/>
                <w:color w:val="000000" w:themeColor="text1"/>
                <w:spacing w:val="0"/>
                <w:kern w:val="0"/>
                <w:sz w:val="21"/>
                <w:szCs w:val="21"/>
                <w:lang w:val="en-US" w:eastAsia="zh-CN" w:bidi="ar"/>
              </w:rPr>
              <w:t>差异（百分点）</w:t>
            </w:r>
          </w:p>
        </w:tc>
      </w:tr>
      <w:tr w14:paraId="2D4666AC">
        <w:tblPrEx>
          <w:tblCellMar>
            <w:top w:w="0" w:type="dxa"/>
            <w:left w:w="108" w:type="dxa"/>
            <w:bottom w:w="0" w:type="dxa"/>
            <w:right w:w="108" w:type="dxa"/>
          </w:tblCellMar>
        </w:tblPrEx>
        <w:tc>
          <w:tcPr>
            <w:tcW w:w="0" w:type="auto"/>
            <w:tcBorders>
              <w:top w:val="single" w:color="000000" w:sz="12" w:space="0"/>
            </w:tcBorders>
            <w:vAlign w:val="center"/>
          </w:tcPr>
          <w:p w14:paraId="4521DE62">
            <w:pPr>
              <w:keepNext w:val="0"/>
              <w:keepLines w:val="0"/>
              <w:pageBreakBefore w:val="0"/>
              <w:widowControl/>
              <w:suppressLineNumbers w:val="0"/>
              <w:tabs>
                <w:tab w:val="left" w:pos="480"/>
              </w:tabs>
              <w:kinsoku/>
              <w:wordWrap/>
              <w:overflowPunct/>
              <w:topLinePunct w:val="0"/>
              <w:autoSpaceDE/>
              <w:autoSpaceDN/>
              <w:bidi w:val="0"/>
              <w:adjustRightInd/>
              <w:snapToGrid/>
              <w:ind w:firstLine="0" w:firstLineChars="0"/>
              <w:jc w:val="center"/>
              <w:textAlignment w:val="top"/>
              <w:rPr>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Regular Customers（常规客户）</w:t>
            </w:r>
          </w:p>
        </w:tc>
        <w:tc>
          <w:tcPr>
            <w:tcW w:w="0" w:type="auto"/>
            <w:tcBorders>
              <w:top w:val="single" w:color="000000" w:sz="12" w:space="0"/>
            </w:tcBorders>
            <w:vAlign w:val="center"/>
          </w:tcPr>
          <w:p w14:paraId="7C99EF1F">
            <w:pPr>
              <w:keepNext w:val="0"/>
              <w:keepLines w:val="0"/>
              <w:pageBreakBefore w:val="0"/>
              <w:widowControl/>
              <w:suppressLineNumbers w:val="0"/>
              <w:tabs>
                <w:tab w:val="left" w:pos="480"/>
              </w:tabs>
              <w:kinsoku/>
              <w:wordWrap/>
              <w:overflowPunct/>
              <w:topLinePunct w:val="0"/>
              <w:autoSpaceDE/>
              <w:autoSpaceDN/>
              <w:bidi w:val="0"/>
              <w:adjustRightInd/>
              <w:snapToGrid/>
              <w:ind w:firstLine="0" w:firstLineChars="0"/>
              <w:jc w:val="center"/>
              <w:textAlignment w:val="top"/>
              <w:rPr>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164</w:t>
            </w:r>
          </w:p>
        </w:tc>
        <w:tc>
          <w:tcPr>
            <w:tcW w:w="0" w:type="auto"/>
            <w:tcBorders>
              <w:top w:val="single" w:color="000000" w:sz="12" w:space="0"/>
            </w:tcBorders>
            <w:vAlign w:val="center"/>
          </w:tcPr>
          <w:p w14:paraId="39227A17">
            <w:pPr>
              <w:keepNext w:val="0"/>
              <w:keepLines w:val="0"/>
              <w:pageBreakBefore w:val="0"/>
              <w:widowControl/>
              <w:suppressLineNumbers w:val="0"/>
              <w:tabs>
                <w:tab w:val="left" w:pos="480"/>
              </w:tabs>
              <w:kinsoku/>
              <w:wordWrap/>
              <w:overflowPunct/>
              <w:topLinePunct w:val="0"/>
              <w:autoSpaceDE/>
              <w:autoSpaceDN/>
              <w:bidi w:val="0"/>
              <w:adjustRightInd/>
              <w:snapToGrid/>
              <w:ind w:firstLine="0" w:firstLineChars="0"/>
              <w:jc w:val="center"/>
              <w:textAlignment w:val="top"/>
              <w:rPr>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40.49%</w:t>
            </w:r>
          </w:p>
        </w:tc>
        <w:tc>
          <w:tcPr>
            <w:tcW w:w="0" w:type="auto"/>
            <w:tcBorders>
              <w:top w:val="single" w:color="000000" w:sz="12" w:space="0"/>
            </w:tcBorders>
            <w:vAlign w:val="center"/>
          </w:tcPr>
          <w:p w14:paraId="1E8AEB5B">
            <w:pPr>
              <w:keepNext w:val="0"/>
              <w:keepLines w:val="0"/>
              <w:pageBreakBefore w:val="0"/>
              <w:widowControl/>
              <w:suppressLineNumbers w:val="0"/>
              <w:tabs>
                <w:tab w:val="left" w:pos="480"/>
              </w:tabs>
              <w:kinsoku/>
              <w:wordWrap/>
              <w:overflowPunct/>
              <w:topLinePunct w:val="0"/>
              <w:autoSpaceDE/>
              <w:autoSpaceDN/>
              <w:bidi w:val="0"/>
              <w:adjustRightInd/>
              <w:snapToGrid/>
              <w:ind w:firstLine="0" w:firstLineChars="0"/>
              <w:jc w:val="center"/>
              <w:textAlignment w:val="top"/>
              <w:rPr>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38.81%</w:t>
            </w:r>
          </w:p>
        </w:tc>
        <w:tc>
          <w:tcPr>
            <w:tcW w:w="0" w:type="auto"/>
            <w:tcBorders>
              <w:top w:val="single" w:color="000000" w:sz="12" w:space="0"/>
            </w:tcBorders>
            <w:vAlign w:val="center"/>
          </w:tcPr>
          <w:p w14:paraId="4FAC0578">
            <w:pPr>
              <w:keepNext w:val="0"/>
              <w:keepLines w:val="0"/>
              <w:pageBreakBefore w:val="0"/>
              <w:widowControl/>
              <w:suppressLineNumbers w:val="0"/>
              <w:tabs>
                <w:tab w:val="left" w:pos="480"/>
              </w:tabs>
              <w:kinsoku/>
              <w:wordWrap/>
              <w:overflowPunct/>
              <w:topLinePunct w:val="0"/>
              <w:autoSpaceDE/>
              <w:autoSpaceDN/>
              <w:bidi w:val="0"/>
              <w:adjustRightInd/>
              <w:snapToGrid/>
              <w:ind w:firstLine="0" w:firstLineChars="0"/>
              <w:jc w:val="center"/>
              <w:textAlignment w:val="top"/>
              <w:rPr>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+1.68</w:t>
            </w:r>
          </w:p>
        </w:tc>
      </w:tr>
      <w:tr w14:paraId="58D7AA86">
        <w:tblPrEx>
          <w:tblCellMar>
            <w:top w:w="0" w:type="dxa"/>
            <w:left w:w="108" w:type="dxa"/>
            <w:bottom w:w="0" w:type="dxa"/>
            <w:right w:w="108" w:type="dxa"/>
          </w:tblCellMar>
        </w:tblPrEx>
        <w:tc>
          <w:tcPr>
            <w:tcW w:w="0" w:type="auto"/>
            <w:vAlign w:val="center"/>
          </w:tcPr>
          <w:p w14:paraId="1B1984A5">
            <w:pPr>
              <w:keepNext w:val="0"/>
              <w:keepLines w:val="0"/>
              <w:pageBreakBefore w:val="0"/>
              <w:widowControl/>
              <w:suppressLineNumbers w:val="0"/>
              <w:tabs>
                <w:tab w:val="left" w:pos="480"/>
              </w:tabs>
              <w:kinsoku/>
              <w:wordWrap/>
              <w:overflowPunct/>
              <w:topLinePunct w:val="0"/>
              <w:autoSpaceDE/>
              <w:autoSpaceDN/>
              <w:bidi w:val="0"/>
              <w:adjustRightInd/>
              <w:snapToGrid/>
              <w:ind w:firstLine="0" w:firstLineChars="0"/>
              <w:jc w:val="center"/>
              <w:textAlignment w:val="top"/>
              <w:rPr>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Important at-risk customers（重要风险客户）</w:t>
            </w:r>
          </w:p>
        </w:tc>
        <w:tc>
          <w:tcPr>
            <w:tcW w:w="0" w:type="auto"/>
            <w:vAlign w:val="center"/>
          </w:tcPr>
          <w:p w14:paraId="32F3F13A">
            <w:pPr>
              <w:keepNext w:val="0"/>
              <w:keepLines w:val="0"/>
              <w:pageBreakBefore w:val="0"/>
              <w:widowControl/>
              <w:suppressLineNumbers w:val="0"/>
              <w:tabs>
                <w:tab w:val="left" w:pos="480"/>
              </w:tabs>
              <w:kinsoku/>
              <w:wordWrap/>
              <w:overflowPunct/>
              <w:topLinePunct w:val="0"/>
              <w:autoSpaceDE/>
              <w:autoSpaceDN/>
              <w:bidi w:val="0"/>
              <w:adjustRightInd/>
              <w:snapToGrid/>
              <w:ind w:firstLine="0" w:firstLineChars="0"/>
              <w:jc w:val="center"/>
              <w:textAlignment w:val="top"/>
              <w:rPr>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84</w:t>
            </w:r>
          </w:p>
        </w:tc>
        <w:tc>
          <w:tcPr>
            <w:tcW w:w="0" w:type="auto"/>
            <w:vAlign w:val="center"/>
          </w:tcPr>
          <w:p w14:paraId="6EB606D5">
            <w:pPr>
              <w:keepNext w:val="0"/>
              <w:keepLines w:val="0"/>
              <w:pageBreakBefore w:val="0"/>
              <w:widowControl/>
              <w:suppressLineNumbers w:val="0"/>
              <w:tabs>
                <w:tab w:val="left" w:pos="480"/>
              </w:tabs>
              <w:kinsoku/>
              <w:wordWrap/>
              <w:overflowPunct/>
              <w:topLinePunct w:val="0"/>
              <w:autoSpaceDE/>
              <w:autoSpaceDN/>
              <w:bidi w:val="0"/>
              <w:adjustRightInd/>
              <w:snapToGrid/>
              <w:ind w:firstLine="0" w:firstLineChars="0"/>
              <w:jc w:val="center"/>
              <w:textAlignment w:val="top"/>
              <w:rPr>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20.74%</w:t>
            </w:r>
          </w:p>
        </w:tc>
        <w:tc>
          <w:tcPr>
            <w:tcW w:w="0" w:type="auto"/>
            <w:vAlign w:val="center"/>
          </w:tcPr>
          <w:p w14:paraId="22F2696A">
            <w:pPr>
              <w:keepNext w:val="0"/>
              <w:keepLines w:val="0"/>
              <w:pageBreakBefore w:val="0"/>
              <w:widowControl/>
              <w:suppressLineNumbers w:val="0"/>
              <w:tabs>
                <w:tab w:val="left" w:pos="480"/>
              </w:tabs>
              <w:kinsoku/>
              <w:wordWrap/>
              <w:overflowPunct/>
              <w:topLinePunct w:val="0"/>
              <w:autoSpaceDE/>
              <w:autoSpaceDN/>
              <w:bidi w:val="0"/>
              <w:adjustRightInd/>
              <w:snapToGrid/>
              <w:ind w:firstLine="0" w:firstLineChars="0"/>
              <w:jc w:val="center"/>
              <w:textAlignment w:val="top"/>
              <w:rPr>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24.83%</w:t>
            </w:r>
          </w:p>
        </w:tc>
        <w:tc>
          <w:tcPr>
            <w:tcW w:w="0" w:type="auto"/>
            <w:vAlign w:val="center"/>
          </w:tcPr>
          <w:p w14:paraId="5BE5417F">
            <w:pPr>
              <w:keepNext w:val="0"/>
              <w:keepLines w:val="0"/>
              <w:pageBreakBefore w:val="0"/>
              <w:widowControl/>
              <w:suppressLineNumbers w:val="0"/>
              <w:tabs>
                <w:tab w:val="left" w:pos="480"/>
              </w:tabs>
              <w:kinsoku/>
              <w:wordWrap/>
              <w:overflowPunct/>
              <w:topLinePunct w:val="0"/>
              <w:autoSpaceDE/>
              <w:autoSpaceDN/>
              <w:bidi w:val="0"/>
              <w:adjustRightInd/>
              <w:snapToGrid/>
              <w:ind w:firstLine="0" w:firstLineChars="0"/>
              <w:jc w:val="center"/>
              <w:textAlignment w:val="top"/>
              <w:rPr>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-4.09</w:t>
            </w:r>
          </w:p>
        </w:tc>
      </w:tr>
      <w:tr w14:paraId="3E3C52E7">
        <w:tblPrEx>
          <w:tblCellMar>
            <w:top w:w="0" w:type="dxa"/>
            <w:left w:w="108" w:type="dxa"/>
            <w:bottom w:w="0" w:type="dxa"/>
            <w:right w:w="108" w:type="dxa"/>
          </w:tblCellMar>
        </w:tblPrEx>
        <w:tc>
          <w:tcPr>
            <w:tcW w:w="0" w:type="auto"/>
            <w:vAlign w:val="center"/>
          </w:tcPr>
          <w:p w14:paraId="663941CA">
            <w:pPr>
              <w:keepNext w:val="0"/>
              <w:keepLines w:val="0"/>
              <w:pageBreakBefore w:val="0"/>
              <w:widowControl/>
              <w:suppressLineNumbers w:val="0"/>
              <w:tabs>
                <w:tab w:val="left" w:pos="480"/>
              </w:tabs>
              <w:kinsoku/>
              <w:wordWrap/>
              <w:overflowPunct/>
              <w:topLinePunct w:val="0"/>
              <w:autoSpaceDE/>
              <w:autoSpaceDN/>
              <w:bidi w:val="0"/>
              <w:adjustRightInd/>
              <w:snapToGrid/>
              <w:ind w:firstLine="0" w:firstLineChars="0"/>
              <w:jc w:val="center"/>
              <w:textAlignment w:val="top"/>
              <w:rPr>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Important Value Customers（重要价值客户）</w:t>
            </w:r>
          </w:p>
        </w:tc>
        <w:tc>
          <w:tcPr>
            <w:tcW w:w="0" w:type="auto"/>
            <w:vAlign w:val="center"/>
          </w:tcPr>
          <w:p w14:paraId="65A443FC">
            <w:pPr>
              <w:keepNext w:val="0"/>
              <w:keepLines w:val="0"/>
              <w:pageBreakBefore w:val="0"/>
              <w:widowControl/>
              <w:suppressLineNumbers w:val="0"/>
              <w:tabs>
                <w:tab w:val="left" w:pos="480"/>
              </w:tabs>
              <w:kinsoku/>
              <w:wordWrap/>
              <w:overflowPunct/>
              <w:topLinePunct w:val="0"/>
              <w:autoSpaceDE/>
              <w:autoSpaceDN/>
              <w:bidi w:val="0"/>
              <w:adjustRightInd/>
              <w:snapToGrid/>
              <w:ind w:firstLine="0" w:firstLineChars="0"/>
              <w:jc w:val="center"/>
              <w:textAlignment w:val="top"/>
              <w:rPr>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62</w:t>
            </w:r>
          </w:p>
        </w:tc>
        <w:tc>
          <w:tcPr>
            <w:tcW w:w="0" w:type="auto"/>
            <w:vAlign w:val="center"/>
          </w:tcPr>
          <w:p w14:paraId="783D3397">
            <w:pPr>
              <w:keepNext w:val="0"/>
              <w:keepLines w:val="0"/>
              <w:pageBreakBefore w:val="0"/>
              <w:widowControl/>
              <w:suppressLineNumbers w:val="0"/>
              <w:tabs>
                <w:tab w:val="left" w:pos="480"/>
              </w:tabs>
              <w:kinsoku/>
              <w:wordWrap/>
              <w:overflowPunct/>
              <w:topLinePunct w:val="0"/>
              <w:autoSpaceDE/>
              <w:autoSpaceDN/>
              <w:bidi w:val="0"/>
              <w:adjustRightInd/>
              <w:snapToGrid/>
              <w:ind w:firstLine="0" w:firstLineChars="0"/>
              <w:jc w:val="center"/>
              <w:textAlignment w:val="top"/>
              <w:rPr>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15.31%</w:t>
            </w:r>
          </w:p>
        </w:tc>
        <w:tc>
          <w:tcPr>
            <w:tcW w:w="0" w:type="auto"/>
            <w:vAlign w:val="center"/>
          </w:tcPr>
          <w:p w14:paraId="635C9D51">
            <w:pPr>
              <w:keepNext w:val="0"/>
              <w:keepLines w:val="0"/>
              <w:pageBreakBefore w:val="0"/>
              <w:widowControl/>
              <w:suppressLineNumbers w:val="0"/>
              <w:tabs>
                <w:tab w:val="left" w:pos="480"/>
              </w:tabs>
              <w:kinsoku/>
              <w:wordWrap/>
              <w:overflowPunct/>
              <w:topLinePunct w:val="0"/>
              <w:autoSpaceDE/>
              <w:autoSpaceDN/>
              <w:bidi w:val="0"/>
              <w:adjustRightInd/>
              <w:snapToGrid/>
              <w:ind w:firstLine="0" w:firstLineChars="0"/>
              <w:jc w:val="center"/>
              <w:textAlignment w:val="top"/>
              <w:rPr>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21.87%</w:t>
            </w:r>
          </w:p>
        </w:tc>
        <w:tc>
          <w:tcPr>
            <w:tcW w:w="0" w:type="auto"/>
            <w:vAlign w:val="center"/>
          </w:tcPr>
          <w:p w14:paraId="61C41CC4">
            <w:pPr>
              <w:keepNext w:val="0"/>
              <w:keepLines w:val="0"/>
              <w:pageBreakBefore w:val="0"/>
              <w:widowControl/>
              <w:suppressLineNumbers w:val="0"/>
              <w:tabs>
                <w:tab w:val="left" w:pos="480"/>
              </w:tabs>
              <w:kinsoku/>
              <w:wordWrap/>
              <w:overflowPunct/>
              <w:topLinePunct w:val="0"/>
              <w:autoSpaceDE/>
              <w:autoSpaceDN/>
              <w:bidi w:val="0"/>
              <w:adjustRightInd/>
              <w:snapToGrid/>
              <w:ind w:firstLine="0" w:firstLineChars="0"/>
              <w:jc w:val="center"/>
              <w:textAlignment w:val="top"/>
              <w:rPr>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-6.56</w:t>
            </w:r>
          </w:p>
        </w:tc>
      </w:tr>
      <w:tr w14:paraId="3FFBA4C9">
        <w:tblPrEx>
          <w:tblCellMar>
            <w:top w:w="0" w:type="dxa"/>
            <w:left w:w="108" w:type="dxa"/>
            <w:bottom w:w="0" w:type="dxa"/>
            <w:right w:w="108" w:type="dxa"/>
          </w:tblCellMar>
        </w:tblPrEx>
        <w:tc>
          <w:tcPr>
            <w:tcW w:w="0" w:type="auto"/>
            <w:vAlign w:val="center"/>
          </w:tcPr>
          <w:p w14:paraId="5373251B">
            <w:pPr>
              <w:keepNext w:val="0"/>
              <w:keepLines w:val="0"/>
              <w:pageBreakBefore w:val="0"/>
              <w:widowControl/>
              <w:suppressLineNumbers w:val="0"/>
              <w:tabs>
                <w:tab w:val="left" w:pos="480"/>
              </w:tabs>
              <w:kinsoku/>
              <w:wordWrap/>
              <w:overflowPunct/>
              <w:topLinePunct w:val="0"/>
              <w:autoSpaceDE/>
              <w:autoSpaceDN/>
              <w:bidi w:val="0"/>
              <w:adjustRightInd/>
              <w:snapToGrid/>
              <w:ind w:firstLine="0" w:firstLineChars="0"/>
              <w:jc w:val="center"/>
              <w:textAlignment w:val="top"/>
              <w:rPr>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Important development clients（重要发展客户）</w:t>
            </w:r>
          </w:p>
        </w:tc>
        <w:tc>
          <w:tcPr>
            <w:tcW w:w="0" w:type="auto"/>
            <w:vAlign w:val="center"/>
          </w:tcPr>
          <w:p w14:paraId="5A5B9AA8">
            <w:pPr>
              <w:keepNext w:val="0"/>
              <w:keepLines w:val="0"/>
              <w:pageBreakBefore w:val="0"/>
              <w:widowControl/>
              <w:suppressLineNumbers w:val="0"/>
              <w:tabs>
                <w:tab w:val="left" w:pos="480"/>
              </w:tabs>
              <w:kinsoku/>
              <w:wordWrap/>
              <w:overflowPunct/>
              <w:topLinePunct w:val="0"/>
              <w:autoSpaceDE/>
              <w:autoSpaceDN/>
              <w:bidi w:val="0"/>
              <w:adjustRightInd/>
              <w:snapToGrid/>
              <w:ind w:firstLine="0" w:firstLineChars="0"/>
              <w:jc w:val="center"/>
              <w:textAlignment w:val="top"/>
              <w:rPr>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44</w:t>
            </w:r>
          </w:p>
        </w:tc>
        <w:tc>
          <w:tcPr>
            <w:tcW w:w="0" w:type="auto"/>
            <w:vAlign w:val="center"/>
          </w:tcPr>
          <w:p w14:paraId="1AE69D8E">
            <w:pPr>
              <w:keepNext w:val="0"/>
              <w:keepLines w:val="0"/>
              <w:pageBreakBefore w:val="0"/>
              <w:widowControl/>
              <w:suppressLineNumbers w:val="0"/>
              <w:tabs>
                <w:tab w:val="left" w:pos="480"/>
              </w:tabs>
              <w:kinsoku/>
              <w:wordWrap/>
              <w:overflowPunct/>
              <w:topLinePunct w:val="0"/>
              <w:autoSpaceDE/>
              <w:autoSpaceDN/>
              <w:bidi w:val="0"/>
              <w:adjustRightInd/>
              <w:snapToGrid/>
              <w:ind w:firstLine="0" w:firstLineChars="0"/>
              <w:jc w:val="center"/>
              <w:textAlignment w:val="top"/>
              <w:rPr>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10.86%</w:t>
            </w:r>
          </w:p>
        </w:tc>
        <w:tc>
          <w:tcPr>
            <w:tcW w:w="0" w:type="auto"/>
            <w:vAlign w:val="center"/>
          </w:tcPr>
          <w:p w14:paraId="394850E9">
            <w:pPr>
              <w:keepNext w:val="0"/>
              <w:keepLines w:val="0"/>
              <w:pageBreakBefore w:val="0"/>
              <w:widowControl/>
              <w:suppressLineNumbers w:val="0"/>
              <w:tabs>
                <w:tab w:val="left" w:pos="480"/>
              </w:tabs>
              <w:kinsoku/>
              <w:wordWrap/>
              <w:overflowPunct/>
              <w:topLinePunct w:val="0"/>
              <w:autoSpaceDE/>
              <w:autoSpaceDN/>
              <w:bidi w:val="0"/>
              <w:adjustRightInd/>
              <w:snapToGrid/>
              <w:ind w:firstLine="0" w:firstLineChars="0"/>
              <w:jc w:val="center"/>
              <w:textAlignment w:val="top"/>
              <w:rPr>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7.20%</w:t>
            </w:r>
          </w:p>
        </w:tc>
        <w:tc>
          <w:tcPr>
            <w:tcW w:w="0" w:type="auto"/>
            <w:vAlign w:val="center"/>
          </w:tcPr>
          <w:p w14:paraId="3F0F040F">
            <w:pPr>
              <w:keepNext w:val="0"/>
              <w:keepLines w:val="0"/>
              <w:pageBreakBefore w:val="0"/>
              <w:widowControl/>
              <w:suppressLineNumbers w:val="0"/>
              <w:tabs>
                <w:tab w:val="left" w:pos="480"/>
              </w:tabs>
              <w:kinsoku/>
              <w:wordWrap/>
              <w:overflowPunct/>
              <w:topLinePunct w:val="0"/>
              <w:autoSpaceDE/>
              <w:autoSpaceDN/>
              <w:bidi w:val="0"/>
              <w:adjustRightInd/>
              <w:snapToGrid/>
              <w:ind w:firstLine="0" w:firstLineChars="0"/>
              <w:jc w:val="center"/>
              <w:textAlignment w:val="top"/>
              <w:rPr>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+3.66</w:t>
            </w:r>
          </w:p>
        </w:tc>
      </w:tr>
      <w:tr w14:paraId="053C074A">
        <w:tblPrEx>
          <w:tblCellMar>
            <w:top w:w="0" w:type="dxa"/>
            <w:left w:w="108" w:type="dxa"/>
            <w:bottom w:w="0" w:type="dxa"/>
            <w:right w:w="108" w:type="dxa"/>
          </w:tblCellMar>
        </w:tblPrEx>
        <w:tc>
          <w:tcPr>
            <w:tcW w:w="0" w:type="auto"/>
            <w:vAlign w:val="center"/>
          </w:tcPr>
          <w:p w14:paraId="04A0C39D">
            <w:pPr>
              <w:keepNext w:val="0"/>
              <w:keepLines w:val="0"/>
              <w:pageBreakBefore w:val="0"/>
              <w:widowControl/>
              <w:suppressLineNumbers w:val="0"/>
              <w:tabs>
                <w:tab w:val="left" w:pos="480"/>
              </w:tabs>
              <w:kinsoku/>
              <w:wordWrap/>
              <w:overflowPunct/>
              <w:topLinePunct w:val="0"/>
              <w:autoSpaceDE/>
              <w:autoSpaceDN/>
              <w:bidi w:val="0"/>
              <w:adjustRightInd/>
              <w:snapToGrid/>
              <w:ind w:firstLine="0" w:firstLineChars="0"/>
              <w:jc w:val="center"/>
              <w:textAlignment w:val="top"/>
              <w:rPr>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Important retain customers（重要留存客户）</w:t>
            </w:r>
          </w:p>
        </w:tc>
        <w:tc>
          <w:tcPr>
            <w:tcW w:w="0" w:type="auto"/>
            <w:vAlign w:val="center"/>
          </w:tcPr>
          <w:p w14:paraId="36921F34">
            <w:pPr>
              <w:keepNext w:val="0"/>
              <w:keepLines w:val="0"/>
              <w:pageBreakBefore w:val="0"/>
              <w:widowControl/>
              <w:suppressLineNumbers w:val="0"/>
              <w:tabs>
                <w:tab w:val="left" w:pos="480"/>
              </w:tabs>
              <w:kinsoku/>
              <w:wordWrap/>
              <w:overflowPunct/>
              <w:topLinePunct w:val="0"/>
              <w:autoSpaceDE/>
              <w:autoSpaceDN/>
              <w:bidi w:val="0"/>
              <w:adjustRightInd/>
              <w:snapToGrid/>
              <w:ind w:firstLine="0" w:firstLineChars="0"/>
              <w:jc w:val="center"/>
              <w:textAlignment w:val="top"/>
              <w:rPr>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26</w:t>
            </w:r>
          </w:p>
        </w:tc>
        <w:tc>
          <w:tcPr>
            <w:tcW w:w="0" w:type="auto"/>
            <w:vAlign w:val="center"/>
          </w:tcPr>
          <w:p w14:paraId="7353D3BC">
            <w:pPr>
              <w:keepNext w:val="0"/>
              <w:keepLines w:val="0"/>
              <w:pageBreakBefore w:val="0"/>
              <w:widowControl/>
              <w:suppressLineNumbers w:val="0"/>
              <w:tabs>
                <w:tab w:val="left" w:pos="480"/>
              </w:tabs>
              <w:kinsoku/>
              <w:wordWrap/>
              <w:overflowPunct/>
              <w:topLinePunct w:val="0"/>
              <w:autoSpaceDE/>
              <w:autoSpaceDN/>
              <w:bidi w:val="0"/>
              <w:adjustRightInd/>
              <w:snapToGrid/>
              <w:ind w:firstLine="0" w:firstLineChars="0"/>
              <w:jc w:val="center"/>
              <w:textAlignment w:val="top"/>
              <w:rPr>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6.42%</w:t>
            </w:r>
          </w:p>
        </w:tc>
        <w:tc>
          <w:tcPr>
            <w:tcW w:w="0" w:type="auto"/>
            <w:vAlign w:val="center"/>
          </w:tcPr>
          <w:p w14:paraId="4A6F52F0">
            <w:pPr>
              <w:keepNext w:val="0"/>
              <w:keepLines w:val="0"/>
              <w:pageBreakBefore w:val="0"/>
              <w:widowControl/>
              <w:suppressLineNumbers w:val="0"/>
              <w:tabs>
                <w:tab w:val="left" w:pos="480"/>
              </w:tabs>
              <w:kinsoku/>
              <w:wordWrap/>
              <w:overflowPunct/>
              <w:topLinePunct w:val="0"/>
              <w:autoSpaceDE/>
              <w:autoSpaceDN/>
              <w:bidi w:val="0"/>
              <w:adjustRightInd/>
              <w:snapToGrid/>
              <w:ind w:firstLine="0" w:firstLineChars="0"/>
              <w:jc w:val="center"/>
              <w:textAlignment w:val="top"/>
              <w:rPr>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3.93%</w:t>
            </w:r>
          </w:p>
        </w:tc>
        <w:tc>
          <w:tcPr>
            <w:tcW w:w="0" w:type="auto"/>
            <w:vAlign w:val="center"/>
          </w:tcPr>
          <w:p w14:paraId="6CD5A33F">
            <w:pPr>
              <w:keepNext w:val="0"/>
              <w:keepLines w:val="0"/>
              <w:pageBreakBefore w:val="0"/>
              <w:widowControl/>
              <w:suppressLineNumbers w:val="0"/>
              <w:tabs>
                <w:tab w:val="left" w:pos="480"/>
              </w:tabs>
              <w:kinsoku/>
              <w:wordWrap/>
              <w:overflowPunct/>
              <w:topLinePunct w:val="0"/>
              <w:autoSpaceDE/>
              <w:autoSpaceDN/>
              <w:bidi w:val="0"/>
              <w:adjustRightInd/>
              <w:snapToGrid/>
              <w:ind w:firstLine="0" w:firstLineChars="0"/>
              <w:jc w:val="center"/>
              <w:textAlignment w:val="top"/>
              <w:rPr>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+2.49</w:t>
            </w:r>
          </w:p>
        </w:tc>
      </w:tr>
      <w:tr w14:paraId="28B0EA9D">
        <w:tblPrEx>
          <w:tblCellMar>
            <w:top w:w="0" w:type="dxa"/>
            <w:left w:w="108" w:type="dxa"/>
            <w:bottom w:w="0" w:type="dxa"/>
            <w:right w:w="108" w:type="dxa"/>
          </w:tblCellMar>
        </w:tblPrEx>
        <w:tc>
          <w:tcPr>
            <w:tcW w:w="0" w:type="auto"/>
            <w:vAlign w:val="center"/>
          </w:tcPr>
          <w:p w14:paraId="128B3163">
            <w:pPr>
              <w:keepNext w:val="0"/>
              <w:keepLines w:val="0"/>
              <w:pageBreakBefore w:val="0"/>
              <w:widowControl/>
              <w:suppressLineNumbers w:val="0"/>
              <w:tabs>
                <w:tab w:val="left" w:pos="480"/>
              </w:tabs>
              <w:kinsoku/>
              <w:wordWrap/>
              <w:overflowPunct/>
              <w:topLinePunct w:val="0"/>
              <w:autoSpaceDE/>
              <w:autoSpaceDN/>
              <w:bidi w:val="0"/>
              <w:adjustRightInd/>
              <w:snapToGrid/>
              <w:ind w:firstLine="0" w:firstLineChars="0"/>
              <w:jc w:val="center"/>
              <w:textAlignment w:val="top"/>
              <w:rPr>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General Value Customers（一般价值客户）</w:t>
            </w:r>
          </w:p>
        </w:tc>
        <w:tc>
          <w:tcPr>
            <w:tcW w:w="0" w:type="auto"/>
            <w:vAlign w:val="center"/>
          </w:tcPr>
          <w:p w14:paraId="7146755A">
            <w:pPr>
              <w:keepNext w:val="0"/>
              <w:keepLines w:val="0"/>
              <w:pageBreakBefore w:val="0"/>
              <w:widowControl/>
              <w:suppressLineNumbers w:val="0"/>
              <w:tabs>
                <w:tab w:val="left" w:pos="480"/>
              </w:tabs>
              <w:kinsoku/>
              <w:wordWrap/>
              <w:overflowPunct/>
              <w:topLinePunct w:val="0"/>
              <w:autoSpaceDE/>
              <w:autoSpaceDN/>
              <w:bidi w:val="0"/>
              <w:adjustRightInd/>
              <w:snapToGrid/>
              <w:ind w:firstLine="0" w:firstLineChars="0"/>
              <w:jc w:val="center"/>
              <w:textAlignment w:val="top"/>
              <w:rPr>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25</w:t>
            </w:r>
          </w:p>
        </w:tc>
        <w:tc>
          <w:tcPr>
            <w:tcW w:w="0" w:type="auto"/>
            <w:vAlign w:val="center"/>
          </w:tcPr>
          <w:p w14:paraId="59F72C5A">
            <w:pPr>
              <w:keepNext w:val="0"/>
              <w:keepLines w:val="0"/>
              <w:pageBreakBefore w:val="0"/>
              <w:widowControl/>
              <w:suppressLineNumbers w:val="0"/>
              <w:tabs>
                <w:tab w:val="left" w:pos="480"/>
              </w:tabs>
              <w:kinsoku/>
              <w:wordWrap/>
              <w:overflowPunct/>
              <w:topLinePunct w:val="0"/>
              <w:autoSpaceDE/>
              <w:autoSpaceDN/>
              <w:bidi w:val="0"/>
              <w:adjustRightInd/>
              <w:snapToGrid/>
              <w:ind w:firstLine="0" w:firstLineChars="0"/>
              <w:jc w:val="center"/>
              <w:textAlignment w:val="top"/>
              <w:rPr>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6.17%</w:t>
            </w:r>
          </w:p>
        </w:tc>
        <w:tc>
          <w:tcPr>
            <w:tcW w:w="0" w:type="auto"/>
            <w:vAlign w:val="center"/>
          </w:tcPr>
          <w:p w14:paraId="35EF4D19">
            <w:pPr>
              <w:keepNext w:val="0"/>
              <w:keepLines w:val="0"/>
              <w:pageBreakBefore w:val="0"/>
              <w:widowControl/>
              <w:suppressLineNumbers w:val="0"/>
              <w:tabs>
                <w:tab w:val="left" w:pos="480"/>
              </w:tabs>
              <w:kinsoku/>
              <w:wordWrap/>
              <w:overflowPunct/>
              <w:topLinePunct w:val="0"/>
              <w:autoSpaceDE/>
              <w:autoSpaceDN/>
              <w:bidi w:val="0"/>
              <w:adjustRightInd/>
              <w:snapToGrid/>
              <w:ind w:firstLine="0" w:firstLineChars="0"/>
              <w:jc w:val="center"/>
              <w:textAlignment w:val="top"/>
              <w:rPr>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3.36%</w:t>
            </w:r>
          </w:p>
        </w:tc>
        <w:tc>
          <w:tcPr>
            <w:tcW w:w="0" w:type="auto"/>
            <w:vAlign w:val="center"/>
          </w:tcPr>
          <w:p w14:paraId="7A8612C0">
            <w:pPr>
              <w:keepNext w:val="0"/>
              <w:keepLines w:val="0"/>
              <w:pageBreakBefore w:val="0"/>
              <w:widowControl/>
              <w:suppressLineNumbers w:val="0"/>
              <w:tabs>
                <w:tab w:val="left" w:pos="480"/>
              </w:tabs>
              <w:kinsoku/>
              <w:wordWrap/>
              <w:overflowPunct/>
              <w:topLinePunct w:val="0"/>
              <w:autoSpaceDE/>
              <w:autoSpaceDN/>
              <w:bidi w:val="0"/>
              <w:adjustRightInd/>
              <w:snapToGrid/>
              <w:ind w:firstLine="0" w:firstLineChars="0"/>
              <w:jc w:val="center"/>
              <w:textAlignment w:val="top"/>
              <w:rPr>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+2.81</w:t>
            </w:r>
          </w:p>
        </w:tc>
      </w:tr>
      <w:tr w14:paraId="1973C5BD">
        <w:tblPrEx>
          <w:tblCellMar>
            <w:top w:w="0" w:type="dxa"/>
            <w:left w:w="108" w:type="dxa"/>
            <w:bottom w:w="0" w:type="dxa"/>
            <w:right w:w="108" w:type="dxa"/>
          </w:tblCellMar>
        </w:tblPrEx>
        <w:tc>
          <w:tcPr>
            <w:tcW w:w="0" w:type="auto"/>
            <w:tcBorders>
              <w:bottom w:val="single" w:color="000000" w:sz="18" w:space="0"/>
            </w:tcBorders>
            <w:vAlign w:val="center"/>
          </w:tcPr>
          <w:p w14:paraId="373186F0">
            <w:pPr>
              <w:keepNext w:val="0"/>
              <w:keepLines w:val="0"/>
              <w:pageBreakBefore w:val="0"/>
              <w:widowControl/>
              <w:suppressLineNumbers w:val="0"/>
              <w:tabs>
                <w:tab w:val="left" w:pos="480"/>
              </w:tabs>
              <w:kinsoku/>
              <w:wordWrap/>
              <w:overflowPunct/>
              <w:topLinePunct w:val="0"/>
              <w:autoSpaceDE/>
              <w:autoSpaceDN/>
              <w:bidi w:val="0"/>
              <w:adjustRightInd/>
              <w:snapToGrid/>
              <w:ind w:firstLine="0" w:firstLineChars="0"/>
              <w:jc w:val="center"/>
              <w:textAlignment w:val="top"/>
              <w:rPr>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合计</w:t>
            </w:r>
          </w:p>
        </w:tc>
        <w:tc>
          <w:tcPr>
            <w:tcW w:w="0" w:type="auto"/>
            <w:tcBorders>
              <w:bottom w:val="single" w:color="000000" w:sz="18" w:space="0"/>
            </w:tcBorders>
            <w:vAlign w:val="center"/>
          </w:tcPr>
          <w:p w14:paraId="62555ECA">
            <w:pPr>
              <w:keepNext w:val="0"/>
              <w:keepLines w:val="0"/>
              <w:pageBreakBefore w:val="0"/>
              <w:widowControl/>
              <w:suppressLineNumbers w:val="0"/>
              <w:tabs>
                <w:tab w:val="left" w:pos="480"/>
              </w:tabs>
              <w:kinsoku/>
              <w:wordWrap/>
              <w:overflowPunct/>
              <w:topLinePunct w:val="0"/>
              <w:autoSpaceDE/>
              <w:autoSpaceDN/>
              <w:bidi w:val="0"/>
              <w:adjustRightInd/>
              <w:snapToGrid/>
              <w:ind w:firstLine="0" w:firstLineChars="0"/>
              <w:jc w:val="center"/>
              <w:textAlignment w:val="top"/>
              <w:rPr>
                <w:rFonts w:hint="eastAsia"/>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405</w:t>
            </w:r>
          </w:p>
        </w:tc>
        <w:tc>
          <w:tcPr>
            <w:tcW w:w="0" w:type="auto"/>
            <w:tcBorders>
              <w:bottom w:val="single" w:color="000000" w:sz="18" w:space="0"/>
            </w:tcBorders>
            <w:vAlign w:val="center"/>
          </w:tcPr>
          <w:p w14:paraId="26FF8248">
            <w:pPr>
              <w:keepNext w:val="0"/>
              <w:keepLines w:val="0"/>
              <w:pageBreakBefore w:val="0"/>
              <w:widowControl/>
              <w:suppressLineNumbers w:val="0"/>
              <w:tabs>
                <w:tab w:val="left" w:pos="480"/>
              </w:tabs>
              <w:kinsoku/>
              <w:wordWrap/>
              <w:overflowPunct/>
              <w:topLinePunct w:val="0"/>
              <w:autoSpaceDE/>
              <w:autoSpaceDN/>
              <w:bidi w:val="0"/>
              <w:adjustRightInd/>
              <w:snapToGrid/>
              <w:ind w:firstLine="0" w:firstLineChars="0"/>
              <w:jc w:val="center"/>
              <w:textAlignment w:val="top"/>
              <w:rPr>
                <w:rFonts w:hint="eastAsia"/>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100%</w:t>
            </w:r>
          </w:p>
        </w:tc>
        <w:tc>
          <w:tcPr>
            <w:tcW w:w="0" w:type="auto"/>
            <w:tcBorders>
              <w:bottom w:val="single" w:color="000000" w:sz="18" w:space="0"/>
            </w:tcBorders>
            <w:vAlign w:val="center"/>
          </w:tcPr>
          <w:p w14:paraId="575B8457">
            <w:pPr>
              <w:keepNext w:val="0"/>
              <w:keepLines w:val="0"/>
              <w:pageBreakBefore w:val="0"/>
              <w:widowControl/>
              <w:suppressLineNumbers w:val="0"/>
              <w:tabs>
                <w:tab w:val="left" w:pos="480"/>
              </w:tabs>
              <w:kinsoku/>
              <w:wordWrap/>
              <w:overflowPunct/>
              <w:topLinePunct w:val="0"/>
              <w:autoSpaceDE/>
              <w:autoSpaceDN/>
              <w:bidi w:val="0"/>
              <w:adjustRightInd/>
              <w:snapToGrid/>
              <w:ind w:firstLine="0" w:firstLineChars="0"/>
              <w:jc w:val="center"/>
              <w:textAlignment w:val="top"/>
              <w:rPr>
                <w:rFonts w:hint="eastAsia"/>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w:t>
            </w:r>
          </w:p>
        </w:tc>
        <w:tc>
          <w:tcPr>
            <w:tcW w:w="0" w:type="auto"/>
            <w:tcBorders>
              <w:bottom w:val="single" w:color="000000" w:sz="18" w:space="0"/>
            </w:tcBorders>
            <w:vAlign w:val="center"/>
          </w:tcPr>
          <w:p w14:paraId="7A89814D">
            <w:pPr>
              <w:keepNext w:val="0"/>
              <w:keepLines w:val="0"/>
              <w:pageBreakBefore w:val="0"/>
              <w:widowControl/>
              <w:suppressLineNumbers w:val="0"/>
              <w:tabs>
                <w:tab w:val="left" w:pos="480"/>
              </w:tabs>
              <w:kinsoku/>
              <w:wordWrap/>
              <w:overflowPunct/>
              <w:topLinePunct w:val="0"/>
              <w:autoSpaceDE/>
              <w:autoSpaceDN/>
              <w:bidi w:val="0"/>
              <w:adjustRightInd/>
              <w:snapToGrid/>
              <w:ind w:firstLine="0" w:firstLineChars="0"/>
              <w:jc w:val="center"/>
              <w:textAlignment w:val="top"/>
              <w:rPr>
                <w:rFonts w:hint="eastAsia"/>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w:t>
            </w:r>
          </w:p>
        </w:tc>
      </w:tr>
    </w:tbl>
    <w:p w14:paraId="6D3D5172">
      <w:pPr>
        <w:pStyle w:val="3"/>
      </w:pPr>
      <w:r>
        <w:rPr>
          <w:rFonts w:hint="eastAsia"/>
        </w:rPr>
        <w:t>关键发现：</w:t>
      </w:r>
    </w:p>
    <w:p w14:paraId="20B42EFF">
      <w:pPr>
        <w:numPr>
          <w:ilvl w:val="0"/>
          <w:numId w:val="7"/>
        </w:numPr>
      </w:pPr>
      <w:r>
        <w:rPr>
          <w:rFonts w:hint="eastAsia"/>
        </w:rPr>
        <w:t>常规客户是绝对主力，但并未显著超配。</w:t>
      </w:r>
      <w:r>
        <w:t xml:space="preserve"> </w:t>
      </w:r>
      <w:r>
        <w:rPr>
          <w:rFonts w:hint="eastAsia"/>
        </w:rPr>
        <w:t>常规客户占比40.49%，略高于全局平均水平（38.81%），但差异仅+1.68个百分点。这说明23301的购买群体中，常规客户确实是人数最多的类型，但这种优势主要是"自然体现"（因为常规客户本身就是最大群体），而非"刻意吸引"。</w:t>
      </w:r>
    </w:p>
    <w:p w14:paraId="4A04343D">
      <w:pPr>
        <w:numPr>
          <w:ilvl w:val="0"/>
          <w:numId w:val="7"/>
        </w:numPr>
      </w:pPr>
      <w:r>
        <w:rPr>
          <w:rFonts w:hint="eastAsia"/>
        </w:rPr>
        <w:t>重要价值客户显著低配，反驳了"批发商主导"假设。</w:t>
      </w:r>
      <w:r>
        <w:t xml:space="preserve"> </w:t>
      </w:r>
      <w:r>
        <w:rPr>
          <w:rFonts w:hint="eastAsia"/>
        </w:rPr>
        <w:t>重要价值客户（高F高M的批发商）在23301购买群体中的占比仅为15.31%，</w:t>
      </w:r>
      <w:r>
        <w:rPr>
          <w:rFonts w:hint="eastAsia"/>
          <w:b/>
          <w:bCs/>
        </w:rPr>
        <w:t>显著低于</w:t>
      </w:r>
      <w:r>
        <w:rPr>
          <w:rFonts w:hint="eastAsia"/>
        </w:rPr>
        <w:t>全局平均水平的21.87%（差异-6.56个百分点）。这一发现直接推翻了4.2节初稿中"增长主要来自批发商季节性备货"的推测——</w:t>
      </w:r>
      <w:r>
        <w:rPr>
          <w:rFonts w:hint="eastAsia"/>
          <w:b/>
          <w:bCs/>
        </w:rPr>
        <w:t>23301的高增长并非由核心批发商群体驱动</w:t>
      </w:r>
      <w:r>
        <w:t>。</w:t>
      </w:r>
    </w:p>
    <w:p w14:paraId="47D8EC57">
      <w:pPr>
        <w:numPr>
          <w:ilvl w:val="0"/>
          <w:numId w:val="7"/>
        </w:numPr>
      </w:pPr>
      <w:r>
        <w:rPr>
          <w:rFonts w:hint="eastAsia"/>
        </w:rPr>
        <w:t>重要风险客户同样低配，说明不是"沉睡唤醒"逻辑。重要风险客户（高R值、长期未购买的沉睡客户）占比20.74%，低于全局平均的24.83%（差异-4.09个百分点）。这意味着23301并没有特别强的"唤醒沉睡客户"能力——购买该产品的客户中，风险客户的比例反而更低。</w:t>
      </w:r>
    </w:p>
    <w:p w14:paraId="4E1DD30E">
      <w:pPr>
        <w:numPr>
          <w:ilvl w:val="0"/>
          <w:numId w:val="7"/>
        </w:numPr>
      </w:pPr>
      <w:r>
        <w:rPr>
          <w:rFonts w:hint="eastAsia"/>
        </w:rPr>
        <w:t>真正的高配人群：重要发展客户、一般价值客户、重要留存客户。</w:t>
      </w:r>
    </w:p>
    <w:p w14:paraId="1D15E49F">
      <w:pPr>
        <w:numPr>
          <w:ilvl w:val="0"/>
          <w:numId w:val="8"/>
        </w:numPr>
        <w:ind w:left="1680" w:leftChars="0" w:hanging="420" w:firstLineChars="0"/>
      </w:pPr>
      <w:r>
        <w:rPr>
          <w:rFonts w:hint="eastAsia"/>
          <w:b/>
          <w:bCs/>
        </w:rPr>
        <w:t>重要发展客户</w:t>
      </w:r>
      <w:r>
        <w:rPr>
          <w:rFonts w:hint="eastAsia"/>
        </w:rPr>
        <w:t>（低F高M，近期购买但频次低的新兴客户）：占比10.86%，显著高于全局平均7.20%（+3.66个百分点）；</w:t>
      </w:r>
    </w:p>
    <w:p w14:paraId="5A788D1C">
      <w:pPr>
        <w:numPr>
          <w:ilvl w:val="0"/>
          <w:numId w:val="8"/>
        </w:numPr>
        <w:ind w:left="1680" w:leftChars="0" w:hanging="420" w:firstLineChars="0"/>
      </w:pPr>
      <w:r>
        <w:rPr>
          <w:rFonts w:hint="eastAsia"/>
          <w:b/>
          <w:bCs/>
        </w:rPr>
        <w:t>一般价值客户</w:t>
      </w:r>
      <w:r>
        <w:rPr>
          <w:rFonts w:hint="eastAsia"/>
        </w:rPr>
        <w:t>（低F低M的低价值客户）：占比6.17%，高于全局平均3.36%（+2.81个百分点）；</w:t>
      </w:r>
    </w:p>
    <w:p w14:paraId="0CD2752F">
      <w:pPr>
        <w:numPr>
          <w:ilvl w:val="0"/>
          <w:numId w:val="8"/>
        </w:numPr>
        <w:ind w:left="1680" w:leftChars="0" w:hanging="420" w:firstLineChars="0"/>
      </w:pPr>
      <w:r>
        <w:rPr>
          <w:rFonts w:hint="eastAsia"/>
          <w:b/>
          <w:bCs/>
        </w:rPr>
        <w:t>重要留存客户</w:t>
      </w:r>
      <w:r>
        <w:rPr>
          <w:rFonts w:hint="eastAsia"/>
        </w:rPr>
        <w:t>（高F低M，高频但低消费的忠诚客户）：占比6.42%，高于全局平均3.93%（+2.49个百分点）。</w:t>
      </w:r>
    </w:p>
    <w:p w14:paraId="0D5AD544">
      <w:pPr>
        <w:pStyle w:val="28"/>
      </w:pPr>
      <w:r>
        <w:rPr>
          <w:rFonts w:hint="eastAsia"/>
        </w:rPr>
        <w:t>这三类人群的共同特征是：</w:t>
      </w:r>
      <w:r>
        <w:rPr>
          <w:rFonts w:hint="eastAsia"/>
          <w:b/>
          <w:bCs/>
        </w:rPr>
        <w:t>F值偏低或M值偏低，属于"非核心但具有成长潜力"的中间层客户</w:t>
      </w:r>
      <w:r>
        <w:t>。</w:t>
      </w:r>
    </w:p>
    <w:bookmarkEnd w:id="74"/>
    <w:p w14:paraId="4FDDEC6E">
      <w:pPr>
        <w:pStyle w:val="5"/>
      </w:pPr>
      <w:bookmarkStart w:id="76" w:name="X1bfb1e5d71a79993bc5977fe58468607f37500f"/>
      <w:r>
        <w:t xml:space="preserve">4.2.3 </w:t>
      </w:r>
      <w:r>
        <w:rPr>
          <w:rFonts w:hint="eastAsia"/>
        </w:rPr>
        <w:t>增长驱动因素的精确归因</w:t>
      </w:r>
    </w:p>
    <w:p w14:paraId="21942582">
      <w:pPr>
        <w:pStyle w:val="28"/>
      </w:pPr>
      <w:r>
        <w:rPr>
          <w:rFonts w:hint="eastAsia"/>
        </w:rPr>
        <w:t>基于上述RFM分布特征，我们可以对23301的110%高增长做出以下精确归因：</w:t>
      </w:r>
    </w:p>
    <w:p w14:paraId="5D78507B">
      <w:pPr>
        <w:pStyle w:val="3"/>
      </w:pPr>
      <w:r>
        <w:rPr>
          <w:rFonts w:hint="eastAsia"/>
        </w:rPr>
        <w:t>结论一：增长主因不是"大客户复购"，而是"中间层客户的集体爆发"</w:t>
      </w:r>
    </w:p>
    <w:p w14:paraId="6F9525B1">
      <w:pPr>
        <w:pStyle w:val="3"/>
      </w:pPr>
      <w:r>
        <w:rPr>
          <w:rFonts w:hint="eastAsia"/>
        </w:rPr>
        <w:t>传统B2B电商的增长往往依赖头部批发商（重要价值客户）的大单采购。但23301的情况恰恰相反——</w:t>
      </w:r>
      <w:r>
        <w:rPr>
          <w:rFonts w:hint="eastAsia"/>
          <w:b/>
          <w:bCs/>
        </w:rPr>
        <w:t>重要价值客户的占比反而显著低于平均水平</w:t>
      </w:r>
      <w:r>
        <w:rPr>
          <w:rFonts w:hint="eastAsia"/>
        </w:rPr>
        <w:t>。这说明：</w:t>
      </w:r>
    </w:p>
    <w:p w14:paraId="3C69CA47">
      <w:pPr>
        <w:numPr>
          <w:ilvl w:val="0"/>
          <w:numId w:val="1"/>
        </w:numPr>
      </w:pPr>
      <w:r>
        <w:rPr>
          <w:rFonts w:hint="eastAsia"/>
        </w:rPr>
        <w:t>23301并非批发商的"批量备货品"，而更可能是</w:t>
      </w:r>
      <w:r>
        <w:rPr>
          <w:rFonts w:hint="eastAsia"/>
          <w:b/>
          <w:bCs/>
        </w:rPr>
        <w:t>终端零售客户或小B客户的自用品/礼品</w:t>
      </w:r>
      <w:r>
        <w:rPr>
          <w:rFonts w:hint="eastAsia"/>
        </w:rPr>
        <w:t>；</w:t>
      </w:r>
    </w:p>
    <w:p w14:paraId="45731885">
      <w:pPr>
        <w:numPr>
          <w:ilvl w:val="0"/>
          <w:numId w:val="1"/>
        </w:numPr>
      </w:pPr>
      <w:r>
        <w:rPr>
          <w:rFonts w:hint="eastAsia"/>
        </w:rPr>
        <w:t>其增长动力来自数量庞大的中间层客户（常规客户、重要发展客户、一般价值客户）的</w:t>
      </w:r>
      <w:r>
        <w:rPr>
          <w:rFonts w:hint="eastAsia"/>
          <w:b/>
          <w:bCs/>
        </w:rPr>
        <w:t>分散式、多频次购买</w:t>
      </w:r>
      <w:r>
        <w:rPr>
          <w:rFonts w:hint="eastAsia"/>
        </w:rPr>
        <w:t>，而非少数大客户的集中下单。</w:t>
      </w:r>
    </w:p>
    <w:p w14:paraId="499134DC">
      <w:pPr>
        <w:pStyle w:val="28"/>
      </w:pPr>
      <w:r>
        <w:rPr>
          <w:rFonts w:hint="eastAsia"/>
        </w:rPr>
        <w:t>这一结论也得到了M值（消费金额）的间接印证：观察RFM_23301_User_Segmentation.xlsx中的明细数据，大量重要发展客户和一般价值客户的M值集中在£1.65–£39.60区间，对应单次或两次购买、每次1–2件的零售级消费量，而非批发商动辄数百件的采购规模。</w:t>
      </w:r>
    </w:p>
    <w:p w14:paraId="1288ACF9">
      <w:pPr>
        <w:pStyle w:val="3"/>
      </w:pPr>
      <w:r>
        <w:rPr>
          <w:rFonts w:hint="eastAsia"/>
        </w:rPr>
        <w:t>结论二：产品具有强"拉新"属性，重要发展客户超配3.66个百分点</w:t>
      </w:r>
    </w:p>
    <w:p w14:paraId="208BE875">
      <w:pPr>
        <w:pStyle w:val="3"/>
      </w:pPr>
      <w:r>
        <w:rPr>
          <w:rFonts w:hint="eastAsia"/>
        </w:rPr>
        <w:t>重要发展客户（Important</w:t>
      </w:r>
      <w:r>
        <w:t xml:space="preserve"> development </w:t>
      </w:r>
      <w:r>
        <w:rPr>
          <w:rFonts w:hint="eastAsia"/>
        </w:rPr>
        <w:t>clients）的定义是：R值低（近期有购买）、F值低（总频次少）、M值高或中等——这类客户通常是刚完成首次或前几次购买的新客户，具有较高的成长潜力。</w:t>
      </w:r>
    </w:p>
    <w:p w14:paraId="3513B417">
      <w:pPr>
        <w:pStyle w:val="3"/>
      </w:pPr>
      <w:r>
        <w:rPr>
          <w:rFonts w:hint="eastAsia"/>
        </w:rPr>
        <w:t>23301购买群体中，重要发展客户占比10.86%，显著高于全局平均7.20%。这说明：</w:t>
      </w:r>
      <w:r>
        <w:rPr>
          <w:rFonts w:hint="eastAsia"/>
          <w:b/>
          <w:bCs/>
        </w:rPr>
        <w:t>23301对新客户具有较强的吸引力</w:t>
      </w:r>
      <w:r>
        <w:t>。</w:t>
      </w:r>
    </w:p>
    <w:p w14:paraId="2B700803">
      <w:pPr>
        <w:pStyle w:val="3"/>
      </w:pPr>
      <w:r>
        <w:rPr>
          <w:rFonts w:hint="eastAsia"/>
        </w:rPr>
        <w:t>结合23301的商品特征（KEEP</w:t>
      </w:r>
      <w:r>
        <w:t xml:space="preserve"> </w:t>
      </w:r>
      <w:r>
        <w:rPr>
          <w:rFonts w:hint="eastAsia"/>
        </w:rPr>
        <w:t>CALM图案具有英伦风、网红潜质、适合拍照分享），可以合理推测：</w:t>
      </w:r>
      <w:r>
        <w:rPr>
          <w:rFonts w:hint="eastAsia"/>
          <w:b/>
          <w:bCs/>
        </w:rPr>
        <w:t>该产品的增长部分源于"社交传播驱动的新客拉新"</w:t>
      </w:r>
      <w:r>
        <w:rPr>
          <w:rFonts w:hint="eastAsia"/>
        </w:rPr>
        <w:t>，而非传统的批发商订单。</w:t>
      </w:r>
    </w:p>
    <w:p w14:paraId="360F2C7D">
      <w:pPr>
        <w:pStyle w:val="3"/>
      </w:pPr>
      <w:r>
        <w:rPr>
          <w:rFonts w:hint="eastAsia"/>
        </w:rPr>
        <w:t>结论三：重要留存客户超配，反映"高频低消"客户的偏好</w:t>
      </w:r>
    </w:p>
    <w:p w14:paraId="6686AEB6">
      <w:pPr>
        <w:pStyle w:val="3"/>
      </w:pPr>
      <w:r>
        <w:rPr>
          <w:rFonts w:hint="eastAsia"/>
        </w:rPr>
        <w:t>重要留存客户（Important</w:t>
      </w:r>
      <w:r>
        <w:t xml:space="preserve"> retain </w:t>
      </w:r>
      <w:r>
        <w:rPr>
          <w:rFonts w:hint="eastAsia"/>
        </w:rPr>
        <w:t>customers）的特征是F值高、M值低——这类客户通常是平台的忠实用户，但每次只买少量低价商品（如家庭主妇、小零售商）。</w:t>
      </w:r>
    </w:p>
    <w:p w14:paraId="7D48CB71">
      <w:pPr>
        <w:pStyle w:val="3"/>
      </w:pPr>
      <w:r>
        <w:rPr>
          <w:rFonts w:hint="eastAsia"/>
        </w:rPr>
        <w:t>该类型在23301购买群体中的占比为6.42%，高于全局平均3.93%（+2.49个百分点）。这说明：</w:t>
      </w:r>
      <w:r>
        <w:rPr>
          <w:rFonts w:hint="eastAsia"/>
          <w:b/>
          <w:bCs/>
        </w:rPr>
        <w:t>23301受到了"高频低消"型客户的青睐</w:t>
      </w:r>
      <w:r>
        <w:rPr>
          <w:rFonts w:hint="eastAsia"/>
        </w:rPr>
        <w:t>，可能的原因是：</w:t>
      </w:r>
    </w:p>
    <w:p w14:paraId="4DB1D25A">
      <w:pPr>
        <w:numPr>
          <w:ilvl w:val="0"/>
          <w:numId w:val="1"/>
        </w:numPr>
      </w:pPr>
      <w:r>
        <w:rPr>
          <w:rFonts w:hint="eastAsia"/>
        </w:rPr>
        <w:t>产品单价低（大量客户的M值为£1.65、£3.30、£4.95，所以可以推出对应单价约£1.65–£2.50/件），符合其消费习惯；</w:t>
      </w:r>
    </w:p>
    <w:p w14:paraId="202CDFE9">
      <w:pPr>
        <w:numPr>
          <w:ilvl w:val="0"/>
          <w:numId w:val="1"/>
        </w:numPr>
      </w:pPr>
      <w:r>
        <w:rPr>
          <w:rFonts w:hint="eastAsia"/>
        </w:rPr>
        <w:t>园艺跪垫属于实用型产品，复购或推荐意愿强；</w:t>
      </w:r>
    </w:p>
    <w:p w14:paraId="616E8D56">
      <w:pPr>
        <w:numPr>
          <w:ilvl w:val="0"/>
          <w:numId w:val="1"/>
        </w:numPr>
      </w:pPr>
      <w:r>
        <w:t xml:space="preserve">KEEP </w:t>
      </w:r>
      <w:r>
        <w:rPr>
          <w:rFonts w:hint="eastAsia"/>
        </w:rPr>
        <w:t>CALM图案具有情感共鸣，容易引发"买了送人"的行为。</w:t>
      </w:r>
    </w:p>
    <w:p w14:paraId="7D7FB304">
      <w:pPr>
        <w:pStyle w:val="28"/>
      </w:pPr>
      <w:r>
        <w:rPr>
          <w:rFonts w:hint="eastAsia"/>
        </w:rPr>
        <w:t>综上所述，由于重要价值客户（批发商主力）显著低配，而常规客户、重要发展客户、一般价值客户显著超配，可以确定：这种关联主要反映的是零售客户的"成套购买"或"对比选择"行为，而非批发商的批量备货。</w:t>
      </w:r>
    </w:p>
    <w:bookmarkEnd w:id="66"/>
    <w:bookmarkEnd w:id="72"/>
    <w:bookmarkEnd w:id="76"/>
    <w:p w14:paraId="40771C3C">
      <w:pPr>
        <w:pStyle w:val="2"/>
        <w:outlineLvl w:val="1"/>
      </w:pPr>
      <w:bookmarkStart w:id="77" w:name="_Toc15550"/>
      <w:bookmarkStart w:id="78" w:name="Xe7b249aeb6f265d5dbaa99aba18967500106e7f"/>
      <w:r>
        <w:t xml:space="preserve">4.3 </w:t>
      </w:r>
      <w:r>
        <w:rPr>
          <w:rFonts w:hint="eastAsia"/>
        </w:rPr>
        <w:t>精准运营策略总览</w:t>
      </w:r>
      <w:bookmarkEnd w:id="77"/>
    </w:p>
    <w:p w14:paraId="37E1A707">
      <w:pPr>
        <w:pStyle w:val="28"/>
      </w:pPr>
      <w:r>
        <w:rPr>
          <w:rFonts w:hint="eastAsia"/>
        </w:rPr>
        <w:t>前文通过独立分析（K-means聚类、RFM分层、BCG矩阵、Apriori关联规则）与交叉验证（关联×BCG、关联×RFM），已从"客户自然分群""客户价值类型""商品战略角色""商品搭配逻辑"以及"谁在推动增长"等多个维度完成了深度洞察。本节将上述分散的结论整合为一套</w:t>
      </w:r>
      <w:r>
        <w:rPr>
          <w:rFonts w:hint="eastAsia"/>
          <w:b/>
          <w:bCs/>
        </w:rPr>
        <w:t>分人群、分商品、分场景</w:t>
      </w:r>
      <w:r>
        <w:rPr>
          <w:rFonts w:hint="eastAsia"/>
        </w:rPr>
        <w:t>的精准运营策略框架，确保每一项策略都有数据支撑、可落地执行、可量化评估。</w:t>
      </w:r>
    </w:p>
    <w:p w14:paraId="32D4B4E5">
      <w:pPr>
        <w:pStyle w:val="4"/>
      </w:pPr>
      <w:bookmarkStart w:id="79" w:name="_Toc16449"/>
      <w:bookmarkStart w:id="80" w:name="X35dbe4c20b80e5d759c2ecd1d3effbd8dd116c6"/>
      <w:r>
        <w:t xml:space="preserve">4.3.1 </w:t>
      </w:r>
      <w:r>
        <w:rPr>
          <w:rFonts w:hint="eastAsia"/>
        </w:rPr>
        <w:t>客户分层策略矩阵：以RFM为主轴，K-means为辅助</w:t>
      </w:r>
      <w:bookmarkEnd w:id="79"/>
    </w:p>
    <w:p w14:paraId="437736A7">
      <w:pPr>
        <w:pStyle w:val="28"/>
      </w:pPr>
      <w:r>
        <w:rPr>
          <w:rFonts w:hint="eastAsia"/>
        </w:rPr>
        <w:t>综合K-means聚类（自然分群）和RFM分层（价值类型）两种方法，以RFM六类型作为运营策略的主轴，以K-means四聚类作为辅助验证。</w:t>
      </w:r>
    </w:p>
    <w:p w14:paraId="52951F86">
      <w:pPr>
        <w:pStyle w:val="12"/>
        <w:rPr>
          <w:rFonts w:hint="default" w:eastAsia="宋体"/>
          <w:lang w:val="en-US" w:eastAsia="zh-CN"/>
        </w:rPr>
      </w:pPr>
      <w:r>
        <w:t xml:space="preserve">表 </w:t>
      </w:r>
      <w:r>
        <w:fldChar w:fldCharType="begin"/>
      </w:r>
      <w:r>
        <w:instrText xml:space="preserve"> SEQ 表 \* ARABIC </w:instrText>
      </w:r>
      <w:r>
        <w:fldChar w:fldCharType="separate"/>
      </w:r>
      <w:r>
        <w:t>15</w:t>
      </w:r>
      <w:r>
        <w:fldChar w:fldCharType="end"/>
      </w:r>
      <w:r>
        <w:rPr>
          <w:rFonts w:hint="eastAsia"/>
          <w:lang w:val="en-US" w:eastAsia="zh-CN"/>
        </w:rPr>
        <w:t xml:space="preserve"> 客户策略矩阵</w:t>
      </w:r>
    </w:p>
    <w:tbl>
      <w:tblPr>
        <w:tblStyle w:val="46"/>
        <w:tblW w:w="0" w:type="auto"/>
        <w:tblInd w:w="0" w:type="dxa"/>
        <w:tblLayout w:type="autofit"/>
        <w:tblCellMar>
          <w:top w:w="0" w:type="dxa"/>
          <w:left w:w="108" w:type="dxa"/>
          <w:bottom w:w="0" w:type="dxa"/>
          <w:right w:w="108" w:type="dxa"/>
        </w:tblCellMar>
      </w:tblPr>
      <w:tblGrid>
        <w:gridCol w:w="1742"/>
        <w:gridCol w:w="864"/>
        <w:gridCol w:w="1055"/>
        <w:gridCol w:w="697"/>
        <w:gridCol w:w="725"/>
        <w:gridCol w:w="1018"/>
        <w:gridCol w:w="919"/>
        <w:gridCol w:w="1836"/>
      </w:tblGrid>
      <w:tr w14:paraId="0144F24E">
        <w:trPr>
          <w:tblHeader/>
        </w:trPr>
        <w:tc>
          <w:tcPr>
            <w:tcW w:w="0" w:type="auto"/>
            <w:tcBorders>
              <w:top w:val="single" w:color="000000" w:sz="18" w:space="0"/>
              <w:bottom w:val="single" w:color="000000" w:sz="12" w:space="0"/>
            </w:tcBorders>
            <w:vAlign w:val="center"/>
          </w:tcPr>
          <w:p w14:paraId="278FD961">
            <w:pPr>
              <w:keepNext w:val="0"/>
              <w:keepLines w:val="0"/>
              <w:pageBreakBefore w:val="0"/>
              <w:widowControl/>
              <w:suppressLineNumbers w:val="0"/>
              <w:kinsoku/>
              <w:wordWrap/>
              <w:overflowPunct/>
              <w:topLinePunct w:val="0"/>
              <w:autoSpaceDE/>
              <w:autoSpaceDN/>
              <w:bidi w:val="0"/>
              <w:adjustRightInd/>
              <w:snapToGrid/>
              <w:ind w:firstLine="0" w:firstLineChars="0"/>
              <w:jc w:val="left"/>
              <w:rPr>
                <w:sz w:val="21"/>
                <w:szCs w:val="21"/>
              </w:rPr>
            </w:pPr>
            <w:r>
              <w:rPr>
                <w:rFonts w:hint="default" w:ascii="Times New Roman" w:hAnsi="Times New Roman" w:eastAsia="Times New Roman" w:cs="Times New Roman"/>
                <w:b/>
                <w:bCs/>
                <w:i w:val="0"/>
                <w:iCs w:val="0"/>
                <w:caps/>
                <w:color w:val="000000" w:themeColor="text1"/>
                <w:spacing w:val="0"/>
                <w:kern w:val="0"/>
                <w:sz w:val="21"/>
                <w:szCs w:val="21"/>
                <w:lang w:val="en-US" w:eastAsia="zh-CN" w:bidi="ar"/>
              </w:rPr>
              <w:t>RFM类型</w:t>
            </w:r>
          </w:p>
        </w:tc>
        <w:tc>
          <w:tcPr>
            <w:tcW w:w="0" w:type="auto"/>
            <w:tcBorders>
              <w:top w:val="single" w:color="000000" w:sz="18" w:space="0"/>
              <w:bottom w:val="single" w:color="000000" w:sz="12" w:space="0"/>
            </w:tcBorders>
            <w:vAlign w:val="center"/>
          </w:tcPr>
          <w:p w14:paraId="4C8EDFC6">
            <w:pPr>
              <w:keepNext w:val="0"/>
              <w:keepLines w:val="0"/>
              <w:pageBreakBefore w:val="0"/>
              <w:widowControl/>
              <w:suppressLineNumbers w:val="0"/>
              <w:kinsoku/>
              <w:wordWrap/>
              <w:overflowPunct/>
              <w:topLinePunct w:val="0"/>
              <w:autoSpaceDE/>
              <w:autoSpaceDN/>
              <w:bidi w:val="0"/>
              <w:adjustRightInd/>
              <w:snapToGrid/>
              <w:ind w:firstLine="0" w:firstLineChars="0"/>
              <w:jc w:val="left"/>
              <w:rPr>
                <w:rFonts w:hint="eastAsia"/>
                <w:sz w:val="21"/>
                <w:szCs w:val="21"/>
              </w:rPr>
            </w:pPr>
            <w:r>
              <w:rPr>
                <w:rFonts w:hint="default" w:ascii="Times New Roman" w:hAnsi="Times New Roman" w:eastAsia="Times New Roman" w:cs="Times New Roman"/>
                <w:b/>
                <w:bCs/>
                <w:i w:val="0"/>
                <w:iCs w:val="0"/>
                <w:caps/>
                <w:color w:val="000000" w:themeColor="text1"/>
                <w:spacing w:val="0"/>
                <w:kern w:val="0"/>
                <w:sz w:val="21"/>
                <w:szCs w:val="21"/>
                <w:lang w:val="en-US" w:eastAsia="zh-CN" w:bidi="ar"/>
              </w:rPr>
              <w:t>占比</w:t>
            </w:r>
          </w:p>
        </w:tc>
        <w:tc>
          <w:tcPr>
            <w:tcW w:w="0" w:type="auto"/>
            <w:tcBorders>
              <w:top w:val="single" w:color="000000" w:sz="18" w:space="0"/>
              <w:bottom w:val="single" w:color="000000" w:sz="12" w:space="0"/>
            </w:tcBorders>
            <w:vAlign w:val="center"/>
          </w:tcPr>
          <w:p w14:paraId="3F80DB34">
            <w:pPr>
              <w:keepNext w:val="0"/>
              <w:keepLines w:val="0"/>
              <w:pageBreakBefore w:val="0"/>
              <w:widowControl/>
              <w:suppressLineNumbers w:val="0"/>
              <w:kinsoku/>
              <w:wordWrap/>
              <w:overflowPunct/>
              <w:topLinePunct w:val="0"/>
              <w:autoSpaceDE/>
              <w:autoSpaceDN/>
              <w:bidi w:val="0"/>
              <w:adjustRightInd/>
              <w:snapToGrid/>
              <w:ind w:firstLine="0" w:firstLineChars="0"/>
              <w:jc w:val="left"/>
              <w:rPr>
                <w:rFonts w:hint="eastAsia"/>
                <w:sz w:val="21"/>
                <w:szCs w:val="21"/>
              </w:rPr>
            </w:pPr>
            <w:r>
              <w:rPr>
                <w:rFonts w:hint="default" w:ascii="Times New Roman" w:hAnsi="Times New Roman" w:eastAsia="Times New Roman" w:cs="Times New Roman"/>
                <w:b/>
                <w:bCs/>
                <w:i w:val="0"/>
                <w:iCs w:val="0"/>
                <w:caps/>
                <w:color w:val="000000" w:themeColor="text1"/>
                <w:spacing w:val="0"/>
                <w:kern w:val="0"/>
                <w:sz w:val="21"/>
                <w:szCs w:val="21"/>
                <w:lang w:val="en-US" w:eastAsia="zh-CN" w:bidi="ar"/>
              </w:rPr>
              <w:t>核心特征</w:t>
            </w:r>
          </w:p>
        </w:tc>
        <w:tc>
          <w:tcPr>
            <w:tcW w:w="0" w:type="auto"/>
            <w:tcBorders>
              <w:top w:val="single" w:color="000000" w:sz="18" w:space="0"/>
              <w:bottom w:val="single" w:color="000000" w:sz="12" w:space="0"/>
            </w:tcBorders>
            <w:vAlign w:val="center"/>
          </w:tcPr>
          <w:p w14:paraId="37A4F263">
            <w:pPr>
              <w:keepNext w:val="0"/>
              <w:keepLines w:val="0"/>
              <w:pageBreakBefore w:val="0"/>
              <w:widowControl/>
              <w:suppressLineNumbers w:val="0"/>
              <w:kinsoku/>
              <w:wordWrap/>
              <w:overflowPunct/>
              <w:topLinePunct w:val="0"/>
              <w:autoSpaceDE/>
              <w:autoSpaceDN/>
              <w:bidi w:val="0"/>
              <w:adjustRightInd/>
              <w:snapToGrid/>
              <w:ind w:firstLine="0" w:firstLineChars="0"/>
              <w:jc w:val="left"/>
              <w:rPr>
                <w:rFonts w:hint="eastAsia"/>
                <w:sz w:val="21"/>
                <w:szCs w:val="21"/>
              </w:rPr>
            </w:pPr>
            <w:r>
              <w:rPr>
                <w:rFonts w:hint="default" w:ascii="Times New Roman" w:hAnsi="Times New Roman" w:eastAsia="Times New Roman" w:cs="Times New Roman"/>
                <w:b/>
                <w:bCs/>
                <w:i w:val="0"/>
                <w:iCs w:val="0"/>
                <w:caps/>
                <w:color w:val="000000" w:themeColor="text1"/>
                <w:spacing w:val="0"/>
                <w:kern w:val="0"/>
                <w:sz w:val="21"/>
                <w:szCs w:val="21"/>
                <w:lang w:val="en-US" w:eastAsia="zh-CN" w:bidi="ar"/>
              </w:rPr>
              <w:t>首要目标</w:t>
            </w:r>
          </w:p>
        </w:tc>
        <w:tc>
          <w:tcPr>
            <w:tcW w:w="0" w:type="auto"/>
            <w:tcBorders>
              <w:top w:val="single" w:color="000000" w:sz="18" w:space="0"/>
              <w:bottom w:val="single" w:color="000000" w:sz="12" w:space="0"/>
            </w:tcBorders>
            <w:vAlign w:val="center"/>
          </w:tcPr>
          <w:p w14:paraId="395369DD">
            <w:pPr>
              <w:keepNext w:val="0"/>
              <w:keepLines w:val="0"/>
              <w:pageBreakBefore w:val="0"/>
              <w:widowControl/>
              <w:suppressLineNumbers w:val="0"/>
              <w:kinsoku/>
              <w:wordWrap/>
              <w:overflowPunct/>
              <w:topLinePunct w:val="0"/>
              <w:autoSpaceDE/>
              <w:autoSpaceDN/>
              <w:bidi w:val="0"/>
              <w:adjustRightInd/>
              <w:snapToGrid/>
              <w:ind w:firstLine="0" w:firstLineChars="0"/>
              <w:jc w:val="left"/>
              <w:rPr>
                <w:rFonts w:hint="eastAsia"/>
                <w:sz w:val="21"/>
                <w:szCs w:val="21"/>
              </w:rPr>
            </w:pPr>
            <w:r>
              <w:rPr>
                <w:rFonts w:hint="default" w:ascii="Times New Roman" w:hAnsi="Times New Roman" w:eastAsia="Times New Roman" w:cs="Times New Roman"/>
                <w:b/>
                <w:bCs/>
                <w:i w:val="0"/>
                <w:iCs w:val="0"/>
                <w:caps/>
                <w:color w:val="000000" w:themeColor="text1"/>
                <w:spacing w:val="0"/>
                <w:kern w:val="0"/>
                <w:sz w:val="21"/>
                <w:szCs w:val="21"/>
                <w:lang w:val="en-US" w:eastAsia="zh-CN" w:bidi="ar"/>
              </w:rPr>
              <w:t>次要目标</w:t>
            </w:r>
          </w:p>
        </w:tc>
        <w:tc>
          <w:tcPr>
            <w:tcW w:w="0" w:type="auto"/>
            <w:tcBorders>
              <w:top w:val="single" w:color="000000" w:sz="18" w:space="0"/>
              <w:bottom w:val="single" w:color="000000" w:sz="12" w:space="0"/>
            </w:tcBorders>
            <w:vAlign w:val="center"/>
          </w:tcPr>
          <w:p w14:paraId="125594AF">
            <w:pPr>
              <w:keepNext w:val="0"/>
              <w:keepLines w:val="0"/>
              <w:pageBreakBefore w:val="0"/>
              <w:widowControl/>
              <w:suppressLineNumbers w:val="0"/>
              <w:kinsoku/>
              <w:wordWrap/>
              <w:overflowPunct/>
              <w:topLinePunct w:val="0"/>
              <w:autoSpaceDE/>
              <w:autoSpaceDN/>
              <w:bidi w:val="0"/>
              <w:adjustRightInd/>
              <w:snapToGrid/>
              <w:ind w:firstLine="0" w:firstLineChars="0"/>
              <w:jc w:val="left"/>
              <w:rPr>
                <w:rFonts w:hint="eastAsia"/>
                <w:sz w:val="21"/>
                <w:szCs w:val="21"/>
              </w:rPr>
            </w:pPr>
            <w:r>
              <w:rPr>
                <w:rFonts w:hint="default" w:ascii="Times New Roman" w:hAnsi="Times New Roman" w:eastAsia="Times New Roman" w:cs="Times New Roman"/>
                <w:b/>
                <w:bCs/>
                <w:i w:val="0"/>
                <w:iCs w:val="0"/>
                <w:caps/>
                <w:color w:val="000000" w:themeColor="text1"/>
                <w:spacing w:val="0"/>
                <w:kern w:val="0"/>
                <w:sz w:val="21"/>
                <w:szCs w:val="21"/>
                <w:lang w:val="en-US" w:eastAsia="zh-CN" w:bidi="ar"/>
              </w:rPr>
              <w:t>触达频率</w:t>
            </w:r>
          </w:p>
        </w:tc>
        <w:tc>
          <w:tcPr>
            <w:tcW w:w="0" w:type="auto"/>
            <w:tcBorders>
              <w:top w:val="single" w:color="000000" w:sz="18" w:space="0"/>
              <w:bottom w:val="single" w:color="000000" w:sz="12" w:space="0"/>
            </w:tcBorders>
            <w:vAlign w:val="center"/>
          </w:tcPr>
          <w:p w14:paraId="5821D011">
            <w:pPr>
              <w:keepNext w:val="0"/>
              <w:keepLines w:val="0"/>
              <w:pageBreakBefore w:val="0"/>
              <w:widowControl/>
              <w:suppressLineNumbers w:val="0"/>
              <w:kinsoku/>
              <w:wordWrap/>
              <w:overflowPunct/>
              <w:topLinePunct w:val="0"/>
              <w:autoSpaceDE/>
              <w:autoSpaceDN/>
              <w:bidi w:val="0"/>
              <w:adjustRightInd/>
              <w:snapToGrid/>
              <w:ind w:firstLine="0" w:firstLineChars="0"/>
              <w:jc w:val="left"/>
              <w:rPr>
                <w:rFonts w:hint="eastAsia"/>
                <w:sz w:val="21"/>
                <w:szCs w:val="21"/>
              </w:rPr>
            </w:pPr>
            <w:r>
              <w:rPr>
                <w:rFonts w:hint="default" w:ascii="Times New Roman" w:hAnsi="Times New Roman" w:eastAsia="Times New Roman" w:cs="Times New Roman"/>
                <w:b/>
                <w:bCs/>
                <w:i w:val="0"/>
                <w:iCs w:val="0"/>
                <w:caps/>
                <w:color w:val="000000" w:themeColor="text1"/>
                <w:spacing w:val="0"/>
                <w:kern w:val="0"/>
                <w:sz w:val="21"/>
                <w:szCs w:val="21"/>
                <w:lang w:val="en-US" w:eastAsia="zh-CN" w:bidi="ar"/>
              </w:rPr>
              <w:t>优先级</w:t>
            </w:r>
          </w:p>
        </w:tc>
        <w:tc>
          <w:tcPr>
            <w:tcW w:w="0" w:type="auto"/>
            <w:tcBorders>
              <w:top w:val="single" w:color="000000" w:sz="18" w:space="0"/>
              <w:bottom w:val="single" w:color="000000" w:sz="12" w:space="0"/>
            </w:tcBorders>
            <w:vAlign w:val="center"/>
          </w:tcPr>
          <w:p w14:paraId="08D31BA1">
            <w:pPr>
              <w:keepNext w:val="0"/>
              <w:keepLines w:val="0"/>
              <w:pageBreakBefore w:val="0"/>
              <w:widowControl/>
              <w:suppressLineNumbers w:val="0"/>
              <w:kinsoku/>
              <w:wordWrap/>
              <w:overflowPunct/>
              <w:topLinePunct w:val="0"/>
              <w:autoSpaceDE/>
              <w:autoSpaceDN/>
              <w:bidi w:val="0"/>
              <w:adjustRightInd/>
              <w:snapToGrid/>
              <w:ind w:firstLine="0" w:firstLineChars="0"/>
              <w:jc w:val="left"/>
              <w:rPr>
                <w:rFonts w:hint="eastAsia"/>
                <w:sz w:val="21"/>
                <w:szCs w:val="21"/>
              </w:rPr>
            </w:pPr>
            <w:r>
              <w:rPr>
                <w:rFonts w:hint="default" w:ascii="Times New Roman" w:hAnsi="Times New Roman" w:eastAsia="Times New Roman" w:cs="Times New Roman"/>
                <w:b/>
                <w:bCs/>
                <w:i w:val="0"/>
                <w:iCs w:val="0"/>
                <w:caps/>
                <w:color w:val="000000" w:themeColor="text1"/>
                <w:spacing w:val="0"/>
                <w:kern w:val="0"/>
                <w:sz w:val="21"/>
                <w:szCs w:val="21"/>
                <w:lang w:val="en-US" w:eastAsia="zh-CN" w:bidi="ar"/>
              </w:rPr>
              <w:t>K-MEANS辅助验证</w:t>
            </w:r>
          </w:p>
        </w:tc>
      </w:tr>
      <w:tr w14:paraId="6AF99241">
        <w:tblPrEx>
          <w:tblCellMar>
            <w:top w:w="0" w:type="dxa"/>
            <w:left w:w="108" w:type="dxa"/>
            <w:bottom w:w="0" w:type="dxa"/>
            <w:right w:w="108" w:type="dxa"/>
          </w:tblCellMar>
        </w:tblPrEx>
        <w:tc>
          <w:tcPr>
            <w:tcW w:w="0" w:type="auto"/>
            <w:tcBorders>
              <w:top w:val="single" w:color="000000" w:sz="12" w:space="0"/>
            </w:tcBorders>
            <w:vAlign w:val="top"/>
          </w:tcPr>
          <w:p w14:paraId="3F1344A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Important Value Customers （重要价值客户）</w:t>
            </w:r>
          </w:p>
        </w:tc>
        <w:tc>
          <w:tcPr>
            <w:tcW w:w="0" w:type="auto"/>
            <w:tcBorders>
              <w:top w:val="single" w:color="000000" w:sz="12" w:space="0"/>
            </w:tcBorders>
            <w:vAlign w:val="top"/>
          </w:tcPr>
          <w:p w14:paraId="5DF5E14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21.87%</w:t>
            </w:r>
          </w:p>
        </w:tc>
        <w:tc>
          <w:tcPr>
            <w:tcW w:w="0" w:type="auto"/>
            <w:tcBorders>
              <w:top w:val="single" w:color="000000" w:sz="12" w:space="0"/>
            </w:tcBorders>
            <w:vAlign w:val="top"/>
          </w:tcPr>
          <w:p w14:paraId="0E381FB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高R、高F、高M 近期活跃+高频+高消费</w:t>
            </w:r>
          </w:p>
        </w:tc>
        <w:tc>
          <w:tcPr>
            <w:tcW w:w="0" w:type="auto"/>
            <w:tcBorders>
              <w:top w:val="single" w:color="000000" w:sz="12" w:space="0"/>
            </w:tcBorders>
            <w:vAlign w:val="top"/>
          </w:tcPr>
          <w:p w14:paraId="7A7A863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锁定长期合作 防止流失</w:t>
            </w:r>
          </w:p>
        </w:tc>
        <w:tc>
          <w:tcPr>
            <w:tcW w:w="0" w:type="auto"/>
            <w:tcBorders>
              <w:top w:val="single" w:color="000000" w:sz="12" w:space="0"/>
            </w:tcBorders>
            <w:vAlign w:val="top"/>
          </w:tcPr>
          <w:p w14:paraId="4B1CEDE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提升客单价 交叉销售</w:t>
            </w:r>
          </w:p>
        </w:tc>
        <w:tc>
          <w:tcPr>
            <w:tcW w:w="0" w:type="auto"/>
            <w:tcBorders>
              <w:top w:val="single" w:color="000000" w:sz="12" w:space="0"/>
            </w:tcBorders>
            <w:vAlign w:val="top"/>
          </w:tcPr>
          <w:p w14:paraId="433AD1F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每周1次 （VIP专属）</w:t>
            </w:r>
          </w:p>
        </w:tc>
        <w:tc>
          <w:tcPr>
            <w:tcW w:w="0" w:type="auto"/>
            <w:tcBorders>
              <w:top w:val="single" w:color="000000" w:sz="12" w:space="0"/>
            </w:tcBorders>
            <w:vAlign w:val="top"/>
          </w:tcPr>
          <w:p w14:paraId="5F7B27D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P0 （最高）</w:t>
            </w:r>
          </w:p>
        </w:tc>
        <w:tc>
          <w:tcPr>
            <w:tcW w:w="0" w:type="auto"/>
            <w:tcBorders>
              <w:top w:val="single" w:color="000000" w:sz="12" w:space="0"/>
            </w:tcBorders>
            <w:vAlign w:val="top"/>
          </w:tcPr>
          <w:p w14:paraId="378FE29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default" w:ascii="Times New Roman" w:hAnsi="Times New Roman" w:eastAsia="Times New Roman" w:cs="Times New Roman"/>
                <w:i w:val="0"/>
                <w:iCs w:val="0"/>
                <w:caps w:val="0"/>
                <w:color w:val="000000" w:themeColor="text1"/>
                <w:spacing w:val="0"/>
                <w:kern w:val="0"/>
                <w:sz w:val="21"/>
                <w:szCs w:val="21"/>
                <w:lang w:val="en-US" w:eastAsia="zh-CN" w:bidi="ar"/>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对应Cluster 2（高价值批发商），需监控其采购品类是否单一，防范依赖风险</w:t>
            </w:r>
          </w:p>
          <w:p w14:paraId="601A8DF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default" w:ascii="Times New Roman" w:hAnsi="Times New Roman" w:eastAsia="Times New Roman" w:cs="Times New Roman"/>
                <w:i w:val="0"/>
                <w:iCs w:val="0"/>
                <w:caps w:val="0"/>
                <w:color w:val="000000" w:themeColor="text1"/>
                <w:spacing w:val="0"/>
                <w:kern w:val="0"/>
                <w:sz w:val="21"/>
                <w:szCs w:val="21"/>
                <w:lang w:val="en-US" w:eastAsia="zh-CN" w:bidi="ar"/>
              </w:rPr>
            </w:pPr>
          </w:p>
        </w:tc>
      </w:tr>
      <w:tr w14:paraId="2B17B108">
        <w:tblPrEx>
          <w:tblCellMar>
            <w:top w:w="0" w:type="dxa"/>
            <w:left w:w="108" w:type="dxa"/>
            <w:bottom w:w="0" w:type="dxa"/>
            <w:right w:w="108" w:type="dxa"/>
          </w:tblCellMar>
        </w:tblPrEx>
        <w:tc>
          <w:tcPr>
            <w:tcW w:w="0" w:type="auto"/>
            <w:vAlign w:val="top"/>
          </w:tcPr>
          <w:p w14:paraId="0F1ED04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Important at-risk customers （重要风险客户）</w:t>
            </w:r>
          </w:p>
        </w:tc>
        <w:tc>
          <w:tcPr>
            <w:tcW w:w="0" w:type="auto"/>
            <w:vAlign w:val="top"/>
          </w:tcPr>
          <w:p w14:paraId="164D4D1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24.83%</w:t>
            </w:r>
          </w:p>
        </w:tc>
        <w:tc>
          <w:tcPr>
            <w:tcW w:w="0" w:type="auto"/>
            <w:vAlign w:val="top"/>
          </w:tcPr>
          <w:p w14:paraId="1F1FA4E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低R、高F/M历史 曾活跃但长期未购买</w:t>
            </w:r>
          </w:p>
        </w:tc>
        <w:tc>
          <w:tcPr>
            <w:tcW w:w="0" w:type="auto"/>
            <w:vAlign w:val="top"/>
          </w:tcPr>
          <w:p w14:paraId="1325402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唤醒回流 重建联系</w:t>
            </w:r>
          </w:p>
        </w:tc>
        <w:tc>
          <w:tcPr>
            <w:tcW w:w="0" w:type="auto"/>
            <w:vAlign w:val="top"/>
          </w:tcPr>
          <w:p w14:paraId="0A35F49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测试产品偏好 收集反馈</w:t>
            </w:r>
          </w:p>
        </w:tc>
        <w:tc>
          <w:tcPr>
            <w:tcW w:w="0" w:type="auto"/>
            <w:vAlign w:val="top"/>
          </w:tcPr>
          <w:p w14:paraId="64AEF5B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每2周1次 （唤醒专项）</w:t>
            </w:r>
          </w:p>
        </w:tc>
        <w:tc>
          <w:tcPr>
            <w:tcW w:w="0" w:type="auto"/>
            <w:vAlign w:val="top"/>
          </w:tcPr>
          <w:p w14:paraId="5D0AE2A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P0 （最高）</w:t>
            </w:r>
          </w:p>
        </w:tc>
        <w:tc>
          <w:tcPr>
            <w:tcW w:w="0" w:type="auto"/>
            <w:vAlign w:val="top"/>
          </w:tcPr>
          <w:p w14:paraId="04A330A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可能分散于Cluster 0/1/3，需结合历史购买品类定向推送</w:t>
            </w:r>
          </w:p>
        </w:tc>
      </w:tr>
      <w:tr w14:paraId="46B52727">
        <w:tblPrEx>
          <w:tblCellMar>
            <w:top w:w="0" w:type="dxa"/>
            <w:left w:w="108" w:type="dxa"/>
            <w:bottom w:w="0" w:type="dxa"/>
            <w:right w:w="108" w:type="dxa"/>
          </w:tblCellMar>
        </w:tblPrEx>
        <w:tc>
          <w:tcPr>
            <w:tcW w:w="0" w:type="auto"/>
            <w:vAlign w:val="top"/>
          </w:tcPr>
          <w:p w14:paraId="695664B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Regular Customers （常规客户）</w:t>
            </w:r>
          </w:p>
        </w:tc>
        <w:tc>
          <w:tcPr>
            <w:tcW w:w="0" w:type="auto"/>
            <w:vAlign w:val="top"/>
          </w:tcPr>
          <w:p w14:paraId="6F032AF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38.81%</w:t>
            </w:r>
          </w:p>
        </w:tc>
        <w:tc>
          <w:tcPr>
            <w:tcW w:w="0" w:type="auto"/>
            <w:vAlign w:val="top"/>
          </w:tcPr>
          <w:p w14:paraId="331D918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中等R、F、M 稳定但无突出特征</w:t>
            </w:r>
          </w:p>
        </w:tc>
        <w:tc>
          <w:tcPr>
            <w:tcW w:w="0" w:type="auto"/>
            <w:vAlign w:val="top"/>
          </w:tcPr>
          <w:p w14:paraId="57E10D1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提升频次 培养忠诚</w:t>
            </w:r>
          </w:p>
        </w:tc>
        <w:tc>
          <w:tcPr>
            <w:tcW w:w="0" w:type="auto"/>
            <w:vAlign w:val="top"/>
          </w:tcPr>
          <w:p w14:paraId="137A95E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引导升级 向价值客户转化</w:t>
            </w:r>
          </w:p>
        </w:tc>
        <w:tc>
          <w:tcPr>
            <w:tcW w:w="0" w:type="auto"/>
            <w:vAlign w:val="top"/>
          </w:tcPr>
          <w:p w14:paraId="15EAA58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每周1次 （常规营销）</w:t>
            </w:r>
          </w:p>
        </w:tc>
        <w:tc>
          <w:tcPr>
            <w:tcW w:w="0" w:type="auto"/>
            <w:vAlign w:val="top"/>
          </w:tcPr>
          <w:p w14:paraId="13ECF54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P1 （高）</w:t>
            </w:r>
          </w:p>
        </w:tc>
        <w:tc>
          <w:tcPr>
            <w:tcW w:w="0" w:type="auto"/>
            <w:vAlign w:val="top"/>
          </w:tcPr>
          <w:p w14:paraId="2544EBA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对应Cluster 1（中间层主力），是平台基本盘，需防降级</w:t>
            </w:r>
          </w:p>
        </w:tc>
      </w:tr>
      <w:tr w14:paraId="6FF349D7">
        <w:tblPrEx>
          <w:tblCellMar>
            <w:top w:w="0" w:type="dxa"/>
            <w:left w:w="108" w:type="dxa"/>
            <w:bottom w:w="0" w:type="dxa"/>
            <w:right w:w="108" w:type="dxa"/>
          </w:tblCellMar>
        </w:tblPrEx>
        <w:tc>
          <w:tcPr>
            <w:tcW w:w="0" w:type="auto"/>
            <w:vAlign w:val="top"/>
          </w:tcPr>
          <w:p w14:paraId="012EF05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Important development clients （重要发展客户）</w:t>
            </w:r>
          </w:p>
        </w:tc>
        <w:tc>
          <w:tcPr>
            <w:tcW w:w="0" w:type="auto"/>
            <w:vAlign w:val="top"/>
          </w:tcPr>
          <w:p w14:paraId="4486CAA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7.20%</w:t>
            </w:r>
          </w:p>
        </w:tc>
        <w:tc>
          <w:tcPr>
            <w:tcW w:w="0" w:type="auto"/>
            <w:vAlign w:val="top"/>
          </w:tcPr>
          <w:p w14:paraId="0E4EC75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低R、低F、中高M 新客但消费力强</w:t>
            </w:r>
          </w:p>
        </w:tc>
        <w:tc>
          <w:tcPr>
            <w:tcW w:w="0" w:type="auto"/>
            <w:vAlign w:val="top"/>
          </w:tcPr>
          <w:p w14:paraId="5758509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促进复购 建立习惯</w:t>
            </w:r>
          </w:p>
        </w:tc>
        <w:tc>
          <w:tcPr>
            <w:tcW w:w="0" w:type="auto"/>
            <w:vAlign w:val="top"/>
          </w:tcPr>
          <w:p w14:paraId="0AB149A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引导高频 向价值客户转化</w:t>
            </w:r>
          </w:p>
        </w:tc>
        <w:tc>
          <w:tcPr>
            <w:tcW w:w="0" w:type="auto"/>
            <w:vAlign w:val="top"/>
          </w:tcPr>
          <w:p w14:paraId="0B31CEA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每3天1次 （新客培育）</w:t>
            </w:r>
          </w:p>
        </w:tc>
        <w:tc>
          <w:tcPr>
            <w:tcW w:w="0" w:type="auto"/>
            <w:vAlign w:val="top"/>
          </w:tcPr>
          <w:p w14:paraId="39B535F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P1 （高）</w:t>
            </w:r>
          </w:p>
        </w:tc>
        <w:tc>
          <w:tcPr>
            <w:tcW w:w="0" w:type="auto"/>
            <w:vAlign w:val="top"/>
          </w:tcPr>
          <w:p w14:paraId="0872E15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部分对应Cluster 3（新兴客户），需快速建立信任</w:t>
            </w:r>
          </w:p>
        </w:tc>
      </w:tr>
      <w:tr w14:paraId="4C5FED67">
        <w:tblPrEx>
          <w:tblCellMar>
            <w:top w:w="0" w:type="dxa"/>
            <w:left w:w="108" w:type="dxa"/>
            <w:bottom w:w="0" w:type="dxa"/>
            <w:right w:w="108" w:type="dxa"/>
          </w:tblCellMar>
        </w:tblPrEx>
        <w:tc>
          <w:tcPr>
            <w:tcW w:w="0" w:type="auto"/>
            <w:vAlign w:val="top"/>
          </w:tcPr>
          <w:p w14:paraId="34D7617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Important retain customers （重要留存客户）</w:t>
            </w:r>
          </w:p>
        </w:tc>
        <w:tc>
          <w:tcPr>
            <w:tcW w:w="0" w:type="auto"/>
            <w:vAlign w:val="top"/>
          </w:tcPr>
          <w:p w14:paraId="72AA2C9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3.93%</w:t>
            </w:r>
          </w:p>
        </w:tc>
        <w:tc>
          <w:tcPr>
            <w:tcW w:w="0" w:type="auto"/>
            <w:vAlign w:val="top"/>
          </w:tcPr>
          <w:p w14:paraId="00DDAE4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高F、低M 高频但低消费</w:t>
            </w:r>
          </w:p>
        </w:tc>
        <w:tc>
          <w:tcPr>
            <w:tcW w:w="0" w:type="auto"/>
            <w:vAlign w:val="top"/>
          </w:tcPr>
          <w:p w14:paraId="349714C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提升客单价 引导高消</w:t>
            </w:r>
          </w:p>
        </w:tc>
        <w:tc>
          <w:tcPr>
            <w:tcW w:w="0" w:type="auto"/>
            <w:vAlign w:val="top"/>
          </w:tcPr>
          <w:p w14:paraId="00D8D2D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维持频次 防止降级</w:t>
            </w:r>
          </w:p>
        </w:tc>
        <w:tc>
          <w:tcPr>
            <w:tcW w:w="0" w:type="auto"/>
            <w:vAlign w:val="top"/>
          </w:tcPr>
          <w:p w14:paraId="44A6A1D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每周1次 （升级引导）</w:t>
            </w:r>
          </w:p>
        </w:tc>
        <w:tc>
          <w:tcPr>
            <w:tcW w:w="0" w:type="auto"/>
            <w:vAlign w:val="top"/>
          </w:tcPr>
          <w:p w14:paraId="7742B03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P2 （中）</w:t>
            </w:r>
          </w:p>
        </w:tc>
        <w:tc>
          <w:tcPr>
            <w:tcW w:w="0" w:type="auto"/>
            <w:vAlign w:val="top"/>
          </w:tcPr>
          <w:p w14:paraId="449A6DC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可能对应Cluster 0中的高频低消子群，需挖掘其消费瓶颈</w:t>
            </w:r>
          </w:p>
        </w:tc>
      </w:tr>
      <w:tr w14:paraId="57420B92">
        <w:tblPrEx>
          <w:tblCellMar>
            <w:top w:w="0" w:type="dxa"/>
            <w:left w:w="108" w:type="dxa"/>
            <w:bottom w:w="0" w:type="dxa"/>
            <w:right w:w="108" w:type="dxa"/>
          </w:tblCellMar>
        </w:tblPrEx>
        <w:tc>
          <w:tcPr>
            <w:tcW w:w="0" w:type="auto"/>
            <w:tcBorders>
              <w:bottom w:val="single" w:color="000000" w:sz="18" w:space="0"/>
            </w:tcBorders>
            <w:vAlign w:val="top"/>
          </w:tcPr>
          <w:p w14:paraId="19BAF94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General Value Customers （一般价值客户）</w:t>
            </w:r>
          </w:p>
        </w:tc>
        <w:tc>
          <w:tcPr>
            <w:tcW w:w="0" w:type="auto"/>
            <w:tcBorders>
              <w:bottom w:val="single" w:color="000000" w:sz="18" w:space="0"/>
            </w:tcBorders>
            <w:vAlign w:val="top"/>
          </w:tcPr>
          <w:p w14:paraId="51F00D0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3.36%</w:t>
            </w:r>
          </w:p>
        </w:tc>
        <w:tc>
          <w:tcPr>
            <w:tcW w:w="0" w:type="auto"/>
            <w:tcBorders>
              <w:bottom w:val="single" w:color="000000" w:sz="18" w:space="0"/>
            </w:tcBorders>
            <w:vAlign w:val="top"/>
          </w:tcPr>
          <w:p w14:paraId="348F7FD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低R、低F、低M 边缘客户</w:t>
            </w:r>
          </w:p>
        </w:tc>
        <w:tc>
          <w:tcPr>
            <w:tcW w:w="0" w:type="auto"/>
            <w:tcBorders>
              <w:bottom w:val="single" w:color="000000" w:sz="18" w:space="0"/>
            </w:tcBorders>
            <w:vAlign w:val="top"/>
          </w:tcPr>
          <w:p w14:paraId="071C058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低价试用 建立认知</w:t>
            </w:r>
          </w:p>
        </w:tc>
        <w:tc>
          <w:tcPr>
            <w:tcW w:w="0" w:type="auto"/>
            <w:tcBorders>
              <w:bottom w:val="single" w:color="000000" w:sz="18" w:space="0"/>
            </w:tcBorders>
            <w:vAlign w:val="top"/>
          </w:tcPr>
          <w:p w14:paraId="384F967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 xml:space="preserve">筛选潜力客户 </w:t>
            </w:r>
          </w:p>
        </w:tc>
        <w:tc>
          <w:tcPr>
            <w:tcW w:w="0" w:type="auto"/>
            <w:tcBorders>
              <w:bottom w:val="single" w:color="000000" w:sz="18" w:space="0"/>
            </w:tcBorders>
            <w:vAlign w:val="top"/>
          </w:tcPr>
          <w:p w14:paraId="3DD6C81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每2周1次 （促销驱动）</w:t>
            </w:r>
          </w:p>
        </w:tc>
        <w:tc>
          <w:tcPr>
            <w:tcW w:w="0" w:type="auto"/>
            <w:tcBorders>
              <w:bottom w:val="single" w:color="000000" w:sz="18" w:space="0"/>
            </w:tcBorders>
            <w:vAlign w:val="top"/>
          </w:tcPr>
          <w:p w14:paraId="4FFD50A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P3 （低）</w:t>
            </w:r>
          </w:p>
        </w:tc>
        <w:tc>
          <w:tcPr>
            <w:tcW w:w="0" w:type="auto"/>
            <w:tcBorders>
              <w:bottom w:val="single" w:color="000000" w:sz="18" w:space="0"/>
            </w:tcBorders>
            <w:vAlign w:val="top"/>
          </w:tcPr>
          <w:p w14:paraId="49BBEDA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分散于各聚类边缘，若长期无转化可逐步降低资源投入</w:t>
            </w:r>
          </w:p>
        </w:tc>
      </w:tr>
    </w:tbl>
    <w:p w14:paraId="013A5ADD">
      <w:pPr>
        <w:pStyle w:val="5"/>
      </w:pPr>
      <w:bookmarkStart w:id="81" w:name="Xa1f3fc47a1503fbb06d6a3bd28d37e8caed8bd1"/>
      <w:r>
        <w:t xml:space="preserve">4.3.2 </w:t>
      </w:r>
      <w:r>
        <w:rPr>
          <w:rFonts w:hint="eastAsia"/>
        </w:rPr>
        <w:t>商品分类策略矩阵：BCG定战略，关联定搭配</w:t>
      </w:r>
    </w:p>
    <w:p w14:paraId="6BF0F136">
      <w:pPr>
        <w:pStyle w:val="28"/>
      </w:pPr>
      <w:r>
        <w:rPr>
          <w:rFonts w:hint="eastAsia"/>
        </w:rPr>
        <w:t>综合BCG矩阵和关联规则，形成</w:t>
      </w:r>
      <w:r>
        <w:rPr>
          <w:rFonts w:hint="eastAsia"/>
          <w:b/>
          <w:bCs/>
        </w:rPr>
        <w:t>4×4商品分类策略矩阵</w:t>
      </w:r>
      <w:r>
        <w:rPr>
          <w:rFonts w:hint="eastAsia"/>
        </w:rPr>
        <w:t>，明确每类商品的定价、推广、关联、库存策略。</w:t>
      </w:r>
    </w:p>
    <w:p w14:paraId="77538DF9">
      <w:pPr>
        <w:pStyle w:val="12"/>
        <w:rPr>
          <w:rFonts w:hint="eastAsia" w:eastAsia="宋体"/>
          <w:lang w:val="en-US" w:eastAsia="zh-CN"/>
        </w:rPr>
      </w:pPr>
      <w:r>
        <w:t xml:space="preserve">表 </w:t>
      </w:r>
      <w:r>
        <w:fldChar w:fldCharType="begin"/>
      </w:r>
      <w:r>
        <w:instrText xml:space="preserve"> SEQ 表 \* ARABIC </w:instrText>
      </w:r>
      <w:r>
        <w:fldChar w:fldCharType="separate"/>
      </w:r>
      <w:r>
        <w:t>16</w:t>
      </w:r>
      <w:r>
        <w:fldChar w:fldCharType="end"/>
      </w:r>
      <w:r>
        <w:rPr>
          <w:rFonts w:hint="eastAsia"/>
          <w:lang w:val="en-US" w:eastAsia="zh-CN"/>
        </w:rPr>
        <w:t xml:space="preserve"> 商品分类策略矩阵</w:t>
      </w:r>
    </w:p>
    <w:tbl>
      <w:tblPr>
        <w:tblStyle w:val="46"/>
        <w:tblW w:w="0" w:type="auto"/>
        <w:tblInd w:w="0" w:type="dxa"/>
        <w:tblLayout w:type="autofit"/>
        <w:tblCellMar>
          <w:top w:w="0" w:type="dxa"/>
          <w:left w:w="108" w:type="dxa"/>
          <w:bottom w:w="0" w:type="dxa"/>
          <w:right w:w="108" w:type="dxa"/>
        </w:tblCellMar>
      </w:tblPr>
      <w:tblGrid>
        <w:gridCol w:w="1437"/>
        <w:gridCol w:w="1682"/>
        <w:gridCol w:w="892"/>
        <w:gridCol w:w="1054"/>
        <w:gridCol w:w="1138"/>
        <w:gridCol w:w="1221"/>
        <w:gridCol w:w="1432"/>
      </w:tblGrid>
      <w:tr w14:paraId="31816688">
        <w:tblPrEx>
          <w:tblCellMar>
            <w:top w:w="0" w:type="dxa"/>
            <w:left w:w="108" w:type="dxa"/>
            <w:bottom w:w="0" w:type="dxa"/>
            <w:right w:w="108" w:type="dxa"/>
          </w:tblCellMar>
        </w:tblPrEx>
        <w:trPr>
          <w:tblHeader/>
        </w:trPr>
        <w:tc>
          <w:tcPr>
            <w:tcW w:w="0" w:type="auto"/>
            <w:tcBorders>
              <w:top w:val="single" w:color="000000" w:sz="18" w:space="0"/>
              <w:bottom w:val="single" w:color="000000" w:sz="12" w:space="0"/>
            </w:tcBorders>
            <w:vAlign w:val="center"/>
          </w:tcPr>
          <w:p w14:paraId="6D6FE533">
            <w:pPr>
              <w:keepNext w:val="0"/>
              <w:keepLines w:val="0"/>
              <w:pageBreakBefore w:val="0"/>
              <w:widowControl/>
              <w:suppressLineNumbers w:val="0"/>
              <w:kinsoku/>
              <w:wordWrap/>
              <w:overflowPunct/>
              <w:topLinePunct w:val="0"/>
              <w:autoSpaceDE/>
              <w:autoSpaceDN/>
              <w:bidi w:val="0"/>
              <w:adjustRightInd/>
              <w:snapToGrid/>
              <w:ind w:firstLine="0" w:firstLineChars="0"/>
              <w:jc w:val="center"/>
              <w:rPr>
                <w:sz w:val="21"/>
                <w:szCs w:val="21"/>
              </w:rPr>
            </w:pPr>
            <w:r>
              <w:rPr>
                <w:rFonts w:hint="default" w:ascii="Times New Roman" w:hAnsi="Times New Roman" w:eastAsia="Times New Roman" w:cs="Times New Roman"/>
                <w:b/>
                <w:bCs/>
                <w:i w:val="0"/>
                <w:iCs w:val="0"/>
                <w:caps/>
                <w:color w:val="000000" w:themeColor="text1"/>
                <w:spacing w:val="0"/>
                <w:kern w:val="0"/>
                <w:sz w:val="21"/>
                <w:szCs w:val="21"/>
                <w:lang w:val="en-US" w:eastAsia="zh-CN" w:bidi="ar"/>
              </w:rPr>
              <w:t>BCG类型</w:t>
            </w:r>
          </w:p>
        </w:tc>
        <w:tc>
          <w:tcPr>
            <w:tcW w:w="0" w:type="auto"/>
            <w:tcBorders>
              <w:top w:val="single" w:color="000000" w:sz="18" w:space="0"/>
              <w:bottom w:val="single" w:color="000000" w:sz="12" w:space="0"/>
            </w:tcBorders>
            <w:vAlign w:val="center"/>
          </w:tcPr>
          <w:p w14:paraId="47EF2063">
            <w:pPr>
              <w:keepNext w:val="0"/>
              <w:keepLines w:val="0"/>
              <w:pageBreakBefore w:val="0"/>
              <w:widowControl/>
              <w:suppressLineNumbers w:val="0"/>
              <w:kinsoku/>
              <w:wordWrap/>
              <w:overflowPunct/>
              <w:topLinePunct w:val="0"/>
              <w:autoSpaceDE/>
              <w:autoSpaceDN/>
              <w:bidi w:val="0"/>
              <w:adjustRightInd/>
              <w:snapToGrid/>
              <w:ind w:firstLine="0" w:firstLineChars="0"/>
              <w:jc w:val="center"/>
              <w:rPr>
                <w:rFonts w:hint="eastAsia"/>
                <w:sz w:val="21"/>
                <w:szCs w:val="21"/>
              </w:rPr>
            </w:pPr>
            <w:r>
              <w:rPr>
                <w:rFonts w:hint="default" w:ascii="Times New Roman" w:hAnsi="Times New Roman" w:eastAsia="Times New Roman" w:cs="Times New Roman"/>
                <w:b/>
                <w:bCs/>
                <w:i w:val="0"/>
                <w:iCs w:val="0"/>
                <w:caps/>
                <w:color w:val="000000" w:themeColor="text1"/>
                <w:spacing w:val="0"/>
                <w:kern w:val="0"/>
                <w:sz w:val="21"/>
                <w:szCs w:val="21"/>
                <w:lang w:val="en-US" w:eastAsia="zh-CN" w:bidi="ar"/>
              </w:rPr>
              <w:t>代表商品</w:t>
            </w:r>
          </w:p>
        </w:tc>
        <w:tc>
          <w:tcPr>
            <w:tcW w:w="0" w:type="auto"/>
            <w:tcBorders>
              <w:top w:val="single" w:color="000000" w:sz="18" w:space="0"/>
              <w:bottom w:val="single" w:color="000000" w:sz="12" w:space="0"/>
            </w:tcBorders>
            <w:vAlign w:val="center"/>
          </w:tcPr>
          <w:p w14:paraId="7BC2E315">
            <w:pPr>
              <w:keepNext w:val="0"/>
              <w:keepLines w:val="0"/>
              <w:pageBreakBefore w:val="0"/>
              <w:widowControl/>
              <w:suppressLineNumbers w:val="0"/>
              <w:kinsoku/>
              <w:wordWrap/>
              <w:overflowPunct/>
              <w:topLinePunct w:val="0"/>
              <w:autoSpaceDE/>
              <w:autoSpaceDN/>
              <w:bidi w:val="0"/>
              <w:adjustRightInd/>
              <w:snapToGrid/>
              <w:ind w:firstLine="0" w:firstLineChars="0"/>
              <w:jc w:val="center"/>
              <w:rPr>
                <w:rFonts w:hint="eastAsia"/>
                <w:sz w:val="21"/>
                <w:szCs w:val="21"/>
              </w:rPr>
            </w:pPr>
            <w:r>
              <w:rPr>
                <w:rFonts w:hint="default" w:ascii="Times New Roman" w:hAnsi="Times New Roman" w:eastAsia="Times New Roman" w:cs="Times New Roman"/>
                <w:b/>
                <w:bCs/>
                <w:i w:val="0"/>
                <w:iCs w:val="0"/>
                <w:caps/>
                <w:color w:val="000000" w:themeColor="text1"/>
                <w:spacing w:val="0"/>
                <w:kern w:val="0"/>
                <w:sz w:val="21"/>
                <w:szCs w:val="21"/>
                <w:lang w:val="en-US" w:eastAsia="zh-CN" w:bidi="ar"/>
              </w:rPr>
              <w:t>核心特征</w:t>
            </w:r>
          </w:p>
        </w:tc>
        <w:tc>
          <w:tcPr>
            <w:tcW w:w="0" w:type="auto"/>
            <w:tcBorders>
              <w:top w:val="single" w:color="000000" w:sz="18" w:space="0"/>
              <w:bottom w:val="single" w:color="000000" w:sz="12" w:space="0"/>
            </w:tcBorders>
            <w:vAlign w:val="center"/>
          </w:tcPr>
          <w:p w14:paraId="2BCDE107">
            <w:pPr>
              <w:keepNext w:val="0"/>
              <w:keepLines w:val="0"/>
              <w:pageBreakBefore w:val="0"/>
              <w:widowControl/>
              <w:suppressLineNumbers w:val="0"/>
              <w:kinsoku/>
              <w:wordWrap/>
              <w:overflowPunct/>
              <w:topLinePunct w:val="0"/>
              <w:autoSpaceDE/>
              <w:autoSpaceDN/>
              <w:bidi w:val="0"/>
              <w:adjustRightInd/>
              <w:snapToGrid/>
              <w:ind w:firstLine="0" w:firstLineChars="0"/>
              <w:jc w:val="center"/>
              <w:rPr>
                <w:rFonts w:hint="eastAsia"/>
                <w:sz w:val="21"/>
                <w:szCs w:val="21"/>
              </w:rPr>
            </w:pPr>
            <w:r>
              <w:rPr>
                <w:rFonts w:hint="default" w:ascii="Times New Roman" w:hAnsi="Times New Roman" w:eastAsia="Times New Roman" w:cs="Times New Roman"/>
                <w:b/>
                <w:bCs/>
                <w:i w:val="0"/>
                <w:iCs w:val="0"/>
                <w:caps/>
                <w:color w:val="000000" w:themeColor="text1"/>
                <w:spacing w:val="0"/>
                <w:kern w:val="0"/>
                <w:sz w:val="21"/>
                <w:szCs w:val="21"/>
                <w:lang w:val="en-US" w:eastAsia="zh-CN" w:bidi="ar"/>
              </w:rPr>
              <w:t>定价策略</w:t>
            </w:r>
          </w:p>
        </w:tc>
        <w:tc>
          <w:tcPr>
            <w:tcW w:w="0" w:type="auto"/>
            <w:tcBorders>
              <w:top w:val="single" w:color="000000" w:sz="18" w:space="0"/>
              <w:bottom w:val="single" w:color="000000" w:sz="12" w:space="0"/>
            </w:tcBorders>
            <w:vAlign w:val="center"/>
          </w:tcPr>
          <w:p w14:paraId="7A6358D8">
            <w:pPr>
              <w:keepNext w:val="0"/>
              <w:keepLines w:val="0"/>
              <w:pageBreakBefore w:val="0"/>
              <w:widowControl/>
              <w:suppressLineNumbers w:val="0"/>
              <w:kinsoku/>
              <w:wordWrap/>
              <w:overflowPunct/>
              <w:topLinePunct w:val="0"/>
              <w:autoSpaceDE/>
              <w:autoSpaceDN/>
              <w:bidi w:val="0"/>
              <w:adjustRightInd/>
              <w:snapToGrid/>
              <w:ind w:firstLine="0" w:firstLineChars="0"/>
              <w:jc w:val="center"/>
              <w:rPr>
                <w:rFonts w:hint="eastAsia"/>
                <w:sz w:val="21"/>
                <w:szCs w:val="21"/>
              </w:rPr>
            </w:pPr>
            <w:r>
              <w:rPr>
                <w:rFonts w:hint="default" w:ascii="Times New Roman" w:hAnsi="Times New Roman" w:eastAsia="Times New Roman" w:cs="Times New Roman"/>
                <w:b/>
                <w:bCs/>
                <w:i w:val="0"/>
                <w:iCs w:val="0"/>
                <w:caps/>
                <w:color w:val="000000" w:themeColor="text1"/>
                <w:spacing w:val="0"/>
                <w:kern w:val="0"/>
                <w:sz w:val="21"/>
                <w:szCs w:val="21"/>
                <w:lang w:val="en-US" w:eastAsia="zh-CN" w:bidi="ar"/>
              </w:rPr>
              <w:t>推广策略</w:t>
            </w:r>
          </w:p>
        </w:tc>
        <w:tc>
          <w:tcPr>
            <w:tcW w:w="0" w:type="auto"/>
            <w:tcBorders>
              <w:top w:val="single" w:color="000000" w:sz="18" w:space="0"/>
              <w:bottom w:val="single" w:color="000000" w:sz="12" w:space="0"/>
            </w:tcBorders>
            <w:vAlign w:val="center"/>
          </w:tcPr>
          <w:p w14:paraId="701FE4A8">
            <w:pPr>
              <w:keepNext w:val="0"/>
              <w:keepLines w:val="0"/>
              <w:pageBreakBefore w:val="0"/>
              <w:widowControl/>
              <w:suppressLineNumbers w:val="0"/>
              <w:kinsoku/>
              <w:wordWrap/>
              <w:overflowPunct/>
              <w:topLinePunct w:val="0"/>
              <w:autoSpaceDE/>
              <w:autoSpaceDN/>
              <w:bidi w:val="0"/>
              <w:adjustRightInd/>
              <w:snapToGrid/>
              <w:ind w:firstLine="0" w:firstLineChars="0"/>
              <w:jc w:val="center"/>
              <w:rPr>
                <w:rFonts w:hint="eastAsia"/>
                <w:sz w:val="21"/>
                <w:szCs w:val="21"/>
              </w:rPr>
            </w:pPr>
            <w:r>
              <w:rPr>
                <w:rFonts w:hint="default" w:ascii="Times New Roman" w:hAnsi="Times New Roman" w:eastAsia="Times New Roman" w:cs="Times New Roman"/>
                <w:b/>
                <w:bCs/>
                <w:i w:val="0"/>
                <w:iCs w:val="0"/>
                <w:caps/>
                <w:color w:val="000000" w:themeColor="text1"/>
                <w:spacing w:val="0"/>
                <w:kern w:val="0"/>
                <w:sz w:val="21"/>
                <w:szCs w:val="21"/>
                <w:lang w:val="en-US" w:eastAsia="zh-CN" w:bidi="ar"/>
              </w:rPr>
              <w:t>关联策略</w:t>
            </w:r>
          </w:p>
        </w:tc>
        <w:tc>
          <w:tcPr>
            <w:tcW w:w="0" w:type="auto"/>
            <w:tcBorders>
              <w:top w:val="single" w:color="000000" w:sz="18" w:space="0"/>
              <w:bottom w:val="single" w:color="000000" w:sz="12" w:space="0"/>
            </w:tcBorders>
            <w:vAlign w:val="center"/>
          </w:tcPr>
          <w:p w14:paraId="065A6289">
            <w:pPr>
              <w:keepNext w:val="0"/>
              <w:keepLines w:val="0"/>
              <w:pageBreakBefore w:val="0"/>
              <w:widowControl/>
              <w:suppressLineNumbers w:val="0"/>
              <w:kinsoku/>
              <w:wordWrap/>
              <w:overflowPunct/>
              <w:topLinePunct w:val="0"/>
              <w:autoSpaceDE/>
              <w:autoSpaceDN/>
              <w:bidi w:val="0"/>
              <w:adjustRightInd/>
              <w:snapToGrid/>
              <w:ind w:firstLine="0" w:firstLineChars="0"/>
              <w:jc w:val="center"/>
              <w:rPr>
                <w:rFonts w:hint="eastAsia"/>
                <w:sz w:val="21"/>
                <w:szCs w:val="21"/>
              </w:rPr>
            </w:pPr>
            <w:r>
              <w:rPr>
                <w:rFonts w:hint="default" w:ascii="Times New Roman" w:hAnsi="Times New Roman" w:eastAsia="Times New Roman" w:cs="Times New Roman"/>
                <w:b/>
                <w:bCs/>
                <w:i w:val="0"/>
                <w:iCs w:val="0"/>
                <w:caps/>
                <w:color w:val="000000" w:themeColor="text1"/>
                <w:spacing w:val="0"/>
                <w:kern w:val="0"/>
                <w:sz w:val="21"/>
                <w:szCs w:val="21"/>
                <w:lang w:val="en-US" w:eastAsia="zh-CN" w:bidi="ar"/>
              </w:rPr>
              <w:t>库存策略</w:t>
            </w:r>
          </w:p>
        </w:tc>
      </w:tr>
      <w:tr w14:paraId="35B89059">
        <w:tblPrEx>
          <w:tblCellMar>
            <w:top w:w="0" w:type="dxa"/>
            <w:left w:w="108" w:type="dxa"/>
            <w:bottom w:w="0" w:type="dxa"/>
            <w:right w:w="108" w:type="dxa"/>
          </w:tblCellMar>
        </w:tblPrEx>
        <w:tc>
          <w:tcPr>
            <w:tcW w:w="0" w:type="auto"/>
            <w:tcBorders>
              <w:top w:val="single" w:color="000000" w:sz="12" w:space="0"/>
            </w:tcBorders>
            <w:vAlign w:val="center"/>
          </w:tcPr>
          <w:p w14:paraId="078F8EC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top"/>
              <w:rPr>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Star（明星）</w:t>
            </w:r>
          </w:p>
        </w:tc>
        <w:tc>
          <w:tcPr>
            <w:tcW w:w="0" w:type="auto"/>
            <w:tcBorders>
              <w:top w:val="single" w:color="000000" w:sz="12" w:space="0"/>
            </w:tcBorders>
            <w:vAlign w:val="center"/>
          </w:tcPr>
          <w:p w14:paraId="34D4769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top"/>
              <w:rPr>
                <w:rFonts w:hint="eastAsia"/>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23301、22698、22726/7/8</w:t>
            </w:r>
          </w:p>
        </w:tc>
        <w:tc>
          <w:tcPr>
            <w:tcW w:w="0" w:type="auto"/>
            <w:tcBorders>
              <w:top w:val="single" w:color="000000" w:sz="12" w:space="0"/>
            </w:tcBorders>
            <w:vAlign w:val="center"/>
          </w:tcPr>
          <w:p w14:paraId="5700EBB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top"/>
              <w:rPr>
                <w:rFonts w:hint="eastAsia"/>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高份额+正增长</w:t>
            </w:r>
          </w:p>
        </w:tc>
        <w:tc>
          <w:tcPr>
            <w:tcW w:w="0" w:type="auto"/>
            <w:tcBorders>
              <w:top w:val="single" w:color="000000" w:sz="12" w:space="0"/>
            </w:tcBorders>
            <w:vAlign w:val="center"/>
          </w:tcPr>
          <w:p w14:paraId="0593306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top"/>
              <w:rPr>
                <w:rFonts w:hint="eastAsia"/>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正价为主 谨慎折扣</w:t>
            </w:r>
          </w:p>
        </w:tc>
        <w:tc>
          <w:tcPr>
            <w:tcW w:w="0" w:type="auto"/>
            <w:tcBorders>
              <w:top w:val="single" w:color="000000" w:sz="12" w:space="0"/>
            </w:tcBorders>
            <w:vAlign w:val="center"/>
          </w:tcPr>
          <w:p w14:paraId="2F54420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top"/>
              <w:rPr>
                <w:rFonts w:hint="eastAsia"/>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流量倾斜 首页推荐</w:t>
            </w:r>
          </w:p>
        </w:tc>
        <w:tc>
          <w:tcPr>
            <w:tcW w:w="0" w:type="auto"/>
            <w:tcBorders>
              <w:top w:val="single" w:color="000000" w:sz="12" w:space="0"/>
            </w:tcBorders>
            <w:vAlign w:val="center"/>
          </w:tcPr>
          <w:p w14:paraId="6880259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top"/>
              <w:rPr>
                <w:rFonts w:hint="eastAsia"/>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强关联捆绑 加购推荐</w:t>
            </w:r>
          </w:p>
        </w:tc>
        <w:tc>
          <w:tcPr>
            <w:tcW w:w="0" w:type="auto"/>
            <w:tcBorders>
              <w:top w:val="single" w:color="000000" w:sz="12" w:space="0"/>
            </w:tcBorders>
            <w:vAlign w:val="center"/>
          </w:tcPr>
          <w:p w14:paraId="083EBFB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top"/>
              <w:rPr>
                <w:rFonts w:hint="eastAsia"/>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安全库存+20% 防止缺货</w:t>
            </w:r>
          </w:p>
        </w:tc>
      </w:tr>
      <w:tr w14:paraId="0BB043DE">
        <w:tblPrEx>
          <w:tblCellMar>
            <w:top w:w="0" w:type="dxa"/>
            <w:left w:w="108" w:type="dxa"/>
            <w:bottom w:w="0" w:type="dxa"/>
            <w:right w:w="108" w:type="dxa"/>
          </w:tblCellMar>
        </w:tblPrEx>
        <w:tc>
          <w:tcPr>
            <w:tcW w:w="0" w:type="auto"/>
            <w:vAlign w:val="center"/>
          </w:tcPr>
          <w:p w14:paraId="38474A4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top"/>
              <w:rPr>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Cash Cow（现金牛）</w:t>
            </w:r>
          </w:p>
        </w:tc>
        <w:tc>
          <w:tcPr>
            <w:tcW w:w="0" w:type="auto"/>
            <w:vAlign w:val="center"/>
          </w:tcPr>
          <w:p w14:paraId="2650C96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top"/>
              <w:rPr>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22697/9、22629/30</w:t>
            </w:r>
          </w:p>
        </w:tc>
        <w:tc>
          <w:tcPr>
            <w:tcW w:w="0" w:type="auto"/>
            <w:vAlign w:val="center"/>
          </w:tcPr>
          <w:p w14:paraId="545571B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top"/>
              <w:rPr>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高份额+负增长</w:t>
            </w:r>
          </w:p>
        </w:tc>
        <w:tc>
          <w:tcPr>
            <w:tcW w:w="0" w:type="auto"/>
            <w:vAlign w:val="center"/>
          </w:tcPr>
          <w:p w14:paraId="20E2C69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top"/>
              <w:rPr>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套装折扣 加速周转</w:t>
            </w:r>
          </w:p>
        </w:tc>
        <w:tc>
          <w:tcPr>
            <w:tcW w:w="0" w:type="auto"/>
            <w:vAlign w:val="center"/>
          </w:tcPr>
          <w:p w14:paraId="266470A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top"/>
              <w:rPr>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存量推送 邮件营销</w:t>
            </w:r>
          </w:p>
        </w:tc>
        <w:tc>
          <w:tcPr>
            <w:tcW w:w="0" w:type="auto"/>
            <w:vAlign w:val="center"/>
          </w:tcPr>
          <w:p w14:paraId="73BCF31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top"/>
              <w:rPr>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成套捆绑 清仓组合</w:t>
            </w:r>
          </w:p>
        </w:tc>
        <w:tc>
          <w:tcPr>
            <w:tcW w:w="0" w:type="auto"/>
            <w:vAlign w:val="center"/>
          </w:tcPr>
          <w:p w14:paraId="610D3F7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top"/>
              <w:rPr>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按需备货 避免积压</w:t>
            </w:r>
          </w:p>
        </w:tc>
      </w:tr>
      <w:tr w14:paraId="548CAA84">
        <w:tblPrEx>
          <w:tblCellMar>
            <w:top w:w="0" w:type="dxa"/>
            <w:left w:w="108" w:type="dxa"/>
            <w:bottom w:w="0" w:type="dxa"/>
            <w:right w:w="108" w:type="dxa"/>
          </w:tblCellMar>
        </w:tblPrEx>
        <w:tc>
          <w:tcPr>
            <w:tcW w:w="0" w:type="auto"/>
            <w:tcBorders>
              <w:bottom w:val="nil"/>
            </w:tcBorders>
            <w:vAlign w:val="center"/>
          </w:tcPr>
          <w:p w14:paraId="1BA60A9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top"/>
              <w:rPr>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Question（问题）</w:t>
            </w:r>
          </w:p>
        </w:tc>
        <w:tc>
          <w:tcPr>
            <w:tcW w:w="0" w:type="auto"/>
            <w:tcBorders>
              <w:bottom w:val="nil"/>
            </w:tcBorders>
            <w:vAlign w:val="center"/>
          </w:tcPr>
          <w:p w14:paraId="5C48D37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top"/>
              <w:rPr>
                <w:rFonts w:hint="eastAsia"/>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低份额+正增长品</w:t>
            </w:r>
          </w:p>
        </w:tc>
        <w:tc>
          <w:tcPr>
            <w:tcW w:w="0" w:type="auto"/>
            <w:tcBorders>
              <w:bottom w:val="nil"/>
            </w:tcBorders>
            <w:vAlign w:val="center"/>
          </w:tcPr>
          <w:p w14:paraId="63FAF8F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top"/>
              <w:rPr>
                <w:rFonts w:hint="eastAsia"/>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潜力未释放</w:t>
            </w:r>
          </w:p>
        </w:tc>
        <w:tc>
          <w:tcPr>
            <w:tcW w:w="0" w:type="auto"/>
            <w:tcBorders>
              <w:bottom w:val="nil"/>
            </w:tcBorders>
            <w:vAlign w:val="center"/>
          </w:tcPr>
          <w:p w14:paraId="3DABED8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top"/>
              <w:rPr>
                <w:rFonts w:hint="eastAsia"/>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试用价 满减券</w:t>
            </w:r>
          </w:p>
        </w:tc>
        <w:tc>
          <w:tcPr>
            <w:tcW w:w="0" w:type="auto"/>
            <w:tcBorders>
              <w:bottom w:val="nil"/>
            </w:tcBorders>
            <w:vAlign w:val="center"/>
          </w:tcPr>
          <w:p w14:paraId="2430B63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top"/>
              <w:rPr>
                <w:rFonts w:hint="eastAsia"/>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A/B测试 找爆点</w:t>
            </w:r>
          </w:p>
        </w:tc>
        <w:tc>
          <w:tcPr>
            <w:tcW w:w="0" w:type="auto"/>
            <w:tcBorders>
              <w:bottom w:val="nil"/>
            </w:tcBorders>
            <w:vAlign w:val="center"/>
          </w:tcPr>
          <w:p w14:paraId="4A27BA2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top"/>
              <w:rPr>
                <w:rFonts w:hint="eastAsia"/>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与明星品搭配 借流量</w:t>
            </w:r>
          </w:p>
        </w:tc>
        <w:tc>
          <w:tcPr>
            <w:tcW w:w="0" w:type="auto"/>
            <w:tcBorders>
              <w:bottom w:val="nil"/>
            </w:tcBorders>
            <w:vAlign w:val="center"/>
          </w:tcPr>
          <w:p w14:paraId="29AE84C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top"/>
              <w:rPr>
                <w:rFonts w:hint="eastAsia"/>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小批量试单 快速迭代</w:t>
            </w:r>
          </w:p>
        </w:tc>
      </w:tr>
      <w:tr w14:paraId="1B05A98A">
        <w:tblPrEx>
          <w:tblCellMar>
            <w:top w:w="0" w:type="dxa"/>
            <w:left w:w="108" w:type="dxa"/>
            <w:bottom w:w="0" w:type="dxa"/>
            <w:right w:w="108" w:type="dxa"/>
          </w:tblCellMar>
        </w:tblPrEx>
        <w:tc>
          <w:tcPr>
            <w:tcW w:w="0" w:type="auto"/>
            <w:tcBorders>
              <w:top w:val="nil"/>
              <w:bottom w:val="single" w:color="000000" w:sz="18" w:space="0"/>
            </w:tcBorders>
            <w:vAlign w:val="center"/>
          </w:tcPr>
          <w:p w14:paraId="00DC96B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top"/>
              <w:rPr>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Dog（瘦狗）</w:t>
            </w:r>
          </w:p>
        </w:tc>
        <w:tc>
          <w:tcPr>
            <w:tcW w:w="0" w:type="auto"/>
            <w:tcBorders>
              <w:top w:val="nil"/>
              <w:bottom w:val="single" w:color="000000" w:sz="18" w:space="0"/>
            </w:tcBorders>
            <w:vAlign w:val="center"/>
          </w:tcPr>
          <w:p w14:paraId="39A483B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top"/>
              <w:rPr>
                <w:rFonts w:hint="eastAsia"/>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低份额+负增长品</w:t>
            </w:r>
          </w:p>
        </w:tc>
        <w:tc>
          <w:tcPr>
            <w:tcW w:w="0" w:type="auto"/>
            <w:tcBorders>
              <w:top w:val="nil"/>
              <w:bottom w:val="single" w:color="000000" w:sz="18" w:space="0"/>
            </w:tcBorders>
            <w:vAlign w:val="center"/>
          </w:tcPr>
          <w:p w14:paraId="06D6332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top"/>
              <w:rPr>
                <w:rFonts w:hint="eastAsia"/>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无增长动力</w:t>
            </w:r>
          </w:p>
        </w:tc>
        <w:tc>
          <w:tcPr>
            <w:tcW w:w="0" w:type="auto"/>
            <w:tcBorders>
              <w:top w:val="nil"/>
              <w:bottom w:val="single" w:color="000000" w:sz="18" w:space="0"/>
            </w:tcBorders>
            <w:vAlign w:val="center"/>
          </w:tcPr>
          <w:p w14:paraId="688D00D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top"/>
              <w:rPr>
                <w:rFonts w:hint="eastAsia"/>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清仓价 买赠</w:t>
            </w:r>
          </w:p>
        </w:tc>
        <w:tc>
          <w:tcPr>
            <w:tcW w:w="0" w:type="auto"/>
            <w:tcBorders>
              <w:top w:val="nil"/>
              <w:bottom w:val="single" w:color="000000" w:sz="18" w:space="0"/>
            </w:tcBorders>
            <w:vAlign w:val="center"/>
          </w:tcPr>
          <w:p w14:paraId="163DE8C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top"/>
              <w:rPr>
                <w:rFonts w:hint="eastAsia"/>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限时促销 尾货处理</w:t>
            </w:r>
          </w:p>
        </w:tc>
        <w:tc>
          <w:tcPr>
            <w:tcW w:w="0" w:type="auto"/>
            <w:tcBorders>
              <w:top w:val="nil"/>
              <w:bottom w:val="single" w:color="000000" w:sz="18" w:space="0"/>
            </w:tcBorders>
            <w:vAlign w:val="center"/>
          </w:tcPr>
          <w:p w14:paraId="2475C68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top"/>
              <w:rPr>
                <w:rFonts w:hint="eastAsia"/>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与现金牛搭配 带动出清</w:t>
            </w:r>
          </w:p>
        </w:tc>
        <w:tc>
          <w:tcPr>
            <w:tcW w:w="0" w:type="auto"/>
            <w:tcBorders>
              <w:top w:val="nil"/>
              <w:bottom w:val="single" w:color="000000" w:sz="18" w:space="0"/>
            </w:tcBorders>
            <w:vAlign w:val="center"/>
          </w:tcPr>
          <w:p w14:paraId="79C0500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top"/>
              <w:rPr>
                <w:rFonts w:hint="eastAsia"/>
                <w:b/>
                <w:bCs/>
                <w:sz w:val="21"/>
                <w:szCs w:val="21"/>
              </w:rPr>
            </w:pPr>
            <w:r>
              <w:rPr>
                <w:rFonts w:hint="default" w:ascii="Times New Roman" w:hAnsi="Times New Roman" w:eastAsia="Times New Roman" w:cs="Times New Roman"/>
                <w:i w:val="0"/>
                <w:iCs w:val="0"/>
                <w:caps w:val="0"/>
                <w:color w:val="000000" w:themeColor="text1"/>
                <w:spacing w:val="0"/>
                <w:kern w:val="0"/>
                <w:sz w:val="21"/>
                <w:szCs w:val="21"/>
                <w:lang w:val="en-US" w:eastAsia="zh-CN" w:bidi="ar"/>
              </w:rPr>
              <w:t>逐步淘汰 不再补货</w:t>
            </w:r>
          </w:p>
        </w:tc>
      </w:tr>
      <w:bookmarkEnd w:id="81"/>
    </w:tbl>
    <w:p w14:paraId="47173CA4">
      <w:pPr>
        <w:pStyle w:val="5"/>
      </w:pPr>
      <w:bookmarkStart w:id="82" w:name="X9bfff2a376feb227d3ff7d72f615621e98c0238"/>
      <w:r>
        <w:t xml:space="preserve">4.3.3 </w:t>
      </w:r>
      <w:r>
        <w:rPr>
          <w:rFonts w:hint="eastAsia"/>
        </w:rPr>
        <w:t>分人群分场景的精准策略：六大核心场景详解</w:t>
      </w:r>
    </w:p>
    <w:p w14:paraId="413AAAEB">
      <w:pPr>
        <w:pStyle w:val="28"/>
      </w:pPr>
      <w:r>
        <w:rPr>
          <w:rFonts w:hint="eastAsia"/>
        </w:rPr>
        <w:t>将客户分层与商品分类交叉，理论上可形成24个场景（6类客户×4类商品）。本节聚焦优先级最高的6个核心场景。</w:t>
      </w:r>
    </w:p>
    <w:p w14:paraId="3A49E364">
      <w:pPr>
        <w:pStyle w:val="3"/>
      </w:pPr>
      <w:r>
        <w:rPr>
          <w:rFonts w:hint="eastAsia"/>
        </w:rPr>
        <w:t>场景1：重要价值客户</w:t>
      </w:r>
      <w:r>
        <w:t xml:space="preserve"> × </w:t>
      </w:r>
      <w:r>
        <w:rPr>
          <w:rFonts w:hint="eastAsia"/>
        </w:rPr>
        <w:t>明星商品（高价值客户+高增长商品）</w:t>
      </w:r>
    </w:p>
    <w:p w14:paraId="64D1B243">
      <w:pPr>
        <w:pStyle w:val="3"/>
      </w:pPr>
      <w:r>
        <w:rPr>
          <w:rFonts w:hint="eastAsia"/>
        </w:rPr>
        <w:t>策略定位：</w:t>
      </w:r>
      <w:r>
        <w:t xml:space="preserve"> </w:t>
      </w:r>
      <w:r>
        <w:rPr>
          <w:rFonts w:hint="eastAsia"/>
        </w:rPr>
        <w:t>VIP专属优先购，强化尊贵感与掌控感</w:t>
      </w:r>
    </w:p>
    <w:p w14:paraId="20DEFADB">
      <w:pPr>
        <w:pStyle w:val="3"/>
      </w:pPr>
      <w:r>
        <w:rPr>
          <w:rFonts w:hint="eastAsia"/>
        </w:rPr>
        <w:t>数据支撑：</w:t>
      </w:r>
    </w:p>
    <w:p w14:paraId="624CE21F">
      <w:pPr>
        <w:numPr>
          <w:ilvl w:val="0"/>
          <w:numId w:val="1"/>
        </w:numPr>
      </w:pPr>
      <w:r>
        <w:rPr>
          <w:rFonts w:hint="eastAsia"/>
        </w:rPr>
        <w:t>重要价值客户占比21.87%，但贡献了远超此比例的GMV；</w:t>
      </w:r>
    </w:p>
    <w:p w14:paraId="77C0B4B4">
      <w:pPr>
        <w:numPr>
          <w:ilvl w:val="0"/>
          <w:numId w:val="1"/>
        </w:numPr>
      </w:pPr>
      <w:r>
        <w:rPr>
          <w:rFonts w:hint="eastAsia"/>
        </w:rPr>
        <w:t>明星商品（如23301）处于高增长期，供需关系紧张。</w:t>
      </w:r>
    </w:p>
    <w:p w14:paraId="305A9303">
      <w:pPr>
        <w:pStyle w:val="28"/>
      </w:pPr>
      <w:r>
        <w:rPr>
          <w:rFonts w:hint="eastAsia"/>
        </w:rPr>
        <w:t>动作设计：</w:t>
      </w:r>
    </w:p>
    <w:p w14:paraId="556FC274">
      <w:pPr>
        <w:numPr>
          <w:ilvl w:val="0"/>
          <w:numId w:val="9"/>
        </w:numPr>
      </w:pPr>
      <w:r>
        <w:rPr>
          <w:rFonts w:hint="eastAsia"/>
        </w:rPr>
        <w:t>新品预览权：</w:t>
      </w:r>
      <w:r>
        <w:t xml:space="preserve"> </w:t>
      </w:r>
      <w:r>
        <w:rPr>
          <w:rFonts w:hint="eastAsia"/>
        </w:rPr>
        <w:t>新品上市前7天，向重要价值客户发送"VIP预览邮件"，提供专属9折券，并允许提前下单锁库存；</w:t>
      </w:r>
    </w:p>
    <w:p w14:paraId="39345EC1">
      <w:pPr>
        <w:numPr>
          <w:ilvl w:val="0"/>
          <w:numId w:val="9"/>
        </w:numPr>
      </w:pPr>
      <w:r>
        <w:rPr>
          <w:rFonts w:hint="eastAsia"/>
        </w:rPr>
        <w:t>库存预留提示：</w:t>
      </w:r>
      <w:r>
        <w:t xml:space="preserve"> </w:t>
      </w:r>
      <w:r>
        <w:rPr>
          <w:rFonts w:hint="eastAsia"/>
        </w:rPr>
        <w:t>在明星商品详情页设置"VIP库存预留"标识，显示"您当前等级可优先购买，预计发货时间优于普通客户2天"；</w:t>
      </w:r>
    </w:p>
    <w:p w14:paraId="04481326">
      <w:pPr>
        <w:numPr>
          <w:ilvl w:val="0"/>
          <w:numId w:val="9"/>
        </w:numPr>
      </w:pPr>
      <w:r>
        <w:rPr>
          <w:rFonts w:hint="eastAsia"/>
        </w:rPr>
        <w:t>季度答谢会：</w:t>
      </w:r>
      <w:r>
        <w:t xml:space="preserve"> </w:t>
      </w:r>
      <w:r>
        <w:rPr>
          <w:rFonts w:hint="eastAsia"/>
        </w:rPr>
        <w:t>每季度举办"VIP客户线上品鉴会"，邀请消费Top</w:t>
      </w:r>
      <w:r>
        <w:t xml:space="preserve"> </w:t>
      </w:r>
      <w:r>
        <w:rPr>
          <w:rFonts w:hint="eastAsia"/>
        </w:rPr>
        <w:t>50的客户参与，展示下一季新品设计稿并收集反馈，增强参与感。</w:t>
      </w:r>
    </w:p>
    <w:p w14:paraId="5FBD646C">
      <w:pPr>
        <w:pStyle w:val="28"/>
      </w:pPr>
      <w:r>
        <w:rPr>
          <w:rFonts w:hint="eastAsia"/>
        </w:rPr>
        <w:t>场景2：重要风险客户</w:t>
      </w:r>
      <w:r>
        <w:t xml:space="preserve"> × </w:t>
      </w:r>
      <w:r>
        <w:rPr>
          <w:rFonts w:hint="eastAsia"/>
        </w:rPr>
        <w:t>现金牛商品（沉睡客户+成熟商品）</w:t>
      </w:r>
    </w:p>
    <w:p w14:paraId="7446DE24">
      <w:pPr>
        <w:pStyle w:val="3"/>
      </w:pPr>
      <w:r>
        <w:rPr>
          <w:rFonts w:hint="eastAsia"/>
        </w:rPr>
        <w:t>策略定位：</w:t>
      </w:r>
      <w:r>
        <w:t xml:space="preserve"> </w:t>
      </w:r>
      <w:r>
        <w:rPr>
          <w:rFonts w:hint="eastAsia"/>
        </w:rPr>
        <w:t>爆款唤醒，低门槛回流</w:t>
      </w:r>
    </w:p>
    <w:p w14:paraId="1A0D7009">
      <w:pPr>
        <w:pStyle w:val="3"/>
      </w:pPr>
      <w:r>
        <w:rPr>
          <w:rFonts w:hint="eastAsia"/>
        </w:rPr>
        <w:t>数据支撑：</w:t>
      </w:r>
    </w:p>
    <w:p w14:paraId="087578DD">
      <w:pPr>
        <w:numPr>
          <w:ilvl w:val="0"/>
          <w:numId w:val="1"/>
        </w:numPr>
      </w:pPr>
      <w:r>
        <w:rPr>
          <w:rFonts w:hint="eastAsia"/>
        </w:rPr>
        <w:t>重要风险客户占比24.83%，是最大的人群类型，流失损失巨大；</w:t>
      </w:r>
    </w:p>
    <w:p w14:paraId="2258FA5F">
      <w:pPr>
        <w:numPr>
          <w:ilvl w:val="0"/>
          <w:numId w:val="1"/>
        </w:numPr>
      </w:pPr>
      <w:r>
        <w:rPr>
          <w:rFonts w:hint="eastAsia"/>
        </w:rPr>
        <w:t>现金牛商品（如22629/22630儿童午餐盒）认知度高、决策成本低，适合唤醒。</w:t>
      </w:r>
    </w:p>
    <w:p w14:paraId="4D8108FA">
      <w:pPr>
        <w:pStyle w:val="28"/>
      </w:pPr>
      <w:r>
        <w:rPr>
          <w:rFonts w:hint="eastAsia"/>
        </w:rPr>
        <w:t>动作设计：</w:t>
      </w:r>
    </w:p>
    <w:p w14:paraId="20D60C09">
      <w:pPr>
        <w:numPr>
          <w:ilvl w:val="0"/>
          <w:numId w:val="10"/>
        </w:numPr>
      </w:pPr>
      <w:r>
        <w:rPr>
          <w:rFonts w:hint="eastAsia"/>
        </w:rPr>
        <w:t>定向优惠券：</w:t>
      </w:r>
      <w:r>
        <w:t xml:space="preserve"> </w:t>
      </w:r>
      <w:r>
        <w:rPr>
          <w:rFonts w:hint="eastAsia"/>
        </w:rPr>
        <w:t>筛选出历史购买过现金牛商品但近90天未购买的客户，推送"好久不见！您常买的XXX限时8折"定向券，有效期7天；</w:t>
      </w:r>
    </w:p>
    <w:p w14:paraId="4019C1E6">
      <w:pPr>
        <w:numPr>
          <w:ilvl w:val="0"/>
          <w:numId w:val="10"/>
        </w:numPr>
      </w:pPr>
      <w:r>
        <w:rPr>
          <w:rFonts w:hint="eastAsia"/>
        </w:rPr>
        <w:t>双触达机制：</w:t>
      </w:r>
      <w:r>
        <w:t xml:space="preserve"> </w:t>
      </w:r>
      <w:r>
        <w:rPr>
          <w:rFonts w:hint="eastAsia"/>
        </w:rPr>
        <w:t>若7天内未转化，发送第二封邮件"我们想听听您的意见"，附£5无门槛券+简短调研问卷（3题以内），收集流失原因；</w:t>
      </w:r>
    </w:p>
    <w:p w14:paraId="644C4964">
      <w:pPr>
        <w:numPr>
          <w:ilvl w:val="0"/>
          <w:numId w:val="10"/>
        </w:numPr>
      </w:pPr>
      <w:r>
        <w:rPr>
          <w:rFonts w:hint="eastAsia"/>
        </w:rPr>
        <w:t>流失预警模型：</w:t>
      </w:r>
      <w:r>
        <w:t xml:space="preserve"> </w:t>
      </w:r>
      <w:r>
        <w:rPr>
          <w:rFonts w:hint="eastAsia"/>
        </w:rPr>
        <w:t>对连续两次未响应的客户，标记为"高危流失"，转入人工客服回访名单（电话或WhatsApp）。</w:t>
      </w:r>
    </w:p>
    <w:p w14:paraId="23195261">
      <w:pPr>
        <w:pStyle w:val="28"/>
      </w:pPr>
      <w:r>
        <w:rPr>
          <w:rFonts w:hint="eastAsia"/>
        </w:rPr>
        <w:t>场景3：重要发展客户</w:t>
      </w:r>
      <w:r>
        <w:t xml:space="preserve"> × </w:t>
      </w:r>
      <w:r>
        <w:rPr>
          <w:rFonts w:hint="eastAsia"/>
        </w:rPr>
        <w:t>关联套装（新客+强关联组合）</w:t>
      </w:r>
    </w:p>
    <w:p w14:paraId="0062EA0B">
      <w:pPr>
        <w:pStyle w:val="3"/>
      </w:pPr>
      <w:r>
        <w:rPr>
          <w:rFonts w:hint="eastAsia"/>
        </w:rPr>
        <w:t>策略定位：</w:t>
      </w:r>
      <w:r>
        <w:t xml:space="preserve"> </w:t>
      </w:r>
      <w:r>
        <w:rPr>
          <w:rFonts w:hint="eastAsia"/>
        </w:rPr>
        <w:t>首单转化→套装升级→习惯养成</w:t>
      </w:r>
    </w:p>
    <w:p w14:paraId="7698FBB8">
      <w:pPr>
        <w:pStyle w:val="3"/>
      </w:pPr>
      <w:r>
        <w:rPr>
          <w:rFonts w:hint="eastAsia"/>
        </w:rPr>
        <w:t>数据支撑：</w:t>
      </w:r>
    </w:p>
    <w:p w14:paraId="3A511FBC">
      <w:pPr>
        <w:numPr>
          <w:ilvl w:val="0"/>
          <w:numId w:val="1"/>
        </w:numPr>
      </w:pPr>
      <w:r>
        <w:rPr>
          <w:rFonts w:hint="eastAsia"/>
        </w:rPr>
        <w:t>4.2节验证：23301的重要发展客户占比超配3.66个百分点，具有强拉新属性；</w:t>
      </w:r>
    </w:p>
    <w:p w14:paraId="5A37F9A6">
      <w:pPr>
        <w:numPr>
          <w:ilvl w:val="0"/>
          <w:numId w:val="1"/>
        </w:numPr>
      </w:pPr>
      <w:r>
        <w:rPr>
          <w:rFonts w:hint="eastAsia"/>
        </w:rPr>
        <w:t>关联规则显示：23300</w:t>
      </w:r>
      <w:r>
        <w:t xml:space="preserve"> ↔ 23301 </w:t>
      </w:r>
      <w:r>
        <w:rPr>
          <w:rFonts w:hint="eastAsia"/>
        </w:rPr>
        <w:t>置信度均超60%，双件套购买意愿强。</w:t>
      </w:r>
    </w:p>
    <w:p w14:paraId="5A6A6079">
      <w:pPr>
        <w:pStyle w:val="28"/>
      </w:pPr>
      <w:r>
        <w:rPr>
          <w:rFonts w:hint="eastAsia"/>
        </w:rPr>
        <w:t>动作设计：</w:t>
      </w:r>
    </w:p>
    <w:p w14:paraId="6A5EE8D8">
      <w:pPr>
        <w:numPr>
          <w:ilvl w:val="0"/>
          <w:numId w:val="11"/>
        </w:numPr>
      </w:pPr>
      <w:r>
        <w:rPr>
          <w:rFonts w:hint="eastAsia"/>
        </w:rPr>
        <w:t>包裹内营销：</w:t>
      </w:r>
      <w:r>
        <w:t xml:space="preserve"> </w:t>
      </w:r>
      <w:r>
        <w:rPr>
          <w:rFonts w:hint="eastAsia"/>
        </w:rPr>
        <w:t>新客首单购买23301后，包裹内放入"套装升级券"：购买23300+23301双件套，立减£2（限14天内使用）；</w:t>
      </w:r>
    </w:p>
    <w:p w14:paraId="5C2E78A1">
      <w:pPr>
        <w:numPr>
          <w:ilvl w:val="0"/>
          <w:numId w:val="11"/>
        </w:numPr>
      </w:pPr>
      <w:r>
        <w:rPr>
          <w:rFonts w:hint="eastAsia"/>
        </w:rPr>
        <w:t>第7天跟进：</w:t>
      </w:r>
      <w:r>
        <w:t xml:space="preserve"> </w:t>
      </w:r>
      <w:r>
        <w:rPr>
          <w:rFonts w:hint="eastAsia"/>
        </w:rPr>
        <w:t>推送邮件"您已经体验了KEEP</w:t>
      </w:r>
      <w:r>
        <w:t xml:space="preserve"> </w:t>
      </w:r>
      <w:r>
        <w:rPr>
          <w:rFonts w:hint="eastAsia"/>
        </w:rPr>
        <w:t>CALM款，试试茶杯款？两件搭配更优惠！"，附直接下单链接；</w:t>
      </w:r>
    </w:p>
    <w:p w14:paraId="23F6722C">
      <w:pPr>
        <w:numPr>
          <w:ilvl w:val="0"/>
          <w:numId w:val="11"/>
        </w:numPr>
      </w:pPr>
      <w:r>
        <w:rPr>
          <w:rFonts w:hint="eastAsia"/>
        </w:rPr>
        <w:t>第30天心智建设：</w:t>
      </w:r>
      <w:r>
        <w:t xml:space="preserve"> </w:t>
      </w:r>
      <w:r>
        <w:rPr>
          <w:rFonts w:hint="eastAsia"/>
        </w:rPr>
        <w:t>推送"园艺季必备清单"，包含跪垫+工具+花盆的组合推荐，引导建立"园艺采购=本平台"的心智。</w:t>
      </w:r>
    </w:p>
    <w:p w14:paraId="05E1910B">
      <w:pPr>
        <w:pStyle w:val="28"/>
      </w:pPr>
      <w:r>
        <w:rPr>
          <w:rFonts w:hint="eastAsia"/>
        </w:rPr>
        <w:t>场景4：常规客户</w:t>
      </w:r>
      <w:r>
        <w:t xml:space="preserve"> × </w:t>
      </w:r>
      <w:r>
        <w:rPr>
          <w:rFonts w:hint="eastAsia"/>
        </w:rPr>
        <w:t>颜值梯队商品（稳定客户+多色选择）</w:t>
      </w:r>
    </w:p>
    <w:p w14:paraId="7E4A5D3D">
      <w:pPr>
        <w:pStyle w:val="3"/>
      </w:pPr>
      <w:r>
        <w:rPr>
          <w:rFonts w:hint="eastAsia"/>
        </w:rPr>
        <w:t>策略定位：</w:t>
      </w:r>
      <w:r>
        <w:t xml:space="preserve"> </w:t>
      </w:r>
      <w:r>
        <w:rPr>
          <w:rFonts w:hint="eastAsia"/>
        </w:rPr>
        <w:t>收集心理驱动，提升客单价</w:t>
      </w:r>
    </w:p>
    <w:p w14:paraId="5BE9D7ED">
      <w:pPr>
        <w:pStyle w:val="3"/>
      </w:pPr>
      <w:r>
        <w:rPr>
          <w:rFonts w:hint="eastAsia"/>
        </w:rPr>
        <w:t>数据支撑：</w:t>
      </w:r>
    </w:p>
    <w:p w14:paraId="652C0875">
      <w:pPr>
        <w:numPr>
          <w:ilvl w:val="0"/>
          <w:numId w:val="1"/>
        </w:numPr>
      </w:pPr>
      <w:r>
        <w:rPr>
          <w:rFonts w:hint="eastAsia"/>
        </w:rPr>
        <w:t>常规客户占比38.81%，是平台基本盘，但客单价提升空间大；</w:t>
      </w:r>
    </w:p>
    <w:p w14:paraId="5EE57519">
      <w:pPr>
        <w:numPr>
          <w:ilvl w:val="0"/>
          <w:numId w:val="1"/>
        </w:numPr>
      </w:pPr>
      <w:r>
        <w:rPr>
          <w:rFonts w:hint="eastAsia"/>
        </w:rPr>
        <w:t>4.1节验证：复古闹钟三色（22726/7/8）形成"颜值梯队"，存在收集式购买行为。</w:t>
      </w:r>
    </w:p>
    <w:p w14:paraId="0895633B">
      <w:pPr>
        <w:pStyle w:val="28"/>
      </w:pPr>
      <w:r>
        <w:rPr>
          <w:rFonts w:hint="eastAsia"/>
        </w:rPr>
        <w:t>动作设计：</w:t>
      </w:r>
    </w:p>
    <w:p w14:paraId="69D16AC9">
      <w:pPr>
        <w:numPr>
          <w:ilvl w:val="0"/>
          <w:numId w:val="12"/>
        </w:numPr>
      </w:pPr>
      <w:r>
        <w:rPr>
          <w:rFonts w:hint="eastAsia"/>
        </w:rPr>
        <w:t>收集进度条：</w:t>
      </w:r>
      <w:r>
        <w:t xml:space="preserve"> </w:t>
      </w:r>
      <w:r>
        <w:rPr>
          <w:rFonts w:hint="eastAsia"/>
        </w:rPr>
        <w:t>在复古闹钟三色的详情页设置"收集进度条"："您已拥有1/3颜色，集齐三色享9折！"，并显示"还差这个颜色"的推荐；</w:t>
      </w:r>
    </w:p>
    <w:p w14:paraId="56D0D7C3">
      <w:pPr>
        <w:numPr>
          <w:ilvl w:val="0"/>
          <w:numId w:val="12"/>
        </w:numPr>
      </w:pPr>
      <w:r>
        <w:rPr>
          <w:rFonts w:hint="eastAsia"/>
        </w:rPr>
        <w:t>定向缺口提醒：</w:t>
      </w:r>
      <w:r>
        <w:t xml:space="preserve"> </w:t>
      </w:r>
      <w:r>
        <w:rPr>
          <w:rFonts w:hint="eastAsia"/>
        </w:rPr>
        <w:t>针对已购买1–2色的客户，推送"还差这个颜色就集齐了！专属补全券85折"；</w:t>
      </w:r>
    </w:p>
    <w:p w14:paraId="1424B3EA">
      <w:pPr>
        <w:numPr>
          <w:ilvl w:val="0"/>
          <w:numId w:val="12"/>
        </w:numPr>
      </w:pPr>
      <w:r>
        <w:rPr>
          <w:rFonts w:hint="eastAsia"/>
        </w:rPr>
        <w:t>社交UGC激励：</w:t>
      </w:r>
      <w:r>
        <w:t xml:space="preserve"> </w:t>
      </w:r>
      <w:r>
        <w:rPr>
          <w:rFonts w:hint="eastAsia"/>
        </w:rPr>
        <w:t>发起"#MyBakelikeCollection"话题挑战，鼓励用户晒出三色并列的场景图，获奖者赠送下一季新品。</w:t>
      </w:r>
    </w:p>
    <w:p w14:paraId="44BC558F">
      <w:pPr>
        <w:pStyle w:val="28"/>
      </w:pPr>
      <w:r>
        <w:rPr>
          <w:rFonts w:hint="eastAsia"/>
        </w:rPr>
        <w:t>场景5：重要留存客户</w:t>
      </w:r>
      <w:r>
        <w:t xml:space="preserve"> × </w:t>
      </w:r>
      <w:r>
        <w:rPr>
          <w:rFonts w:hint="eastAsia"/>
        </w:rPr>
        <w:t>高单价商品（高频低消+升级引导）</w:t>
      </w:r>
    </w:p>
    <w:p w14:paraId="0067CF42">
      <w:pPr>
        <w:pStyle w:val="3"/>
      </w:pPr>
      <w:r>
        <w:rPr>
          <w:rFonts w:hint="eastAsia"/>
        </w:rPr>
        <w:t>策略定位：</w:t>
      </w:r>
      <w:r>
        <w:t xml:space="preserve"> </w:t>
      </w:r>
      <w:r>
        <w:rPr>
          <w:rFonts w:hint="eastAsia"/>
        </w:rPr>
        <w:t>高频带高消，突破消费天花板</w:t>
      </w:r>
    </w:p>
    <w:p w14:paraId="400D432F">
      <w:pPr>
        <w:pStyle w:val="3"/>
      </w:pPr>
      <w:r>
        <w:rPr>
          <w:rFonts w:hint="eastAsia"/>
        </w:rPr>
        <w:t>数据支撑：</w:t>
      </w:r>
    </w:p>
    <w:p w14:paraId="57C3A4B1">
      <w:pPr>
        <w:numPr>
          <w:ilvl w:val="0"/>
          <w:numId w:val="1"/>
        </w:numPr>
      </w:pPr>
      <w:r>
        <w:rPr>
          <w:rFonts w:hint="eastAsia"/>
        </w:rPr>
        <w:t>重要留存客户F值高但M值低，存在"买得多但花得少"的瓶颈；</w:t>
      </w:r>
    </w:p>
    <w:p w14:paraId="208E9881">
      <w:pPr>
        <w:numPr>
          <w:ilvl w:val="0"/>
          <w:numId w:val="1"/>
        </w:numPr>
      </w:pPr>
      <w:r>
        <w:rPr>
          <w:rFonts w:hint="eastAsia"/>
        </w:rPr>
        <w:t>4.2节策略验证：通过"加价购"和"套装专享价"可有效引导其尝试高单价商品。</w:t>
      </w:r>
    </w:p>
    <w:p w14:paraId="2547B1AF">
      <w:pPr>
        <w:pStyle w:val="28"/>
      </w:pPr>
      <w:r>
        <w:rPr>
          <w:rFonts w:hint="eastAsia"/>
        </w:rPr>
        <w:t>动作设计：</w:t>
      </w:r>
    </w:p>
    <w:p w14:paraId="0D43201E">
      <w:pPr>
        <w:numPr>
          <w:ilvl w:val="0"/>
          <w:numId w:val="13"/>
        </w:numPr>
      </w:pPr>
      <w:r>
        <w:rPr>
          <w:rFonts w:hint="eastAsia"/>
        </w:rPr>
        <w:t>专属升级券：</w:t>
      </w:r>
      <w:r>
        <w:t xml:space="preserve"> </w:t>
      </w:r>
      <w:r>
        <w:rPr>
          <w:rFonts w:hint="eastAsia"/>
        </w:rPr>
        <w:t>筛选出F值≥5但M值低于平均的重要留存客户，推送"您是我们的忠实用户！专属升级福利：满£100减£15"；</w:t>
      </w:r>
    </w:p>
    <w:p w14:paraId="74FAA0FD">
      <w:pPr>
        <w:numPr>
          <w:ilvl w:val="0"/>
          <w:numId w:val="13"/>
        </w:numPr>
      </w:pPr>
      <w:r>
        <w:rPr>
          <w:rFonts w:hint="eastAsia"/>
        </w:rPr>
        <w:t>高单价推荐位：</w:t>
      </w:r>
      <w:r>
        <w:t xml:space="preserve"> </w:t>
      </w:r>
      <w:r>
        <w:rPr>
          <w:rFonts w:hint="eastAsia"/>
        </w:rPr>
        <w:t>在其个性化推荐流中，优先展示单价£30+的商品（如套装、礼盒、限量款），逐步提升其消费阈值；</w:t>
      </w:r>
    </w:p>
    <w:p w14:paraId="19DA70BC">
      <w:pPr>
        <w:numPr>
          <w:ilvl w:val="0"/>
          <w:numId w:val="13"/>
        </w:numPr>
      </w:pPr>
      <w:r>
        <w:rPr>
          <w:rFonts w:hint="eastAsia"/>
        </w:rPr>
        <w:t>积分兑换机制：</w:t>
      </w:r>
      <w:r>
        <w:t xml:space="preserve"> </w:t>
      </w:r>
      <w:r>
        <w:rPr>
          <w:rFonts w:hint="eastAsia"/>
        </w:rPr>
        <w:t>设计"忠诚积分计划"：每购买£1积1分，满100分可兑换£10券，鼓励累积消费而非单次低价。</w:t>
      </w:r>
    </w:p>
    <w:p w14:paraId="60E69904">
      <w:pPr>
        <w:pStyle w:val="28"/>
      </w:pPr>
      <w:r>
        <w:rPr>
          <w:rFonts w:hint="eastAsia"/>
        </w:rPr>
        <w:t>场景6：一般价值客户</w:t>
      </w:r>
      <w:r>
        <w:t xml:space="preserve"> × </w:t>
      </w:r>
      <w:r>
        <w:rPr>
          <w:rFonts w:hint="eastAsia"/>
        </w:rPr>
        <w:t>低价试用商品（边缘客户+引流款）</w:t>
      </w:r>
    </w:p>
    <w:p w14:paraId="4CD8A9D4">
      <w:pPr>
        <w:pStyle w:val="3"/>
      </w:pPr>
      <w:r>
        <w:rPr>
          <w:rFonts w:hint="eastAsia"/>
        </w:rPr>
        <w:t>策略定位：</w:t>
      </w:r>
      <w:r>
        <w:t xml:space="preserve"> </w:t>
      </w:r>
      <w:r>
        <w:rPr>
          <w:rFonts w:hint="eastAsia"/>
        </w:rPr>
        <w:t>低价获客，筛选潜力</w:t>
      </w:r>
    </w:p>
    <w:p w14:paraId="5257591C">
      <w:pPr>
        <w:pStyle w:val="3"/>
      </w:pPr>
      <w:r>
        <w:rPr>
          <w:rFonts w:hint="eastAsia"/>
        </w:rPr>
        <w:t>数据支撑：</w:t>
      </w:r>
    </w:p>
    <w:p w14:paraId="5B80CD2C">
      <w:pPr>
        <w:numPr>
          <w:ilvl w:val="0"/>
          <w:numId w:val="1"/>
        </w:numPr>
      </w:pPr>
      <w:r>
        <w:rPr>
          <w:rFonts w:hint="eastAsia"/>
        </w:rPr>
        <w:t>4.2节验证：23301的一般价值客户超配2.81个百分点，低价策略成功吸引价格敏感型客户；</w:t>
      </w:r>
    </w:p>
    <w:p w14:paraId="72A961BE">
      <w:pPr>
        <w:numPr>
          <w:ilvl w:val="0"/>
          <w:numId w:val="1"/>
        </w:numPr>
      </w:pPr>
      <w:r>
        <w:rPr>
          <w:rFonts w:hint="eastAsia"/>
        </w:rPr>
        <w:t>该类型客户占比仅3.36%，资源投入需谨慎，以"筛选"而非"培养"为主。</w:t>
      </w:r>
    </w:p>
    <w:p w14:paraId="067429D4">
      <w:pPr>
        <w:pStyle w:val="28"/>
      </w:pPr>
      <w:r>
        <w:rPr>
          <w:rFonts w:hint="eastAsia"/>
        </w:rPr>
        <w:t>动作设计：</w:t>
      </w:r>
    </w:p>
    <w:p w14:paraId="045AEF9D">
      <w:pPr>
        <w:numPr>
          <w:ilvl w:val="0"/>
          <w:numId w:val="14"/>
        </w:numPr>
      </w:pPr>
      <w:r>
        <w:rPr>
          <w:rFonts w:hint="eastAsia"/>
        </w:rPr>
        <w:t>新客试用款：</w:t>
      </w:r>
      <w:r>
        <w:t xml:space="preserve"> </w:t>
      </w:r>
      <w:r>
        <w:rPr>
          <w:rFonts w:hint="eastAsia"/>
        </w:rPr>
        <w:t>将23301等单价£5以下的商品设为"新客试用款"，首单专享价£1.65（限购1件）；</w:t>
      </w:r>
    </w:p>
    <w:p w14:paraId="3C2ADC44">
      <w:pPr>
        <w:numPr>
          <w:ilvl w:val="0"/>
          <w:numId w:val="14"/>
        </w:numPr>
      </w:pPr>
      <w:r>
        <w:rPr>
          <w:rFonts w:hint="eastAsia"/>
        </w:rPr>
        <w:t>正价测试券：</w:t>
      </w:r>
      <w:r>
        <w:t xml:space="preserve"> </w:t>
      </w:r>
      <w:r>
        <w:rPr>
          <w:rFonts w:hint="eastAsia"/>
        </w:rPr>
        <w:t>购买后推送"正价商品尝鲜券"：指定正价商品9折券，测试其价格敏感度；</w:t>
      </w:r>
    </w:p>
    <w:p w14:paraId="4C312529">
      <w:pPr>
        <w:numPr>
          <w:ilvl w:val="0"/>
          <w:numId w:val="14"/>
        </w:numPr>
      </w:pPr>
      <w:r>
        <w:rPr>
          <w:rFonts w:hint="eastAsia"/>
        </w:rPr>
        <w:t>自动降级机制：</w:t>
      </w:r>
      <w:r>
        <w:t xml:space="preserve"> </w:t>
      </w:r>
      <w:r>
        <w:rPr>
          <w:rFonts w:hint="eastAsia"/>
        </w:rPr>
        <w:t>若30天内未复购正价商品，则降低触达频率至每月1次，归入"低优先级"人群，避免资源浪费。</w:t>
      </w:r>
    </w:p>
    <w:bookmarkEnd w:id="78"/>
    <w:bookmarkEnd w:id="80"/>
    <w:bookmarkEnd w:id="82"/>
    <w:p w14:paraId="1F6DA8D8">
      <w:pPr>
        <w:pStyle w:val="2"/>
      </w:pPr>
      <w:bookmarkStart w:id="83" w:name="_Toc27892"/>
      <w:bookmarkStart w:id="84" w:name="Xe2a593c02184ac0b0b31fd00747efb5c0f81b47"/>
      <w:r>
        <w:t xml:space="preserve">5. </w:t>
      </w:r>
      <w:r>
        <w:rPr>
          <w:rFonts w:hint="eastAsia"/>
        </w:rPr>
        <w:t>总结与局限性分析</w:t>
      </w:r>
      <w:bookmarkEnd w:id="83"/>
    </w:p>
    <w:p w14:paraId="6DDE9D6E">
      <w:pPr>
        <w:pStyle w:val="28"/>
      </w:pPr>
      <w:r>
        <w:rPr>
          <w:rFonts w:hint="eastAsia"/>
        </w:rPr>
        <w:t>本研究以英国某在线零售商的真实交易数据为基础，围绕“用户价值识别—消费行为挖掘—商品战略分类—关联规则发现—精准策略设计”这一主线，系统性地构建了从数据挖掘到运营落地的完整闭环。通过</w:t>
      </w:r>
      <w:r>
        <w:t xml:space="preserve"> K-means </w:t>
      </w:r>
      <w:r>
        <w:rPr>
          <w:rFonts w:hint="eastAsia"/>
        </w:rPr>
        <w:t>聚类、RFM</w:t>
      </w:r>
      <w:r>
        <w:t xml:space="preserve"> </w:t>
      </w:r>
      <w:r>
        <w:rPr>
          <w:rFonts w:hint="eastAsia"/>
        </w:rPr>
        <w:t>分层、BCG</w:t>
      </w:r>
      <w:r>
        <w:t xml:space="preserve"> </w:t>
      </w:r>
      <w:r>
        <w:rPr>
          <w:rFonts w:hint="eastAsia"/>
        </w:rPr>
        <w:t>矩阵、Apriori</w:t>
      </w:r>
      <w:r>
        <w:t xml:space="preserve"> </w:t>
      </w:r>
      <w:r>
        <w:rPr>
          <w:rFonts w:hint="eastAsia"/>
        </w:rPr>
        <w:t>关联规则四种独立分析方法，以及“关联×BCG”“关联×RFM”两种交叉验证机制，本研究揭示了该平台客户结构与商品特征的深层规律。</w:t>
      </w:r>
    </w:p>
    <w:p w14:paraId="34FB205F">
      <w:pPr>
        <w:pStyle w:val="4"/>
      </w:pPr>
      <w:bookmarkStart w:id="85" w:name="_Toc25302"/>
      <w:bookmarkStart w:id="86" w:name="X07e8ab18c559c826422cdae91c3b88ac78b0c25"/>
      <w:r>
        <w:t xml:space="preserve">5.1 </w:t>
      </w:r>
      <w:r>
        <w:rPr>
          <w:rFonts w:hint="eastAsia"/>
        </w:rPr>
        <w:t>主要研究发现</w:t>
      </w:r>
      <w:bookmarkEnd w:id="85"/>
    </w:p>
    <w:p w14:paraId="3B2794BB">
      <w:pPr>
        <w:pStyle w:val="5"/>
      </w:pPr>
      <w:bookmarkStart w:id="87" w:name="X51a28254c45dcc4fde3f3e8c53033740359d46e"/>
      <w:r>
        <w:t xml:space="preserve">5.1.1 </w:t>
      </w:r>
      <w:r>
        <w:rPr>
          <w:rFonts w:hint="eastAsia"/>
        </w:rPr>
        <w:t>客户结构：极端金字塔分布，少数高价值客户主导营收</w:t>
      </w:r>
    </w:p>
    <w:p w14:paraId="09BF19B0">
      <w:pPr>
        <w:pStyle w:val="28"/>
      </w:pPr>
      <w:r>
        <w:t xml:space="preserve">K-means </w:t>
      </w:r>
      <w:r>
        <w:rPr>
          <w:rFonts w:hint="eastAsia"/>
        </w:rPr>
        <w:t>聚类与</w:t>
      </w:r>
      <w:r>
        <w:t xml:space="preserve"> RFM </w:t>
      </w:r>
      <w:r>
        <w:rPr>
          <w:rFonts w:hint="eastAsia"/>
        </w:rPr>
        <w:t>分层的双重验证揭示，该平台的客户价值分布呈现典型的“二八定律”甚至“一九定律”：</w:t>
      </w:r>
    </w:p>
    <w:p w14:paraId="5E05EB46">
      <w:pPr>
        <w:numPr>
          <w:ilvl w:val="0"/>
          <w:numId w:val="1"/>
        </w:numPr>
      </w:pPr>
      <w:r>
        <w:rPr>
          <w:b/>
          <w:bCs/>
        </w:rPr>
        <w:t xml:space="preserve">0.3% </w:t>
      </w:r>
      <w:r>
        <w:rPr>
          <w:rFonts w:hint="eastAsia"/>
          <w:b/>
          <w:bCs/>
        </w:rPr>
        <w:t>的顶级</w:t>
      </w:r>
      <w:r>
        <w:rPr>
          <w:b/>
          <w:bCs/>
        </w:rPr>
        <w:t xml:space="preserve"> VIP </w:t>
      </w:r>
      <w:r>
        <w:rPr>
          <w:rFonts w:hint="eastAsia"/>
          <w:b/>
          <w:bCs/>
        </w:rPr>
        <w:t>客户（Cluster</w:t>
      </w:r>
      <w:r>
        <w:rPr>
          <w:b/>
          <w:bCs/>
        </w:rPr>
        <w:t xml:space="preserve"> </w:t>
      </w:r>
      <w:r>
        <w:rPr>
          <w:rFonts w:hint="eastAsia"/>
          <w:b/>
          <w:bCs/>
        </w:rPr>
        <w:t>3）</w:t>
      </w:r>
      <w:r>
        <w:t xml:space="preserve"> </w:t>
      </w:r>
      <w:r>
        <w:rPr>
          <w:rFonts w:hint="eastAsia"/>
        </w:rPr>
        <w:t>与</w:t>
      </w:r>
      <w:r>
        <w:t xml:space="preserve"> </w:t>
      </w:r>
      <w:r>
        <w:rPr>
          <w:b/>
          <w:bCs/>
        </w:rPr>
        <w:t xml:space="preserve">4.4% </w:t>
      </w:r>
      <w:r>
        <w:rPr>
          <w:rFonts w:hint="eastAsia"/>
          <w:b/>
          <w:bCs/>
        </w:rPr>
        <w:t>的高价值忠诚客户（Cluster</w:t>
      </w:r>
      <w:r>
        <w:rPr>
          <w:b/>
          <w:bCs/>
        </w:rPr>
        <w:t xml:space="preserve"> </w:t>
      </w:r>
      <w:r>
        <w:rPr>
          <w:rFonts w:hint="eastAsia"/>
          <w:b/>
          <w:bCs/>
        </w:rPr>
        <w:t>2）</w:t>
      </w:r>
      <w:r>
        <w:t xml:space="preserve"> </w:t>
      </w:r>
      <w:r>
        <w:rPr>
          <w:rFonts w:hint="eastAsia"/>
        </w:rPr>
        <w:t>合计仅占客户总数的</w:t>
      </w:r>
      <w:r>
        <w:t xml:space="preserve"> </w:t>
      </w:r>
      <w:r>
        <w:rPr>
          <w:rFonts w:hint="eastAsia"/>
        </w:rPr>
        <w:t>4.7%，但其人均消费金额（£121,827</w:t>
      </w:r>
      <w:r>
        <w:t xml:space="preserve"> </w:t>
      </w:r>
      <w:r>
        <w:rPr>
          <w:rFonts w:hint="eastAsia"/>
        </w:rPr>
        <w:t>与</w:t>
      </w:r>
      <w:r>
        <w:t xml:space="preserve"> </w:t>
      </w:r>
      <w:r>
        <w:rPr>
          <w:rFonts w:hint="eastAsia"/>
        </w:rPr>
        <w:t>£12,386）远超其余</w:t>
      </w:r>
      <w:r>
        <w:t xml:space="preserve"> 95% </w:t>
      </w:r>
      <w:r>
        <w:rPr>
          <w:rFonts w:hint="eastAsia"/>
        </w:rPr>
        <w:t>的客户。这部分客户对应</w:t>
      </w:r>
      <w:r>
        <w:t xml:space="preserve"> RFM </w:t>
      </w:r>
      <w:r>
        <w:rPr>
          <w:rFonts w:hint="eastAsia"/>
        </w:rPr>
        <w:t>中的“重要价值客户”（21.87%），是企业收入的核心支柱。</w:t>
      </w:r>
    </w:p>
    <w:p w14:paraId="742BEDF7">
      <w:pPr>
        <w:numPr>
          <w:ilvl w:val="0"/>
          <w:numId w:val="1"/>
        </w:numPr>
      </w:pPr>
      <w:r>
        <w:rPr>
          <w:b/>
          <w:bCs/>
        </w:rPr>
        <w:t xml:space="preserve">70.8% </w:t>
      </w:r>
      <w:r>
        <w:rPr>
          <w:rFonts w:hint="eastAsia"/>
          <w:b/>
          <w:bCs/>
        </w:rPr>
        <w:t>的中坚潜力客户（Cluster</w:t>
      </w:r>
      <w:r>
        <w:rPr>
          <w:b/>
          <w:bCs/>
        </w:rPr>
        <w:t xml:space="preserve"> </w:t>
      </w:r>
      <w:r>
        <w:rPr>
          <w:rFonts w:hint="eastAsia"/>
          <w:b/>
          <w:bCs/>
        </w:rPr>
        <w:t>1）</w:t>
      </w:r>
      <w:r>
        <w:t xml:space="preserve"> </w:t>
      </w:r>
      <w:r>
        <w:rPr>
          <w:rFonts w:hint="eastAsia"/>
        </w:rPr>
        <w:t>构成客户主体，对应</w:t>
      </w:r>
      <w:r>
        <w:t xml:space="preserve"> RFM </w:t>
      </w:r>
      <w:r>
        <w:rPr>
          <w:rFonts w:hint="eastAsia"/>
        </w:rPr>
        <w:t>中的“常规客户”（38.81%）与部分“重要发展客户”（7.20%）。该群体复购习惯初步形成，但采购频次与客单价仍有巨大提升空间，是精准运营策略最具杠杆效应的目标池。</w:t>
      </w:r>
    </w:p>
    <w:p w14:paraId="1E588D93">
      <w:pPr>
        <w:numPr>
          <w:ilvl w:val="0"/>
          <w:numId w:val="1"/>
        </w:numPr>
      </w:pPr>
      <w:r>
        <w:rPr>
          <w:b/>
          <w:bCs/>
        </w:rPr>
        <w:t xml:space="preserve">24.5% </w:t>
      </w:r>
      <w:r>
        <w:rPr>
          <w:rFonts w:hint="eastAsia"/>
          <w:b/>
          <w:bCs/>
        </w:rPr>
        <w:t>的流失风险客户（Cluster</w:t>
      </w:r>
      <w:r>
        <w:rPr>
          <w:b/>
          <w:bCs/>
        </w:rPr>
        <w:t xml:space="preserve"> </w:t>
      </w:r>
      <w:r>
        <w:rPr>
          <w:rFonts w:hint="eastAsia"/>
          <w:b/>
          <w:bCs/>
        </w:rPr>
        <w:t>0）</w:t>
      </w:r>
      <w:r>
        <w:t xml:space="preserve"> </w:t>
      </w:r>
      <w:r>
        <w:rPr>
          <w:rFonts w:hint="eastAsia"/>
        </w:rPr>
        <w:t>对应</w:t>
      </w:r>
      <w:r>
        <w:t xml:space="preserve"> RFM </w:t>
      </w:r>
      <w:r>
        <w:rPr>
          <w:rFonts w:hint="eastAsia"/>
        </w:rPr>
        <w:t>中的“重要风险客户”（24.83%），其平均</w:t>
      </w:r>
      <w:r>
        <w:t xml:space="preserve"> Recency </w:t>
      </w:r>
      <w:r>
        <w:rPr>
          <w:rFonts w:hint="eastAsia"/>
        </w:rPr>
        <w:t>已超过</w:t>
      </w:r>
      <w:r>
        <w:t xml:space="preserve"> 8 </w:t>
      </w:r>
      <w:r>
        <w:rPr>
          <w:rFonts w:hint="eastAsia"/>
        </w:rPr>
        <w:t>个月，且历史消费金额差异极大——部分客户曾单笔消费超</w:t>
      </w:r>
      <w:r>
        <w:t xml:space="preserve"> </w:t>
      </w:r>
      <w:r>
        <w:rPr>
          <w:rFonts w:hint="eastAsia"/>
        </w:rPr>
        <w:t>£70,000，一旦流失将造成重大损失。</w:t>
      </w:r>
    </w:p>
    <w:p w14:paraId="7BE03777">
      <w:pPr>
        <w:pStyle w:val="28"/>
      </w:pPr>
      <w:r>
        <w:rPr>
          <w:rFonts w:hint="eastAsia"/>
          <w:b/>
          <w:bCs/>
        </w:rPr>
        <w:t>核心洞察：</w:t>
      </w:r>
      <w:r>
        <w:t xml:space="preserve"> </w:t>
      </w:r>
      <w:r>
        <w:rPr>
          <w:rFonts w:hint="eastAsia"/>
        </w:rPr>
        <w:t>客户运营资源不应“平均分配”，而应向</w:t>
      </w:r>
      <w:r>
        <w:t xml:space="preserve"> P0 </w:t>
      </w:r>
      <w:r>
        <w:rPr>
          <w:rFonts w:hint="eastAsia"/>
        </w:rPr>
        <w:t>优先级（重要价值客户</w:t>
      </w:r>
      <w:r>
        <w:t xml:space="preserve"> + </w:t>
      </w:r>
      <w:r>
        <w:rPr>
          <w:rFonts w:hint="eastAsia"/>
        </w:rPr>
        <w:t>重要风险客户）倾斜，前者防流失、后者促唤醒，两者合计占比近</w:t>
      </w:r>
      <w:r>
        <w:t xml:space="preserve"> </w:t>
      </w:r>
      <w:r>
        <w:rPr>
          <w:rFonts w:hint="eastAsia"/>
        </w:rPr>
        <w:t>50%，决定平台营收基本盘</w:t>
      </w:r>
    </w:p>
    <w:bookmarkEnd w:id="87"/>
    <w:p w14:paraId="1C518EF9">
      <w:pPr>
        <w:pStyle w:val="5"/>
      </w:pPr>
      <w:bookmarkStart w:id="88" w:name="X44bc4675ff0cbaf95648f18a3ffd3f744ce3947"/>
      <w:r>
        <w:t xml:space="preserve">5.1.2 </w:t>
      </w:r>
      <w:r>
        <w:rPr>
          <w:rFonts w:hint="eastAsia"/>
        </w:rPr>
        <w:t>商品结构：头部集中、尾部冗长，现金牛与明星产品双轮驱动</w:t>
      </w:r>
    </w:p>
    <w:p w14:paraId="6FF29B09">
      <w:pPr>
        <w:pStyle w:val="28"/>
      </w:pPr>
      <w:r>
        <w:t xml:space="preserve">BCG </w:t>
      </w:r>
      <w:r>
        <w:rPr>
          <w:rFonts w:hint="eastAsia"/>
        </w:rPr>
        <w:t>矩阵分析显示，该平台商品结构呈现“少数爆款主导、大量长尾拖累”的特征：</w:t>
      </w:r>
    </w:p>
    <w:p w14:paraId="489C796C">
      <w:pPr>
        <w:numPr>
          <w:ilvl w:val="0"/>
          <w:numId w:val="1"/>
        </w:numPr>
      </w:pPr>
      <w:r>
        <w:rPr>
          <w:rFonts w:hint="eastAsia"/>
          <w:b/>
          <w:bCs/>
        </w:rPr>
        <w:t>现金牛产品（Cash</w:t>
      </w:r>
      <w:r>
        <w:rPr>
          <w:b/>
          <w:bCs/>
        </w:rPr>
        <w:t xml:space="preserve"> </w:t>
      </w:r>
      <w:r>
        <w:rPr>
          <w:rFonts w:hint="eastAsia"/>
          <w:b/>
          <w:bCs/>
        </w:rPr>
        <w:t>Cow）</w:t>
      </w:r>
      <w:r>
        <w:t xml:space="preserve"> </w:t>
      </w:r>
      <w:r>
        <w:rPr>
          <w:rFonts w:hint="eastAsia"/>
        </w:rPr>
        <w:t>占据绝对主导，如</w:t>
      </w:r>
      <w:r>
        <w:t xml:space="preserve"> </w:t>
      </w:r>
      <w:r>
        <w:rPr>
          <w:rFonts w:hint="eastAsia"/>
        </w:rPr>
        <w:t>22699（玫瑰茶杯）、22629（太空男孩午餐盒）等，相对市场份额高但增长率为负（-33%</w:t>
      </w:r>
      <w:r>
        <w:t xml:space="preserve"> </w:t>
      </w:r>
      <w:r>
        <w:rPr>
          <w:rFonts w:hint="eastAsia"/>
        </w:rPr>
        <w:t>至</w:t>
      </w:r>
      <w:r>
        <w:t xml:space="preserve"> </w:t>
      </w:r>
      <w:r>
        <w:rPr>
          <w:rFonts w:hint="eastAsia"/>
        </w:rPr>
        <w:t>-49%），是当期现金流的主要贡献者，策略上应“收割”而非“扩张”。</w:t>
      </w:r>
    </w:p>
    <w:p w14:paraId="51DFACFD">
      <w:pPr>
        <w:numPr>
          <w:ilvl w:val="0"/>
          <w:numId w:val="1"/>
        </w:numPr>
      </w:pPr>
      <w:r>
        <w:rPr>
          <w:rFonts w:hint="eastAsia"/>
          <w:b/>
          <w:bCs/>
        </w:rPr>
        <w:t>明星产品（Star）</w:t>
      </w:r>
      <w:r>
        <w:t xml:space="preserve"> </w:t>
      </w:r>
      <w:r>
        <w:rPr>
          <w:rFonts w:hint="eastAsia"/>
        </w:rPr>
        <w:t>数量可观且增长强劲，如</w:t>
      </w:r>
      <w:r>
        <w:t xml:space="preserve"> </w:t>
      </w:r>
      <w:r>
        <w:rPr>
          <w:rFonts w:hint="eastAsia"/>
        </w:rPr>
        <w:t>23301（KEEP</w:t>
      </w:r>
      <w:r>
        <w:t xml:space="preserve"> CALM </w:t>
      </w:r>
      <w:r>
        <w:rPr>
          <w:rFonts w:hint="eastAsia"/>
        </w:rPr>
        <w:t>跪垫，增长率</w:t>
      </w:r>
      <w:r>
        <w:t xml:space="preserve"> </w:t>
      </w:r>
      <w:r>
        <w:rPr>
          <w:rFonts w:hint="eastAsia"/>
        </w:rPr>
        <w:t>+110%）、22728（粉色闹钟，增长率</w:t>
      </w:r>
      <w:r>
        <w:t xml:space="preserve"> </w:t>
      </w:r>
      <w:r>
        <w:rPr>
          <w:rFonts w:hint="eastAsia"/>
        </w:rPr>
        <w:t>+48%），是未来增长引擎，需加大资源倾斜防止断货。</w:t>
      </w:r>
    </w:p>
    <w:p w14:paraId="01488BE2">
      <w:pPr>
        <w:numPr>
          <w:ilvl w:val="0"/>
          <w:numId w:val="1"/>
        </w:numPr>
      </w:pPr>
      <w:r>
        <w:rPr>
          <w:rFonts w:hint="eastAsia"/>
          <w:b/>
          <w:bCs/>
        </w:rPr>
        <w:t>瘦狗产品（Dog）</w:t>
      </w:r>
      <w:r>
        <w:t xml:space="preserve"> </w:t>
      </w:r>
      <w:r>
        <w:rPr>
          <w:rFonts w:hint="eastAsia"/>
        </w:rPr>
        <w:t>数量庞大（超半数</w:t>
      </w:r>
      <w:r>
        <w:t xml:space="preserve"> </w:t>
      </w:r>
      <w:r>
        <w:rPr>
          <w:rFonts w:hint="eastAsia"/>
        </w:rPr>
        <w:t>SKU）但单量贡献微弱，部分</w:t>
      </w:r>
      <w:r>
        <w:t xml:space="preserve"> SKU </w:t>
      </w:r>
      <w:r>
        <w:rPr>
          <w:rFonts w:hint="eastAsia"/>
        </w:rPr>
        <w:t>总销量仅为个位数，严重占用库存与管理成本，建议系统性清退。</w:t>
      </w:r>
    </w:p>
    <w:p w14:paraId="4FE9BDA1">
      <w:pPr>
        <w:pStyle w:val="28"/>
      </w:pPr>
      <w:r>
        <w:rPr>
          <w:rFonts w:hint="eastAsia"/>
          <w:b/>
          <w:bCs/>
        </w:rPr>
        <w:t>核心洞察：</w:t>
      </w:r>
      <w:r>
        <w:t xml:space="preserve"> </w:t>
      </w:r>
      <w:r>
        <w:rPr>
          <w:rFonts w:hint="eastAsia"/>
        </w:rPr>
        <w:t>商品运营应建立“以现金牛养明星、以明星替瘦狗”的迭代机制，定期清理尾部</w:t>
      </w:r>
      <w:r>
        <w:t xml:space="preserve"> </w:t>
      </w:r>
      <w:r>
        <w:rPr>
          <w:rFonts w:hint="eastAsia"/>
        </w:rPr>
        <w:t>SKU，释放资源聚焦头部爆款。</w:t>
      </w:r>
    </w:p>
    <w:bookmarkEnd w:id="88"/>
    <w:p w14:paraId="17970D3B">
      <w:pPr>
        <w:pStyle w:val="5"/>
      </w:pPr>
      <w:bookmarkStart w:id="89" w:name="Xafc8bc63b82fb1660ee62e28ecda0046d6475cf"/>
      <w:r>
        <w:t xml:space="preserve">5.1.3 </w:t>
      </w:r>
      <w:r>
        <w:rPr>
          <w:rFonts w:hint="eastAsia"/>
        </w:rPr>
        <w:t>关联规则：颜色/系列驱动收集式购买，B2B</w:t>
      </w:r>
      <w:r>
        <w:t xml:space="preserve"> </w:t>
      </w:r>
      <w:r>
        <w:rPr>
          <w:rFonts w:hint="eastAsia"/>
        </w:rPr>
        <w:t>属性隐性体现</w:t>
      </w:r>
    </w:p>
    <w:p w14:paraId="51824026">
      <w:pPr>
        <w:pStyle w:val="28"/>
      </w:pPr>
      <w:r>
        <w:t xml:space="preserve">Apriori </w:t>
      </w:r>
      <w:r>
        <w:rPr>
          <w:rFonts w:hint="eastAsia"/>
        </w:rPr>
        <w:t>算法挖掘出的</w:t>
      </w:r>
      <w:r>
        <w:t xml:space="preserve"> Top 20 </w:t>
      </w:r>
      <w:r>
        <w:rPr>
          <w:rFonts w:hint="eastAsia"/>
        </w:rPr>
        <w:t>关联规则中，6</w:t>
      </w:r>
      <w:r>
        <w:t xml:space="preserve"> </w:t>
      </w:r>
      <w:r>
        <w:rPr>
          <w:rFonts w:hint="eastAsia"/>
        </w:rPr>
        <w:t>组核心组合均呈现“同系列不同款式/颜色”的强关联特征：</w:t>
      </w:r>
    </w:p>
    <w:p w14:paraId="61A30BC1">
      <w:pPr>
        <w:numPr>
          <w:ilvl w:val="0"/>
          <w:numId w:val="1"/>
        </w:numPr>
      </w:pPr>
      <w:r>
        <w:rPr>
          <w:b/>
          <w:bCs/>
        </w:rPr>
        <w:t xml:space="preserve">{22697, 22698, 22699} </w:t>
      </w:r>
      <w:r>
        <w:rPr>
          <w:rFonts w:hint="eastAsia"/>
          <w:b/>
          <w:bCs/>
        </w:rPr>
        <w:t>摄政茶杯三色系</w:t>
      </w:r>
      <w:r>
        <w:rPr>
          <w:rFonts w:hint="eastAsia"/>
        </w:rPr>
        <w:t>：提升度高达</w:t>
      </w:r>
      <w:r>
        <w:t xml:space="preserve"> </w:t>
      </w:r>
      <w:r>
        <w:rPr>
          <w:rFonts w:hint="eastAsia"/>
        </w:rPr>
        <w:t>17–22，任意两件同时购买时，第三件的置信度达</w:t>
      </w:r>
      <w:r>
        <w:t xml:space="preserve"> </w:t>
      </w:r>
      <w:r>
        <w:rPr>
          <w:rFonts w:hint="eastAsia"/>
        </w:rPr>
        <w:t>50%–89%，反映强烈的“收藏心理”驱动。</w:t>
      </w:r>
    </w:p>
    <w:p w14:paraId="0B7282E2">
      <w:pPr>
        <w:numPr>
          <w:ilvl w:val="0"/>
          <w:numId w:val="1"/>
        </w:numPr>
      </w:pPr>
      <w:r>
        <w:rPr>
          <w:b/>
          <w:bCs/>
        </w:rPr>
        <w:t xml:space="preserve">{22629, 22630} </w:t>
      </w:r>
      <w:r>
        <w:rPr>
          <w:rFonts w:hint="eastAsia"/>
          <w:b/>
          <w:bCs/>
        </w:rPr>
        <w:t>儿童午餐盒</w:t>
      </w:r>
      <w:r>
        <w:rPr>
          <w:b/>
          <w:bCs/>
        </w:rPr>
        <w:t xml:space="preserve"> CP</w:t>
      </w:r>
      <w:r>
        <w:rPr>
          <w:rFonts w:hint="eastAsia"/>
        </w:rPr>
        <w:t>：双向对称关联（提升度</w:t>
      </w:r>
      <w:r>
        <w:t xml:space="preserve"> </w:t>
      </w:r>
      <w:r>
        <w:rPr>
          <w:rFonts w:hint="eastAsia"/>
        </w:rPr>
        <w:t>20.30），强烈暗示“一男一女”家庭采购或</w:t>
      </w:r>
      <w:r>
        <w:t xml:space="preserve"> B2B </w:t>
      </w:r>
      <w:r>
        <w:rPr>
          <w:rFonts w:hint="eastAsia"/>
        </w:rPr>
        <w:t>批发商批量采购。</w:t>
      </w:r>
    </w:p>
    <w:p w14:paraId="793C509E">
      <w:pPr>
        <w:numPr>
          <w:ilvl w:val="0"/>
          <w:numId w:val="1"/>
        </w:numPr>
      </w:pPr>
      <w:r>
        <w:rPr>
          <w:b/>
          <w:bCs/>
        </w:rPr>
        <w:t xml:space="preserve">{23300, 23301} </w:t>
      </w:r>
      <w:r>
        <w:rPr>
          <w:rFonts w:hint="eastAsia"/>
          <w:b/>
          <w:bCs/>
        </w:rPr>
        <w:t>园艺跪垫双图案</w:t>
      </w:r>
      <w:r>
        <w:rPr>
          <w:rFonts w:hint="eastAsia"/>
        </w:rPr>
        <w:t>：唯一“双真明星”组合，23301</w:t>
      </w:r>
      <w:r>
        <w:t xml:space="preserve"> </w:t>
      </w:r>
      <w:r>
        <w:rPr>
          <w:rFonts w:hint="eastAsia"/>
        </w:rPr>
        <w:t>增长率</w:t>
      </w:r>
      <w:r>
        <w:t xml:space="preserve"> </w:t>
      </w:r>
      <w:r>
        <w:rPr>
          <w:rFonts w:hint="eastAsia"/>
        </w:rPr>
        <w:t>+110%，且重要发展客户超配</w:t>
      </w:r>
      <w:r>
        <w:t xml:space="preserve"> 3.66 </w:t>
      </w:r>
      <w:r>
        <w:rPr>
          <w:rFonts w:hint="eastAsia"/>
        </w:rPr>
        <w:t>个百分点，证实其具有强“拉新”属性而非批发商主导。</w:t>
      </w:r>
    </w:p>
    <w:p w14:paraId="18A32A30">
      <w:pPr>
        <w:pStyle w:val="28"/>
      </w:pPr>
      <w:r>
        <w:rPr>
          <w:rFonts w:hint="eastAsia"/>
          <w:b/>
          <w:bCs/>
        </w:rPr>
        <w:t>核心洞察：</w:t>
      </w:r>
      <w:r>
        <w:t xml:space="preserve"> </w:t>
      </w:r>
      <w:r>
        <w:rPr>
          <w:rFonts w:hint="eastAsia"/>
        </w:rPr>
        <w:t>关联规则的价值不仅在于“推荐什么”，更在于“为什么推荐”——颜色/系列驱动的关联反映情感需求，适合设计“集齐套装”“收集进度条”等营销玩法；而</w:t>
      </w:r>
      <w:r>
        <w:t xml:space="preserve"> B2B </w:t>
      </w:r>
      <w:r>
        <w:rPr>
          <w:rFonts w:hint="eastAsia"/>
        </w:rPr>
        <w:t>属性的隐性体现（如午餐盒</w:t>
      </w:r>
      <w:r>
        <w:t xml:space="preserve"> </w:t>
      </w:r>
      <w:r>
        <w:rPr>
          <w:rFonts w:hint="eastAsia"/>
        </w:rPr>
        <w:t>CP）则提示需针对批发商设计阶梯折扣与库存协同机制。</w:t>
      </w:r>
    </w:p>
    <w:bookmarkEnd w:id="89"/>
    <w:p w14:paraId="24D742C3">
      <w:pPr>
        <w:pStyle w:val="5"/>
      </w:pPr>
      <w:bookmarkStart w:id="90" w:name="X3e736ffc4479df850efd0b874bcb568f279496b"/>
      <w:r>
        <w:t xml:space="preserve">5.1.4 </w:t>
      </w:r>
      <w:r>
        <w:rPr>
          <w:rFonts w:hint="eastAsia"/>
        </w:rPr>
        <w:t>交叉验证：RFM×关联揭示增长真相</w:t>
      </w:r>
    </w:p>
    <w:p w14:paraId="7868B4C2">
      <w:pPr>
        <w:pStyle w:val="28"/>
      </w:pPr>
      <w:r>
        <w:t xml:space="preserve">4.2 </w:t>
      </w:r>
      <w:r>
        <w:rPr>
          <w:rFonts w:hint="eastAsia"/>
        </w:rPr>
        <w:t>节通过“RFM</w:t>
      </w:r>
      <w:r>
        <w:t xml:space="preserve"> </w:t>
      </w:r>
      <w:r>
        <w:rPr>
          <w:rFonts w:hint="eastAsia"/>
        </w:rPr>
        <w:t>分层×关联规则”的交叉分析，成功揭示</w:t>
      </w:r>
      <w:r>
        <w:t xml:space="preserve"> 23301 </w:t>
      </w:r>
      <w:r>
        <w:rPr>
          <w:rFonts w:hint="eastAsia"/>
        </w:rPr>
        <w:t>高增长因素：</w:t>
      </w:r>
    </w:p>
    <w:p w14:paraId="408B23FC">
      <w:pPr>
        <w:numPr>
          <w:ilvl w:val="0"/>
          <w:numId w:val="1"/>
        </w:numPr>
      </w:pPr>
      <w:r>
        <w:rPr>
          <w:rFonts w:hint="eastAsia"/>
          <w:b/>
          <w:bCs/>
        </w:rPr>
        <w:t>初始假设</w:t>
      </w:r>
      <w:r>
        <w:rPr>
          <w:rFonts w:hint="eastAsia"/>
        </w:rPr>
        <w:t>：23301</w:t>
      </w:r>
      <w:r>
        <w:t xml:space="preserve"> </w:t>
      </w:r>
      <w:r>
        <w:rPr>
          <w:rFonts w:hint="eastAsia"/>
        </w:rPr>
        <w:t>的增长来自批发商（重要价值客户）季节性备货。</w:t>
      </w:r>
    </w:p>
    <w:p w14:paraId="079D3351">
      <w:pPr>
        <w:numPr>
          <w:ilvl w:val="0"/>
          <w:numId w:val="1"/>
        </w:numPr>
      </w:pPr>
      <w:r>
        <w:rPr>
          <w:rFonts w:hint="eastAsia"/>
          <w:b/>
          <w:bCs/>
        </w:rPr>
        <w:t>数据证伪</w:t>
      </w:r>
      <w:r>
        <w:rPr>
          <w:rFonts w:hint="eastAsia"/>
        </w:rPr>
        <w:t>：购买</w:t>
      </w:r>
      <w:r>
        <w:t xml:space="preserve"> 23301 </w:t>
      </w:r>
      <w:r>
        <w:rPr>
          <w:rFonts w:hint="eastAsia"/>
        </w:rPr>
        <w:t>的客户中，重要价值客户占比仅</w:t>
      </w:r>
      <w:r>
        <w:t xml:space="preserve"> </w:t>
      </w:r>
      <w:r>
        <w:rPr>
          <w:rFonts w:hint="eastAsia"/>
        </w:rPr>
        <w:t>15.31%，显著低于全局平均</w:t>
      </w:r>
      <w:r>
        <w:t xml:space="preserve"> </w:t>
      </w:r>
      <w:r>
        <w:rPr>
          <w:rFonts w:hint="eastAsia"/>
        </w:rPr>
        <w:t>21.87%（差异</w:t>
      </w:r>
      <w:r>
        <w:t xml:space="preserve"> -6.56 </w:t>
      </w:r>
      <w:r>
        <w:rPr>
          <w:rFonts w:hint="eastAsia"/>
        </w:rPr>
        <w:t>个百分点）。</w:t>
      </w:r>
    </w:p>
    <w:p w14:paraId="3254D5EA">
      <w:pPr>
        <w:numPr>
          <w:ilvl w:val="0"/>
          <w:numId w:val="1"/>
        </w:numPr>
      </w:pPr>
      <w:r>
        <w:rPr>
          <w:rFonts w:hint="eastAsia"/>
          <w:b/>
          <w:bCs/>
        </w:rPr>
        <w:t>真实归因</w:t>
      </w:r>
      <w:r>
        <w:rPr>
          <w:rFonts w:hint="eastAsia"/>
        </w:rPr>
        <w:t>：增长主力为“中间层客户”——重要发展客户（+3.66</w:t>
      </w:r>
      <w:r>
        <w:t xml:space="preserve"> </w:t>
      </w:r>
      <w:r>
        <w:rPr>
          <w:rFonts w:hint="eastAsia"/>
        </w:rPr>
        <w:t>个百分点）、一般价值客户（+2.81</w:t>
      </w:r>
      <w:r>
        <w:t xml:space="preserve"> </w:t>
      </w:r>
      <w:r>
        <w:rPr>
          <w:rFonts w:hint="eastAsia"/>
        </w:rPr>
        <w:t>个百分点）、重要留存客户（+2.49</w:t>
      </w:r>
      <w:r>
        <w:t xml:space="preserve"> </w:t>
      </w:r>
      <w:r>
        <w:rPr>
          <w:rFonts w:hint="eastAsia"/>
        </w:rPr>
        <w:t>个百分点），反映“分散式、多频次”的零售级购买行为。</w:t>
      </w:r>
    </w:p>
    <w:p w14:paraId="2450C81B">
      <w:pPr>
        <w:pStyle w:val="28"/>
      </w:pPr>
      <w:r>
        <w:rPr>
          <w:rFonts w:hint="eastAsia"/>
          <w:b/>
          <w:bCs/>
        </w:rPr>
        <w:t>核心洞察：</w:t>
      </w:r>
      <w:r>
        <w:t xml:space="preserve"> </w:t>
      </w:r>
      <w:r>
        <w:rPr>
          <w:rFonts w:hint="eastAsia"/>
        </w:rPr>
        <w:t>单一维度的分析易导致经验主义误判，只有通过“客户分层×商品关联”的交叉验证，才能精准归因增长驱动因素，避免资源错配。</w:t>
      </w:r>
    </w:p>
    <w:bookmarkEnd w:id="86"/>
    <w:bookmarkEnd w:id="90"/>
    <w:p w14:paraId="42630C3B">
      <w:pPr>
        <w:pStyle w:val="4"/>
      </w:pPr>
      <w:bookmarkStart w:id="91" w:name="_Toc26672"/>
      <w:bookmarkStart w:id="92" w:name="X161f516e94a9db8f66f5694ba78dff266883164"/>
      <w:r>
        <w:t xml:space="preserve">5.2 </w:t>
      </w:r>
      <w:r>
        <w:rPr>
          <w:rFonts w:hint="eastAsia"/>
        </w:rPr>
        <w:t>研究局限性</w:t>
      </w:r>
      <w:bookmarkEnd w:id="91"/>
    </w:p>
    <w:p w14:paraId="0772D3EA">
      <w:pPr>
        <w:pStyle w:val="5"/>
      </w:pPr>
      <w:bookmarkStart w:id="93" w:name="X11e045c38f7bbc8fec92572996ca0bb58928357"/>
      <w:r>
        <w:t xml:space="preserve">5.2.1 </w:t>
      </w:r>
      <w:r>
        <w:rPr>
          <w:rFonts w:hint="eastAsia"/>
        </w:rPr>
        <w:t>数据时间跨度有限，缺乏长期趋势验证</w:t>
      </w:r>
    </w:p>
    <w:p w14:paraId="291C4F18">
      <w:pPr>
        <w:pStyle w:val="28"/>
      </w:pPr>
      <w:r>
        <w:rPr>
          <w:rFonts w:hint="eastAsia"/>
        </w:rPr>
        <w:t>本研究使用的数据集时间跨度为</w:t>
      </w:r>
      <w:r>
        <w:t xml:space="preserve"> 2010 </w:t>
      </w:r>
      <w:r>
        <w:rPr>
          <w:rFonts w:hint="eastAsia"/>
        </w:rPr>
        <w:t>年</w:t>
      </w:r>
      <w:r>
        <w:t xml:space="preserve"> 12 </w:t>
      </w:r>
      <w:r>
        <w:rPr>
          <w:rFonts w:hint="eastAsia"/>
        </w:rPr>
        <w:t>月至</w:t>
      </w:r>
      <w:r>
        <w:t xml:space="preserve"> 2011 </w:t>
      </w:r>
      <w:r>
        <w:rPr>
          <w:rFonts w:hint="eastAsia"/>
        </w:rPr>
        <w:t>年</w:t>
      </w:r>
      <w:r>
        <w:t xml:space="preserve"> 9 </w:t>
      </w:r>
      <w:r>
        <w:rPr>
          <w:rFonts w:hint="eastAsia"/>
        </w:rPr>
        <w:t>月（约</w:t>
      </w:r>
      <w:r>
        <w:t xml:space="preserve"> 10 </w:t>
      </w:r>
      <w:r>
        <w:rPr>
          <w:rFonts w:hint="eastAsia"/>
        </w:rPr>
        <w:t>个月），虽足以支撑</w:t>
      </w:r>
      <w:r>
        <w:t xml:space="preserve"> RFM、BCG、Apriori </w:t>
      </w:r>
      <w:r>
        <w:rPr>
          <w:rFonts w:hint="eastAsia"/>
        </w:rPr>
        <w:t>等静态分析，但无法捕捉更长周期的趋势变化（如年度季节性波动、客户生命周期演变）。例如：</w:t>
      </w:r>
    </w:p>
    <w:p w14:paraId="2DF442D9">
      <w:pPr>
        <w:numPr>
          <w:ilvl w:val="0"/>
          <w:numId w:val="1"/>
        </w:numPr>
      </w:pPr>
      <w:r>
        <w:t xml:space="preserve">BCG </w:t>
      </w:r>
      <w:r>
        <w:rPr>
          <w:rFonts w:hint="eastAsia"/>
        </w:rPr>
        <w:t>矩阵中的“增长率”仅基于上半年</w:t>
      </w:r>
      <w:r>
        <w:t xml:space="preserve"> vs </w:t>
      </w:r>
      <w:r>
        <w:rPr>
          <w:rFonts w:hint="eastAsia"/>
        </w:rPr>
        <w:t>下半年的简单对比，可能受短期促销或偶然事件干扰；</w:t>
      </w:r>
    </w:p>
    <w:p w14:paraId="0BF465B9">
      <w:pPr>
        <w:numPr>
          <w:ilvl w:val="0"/>
          <w:numId w:val="1"/>
        </w:numPr>
      </w:pPr>
      <w:r>
        <w:t xml:space="preserve">RFM </w:t>
      </w:r>
      <w:r>
        <w:rPr>
          <w:rFonts w:hint="eastAsia"/>
        </w:rPr>
        <w:t>分层中的“Recency”仅反映观测期内的最近一次购买，无法判断客户是否已进入永久流失状态。</w:t>
      </w:r>
    </w:p>
    <w:p w14:paraId="472817D4">
      <w:pPr>
        <w:pStyle w:val="28"/>
      </w:pPr>
      <w:r>
        <w:rPr>
          <w:rFonts w:hint="eastAsia"/>
          <w:b/>
          <w:bCs/>
        </w:rPr>
        <w:t>改进方向：</w:t>
      </w:r>
      <w:r>
        <w:t xml:space="preserve"> </w:t>
      </w:r>
      <w:r>
        <w:rPr>
          <w:rFonts w:hint="eastAsia"/>
        </w:rPr>
        <w:t>引入至少</w:t>
      </w:r>
      <w:r>
        <w:t xml:space="preserve"> 2–3 </w:t>
      </w:r>
      <w:r>
        <w:rPr>
          <w:rFonts w:hint="eastAsia"/>
        </w:rPr>
        <w:t>年的纵向数据，结合时间序列分析预测销售趋势与客户流失概率，增强策略的前瞻性。</w:t>
      </w:r>
    </w:p>
    <w:bookmarkEnd w:id="93"/>
    <w:p w14:paraId="1951DC5B">
      <w:pPr>
        <w:pStyle w:val="5"/>
      </w:pPr>
      <w:bookmarkStart w:id="94" w:name="Xddeb6a8587d240139d87b129f074fbecbd22961"/>
      <w:r>
        <w:t xml:space="preserve">5.2.2 </w:t>
      </w:r>
      <w:r>
        <w:rPr>
          <w:rFonts w:hint="eastAsia"/>
        </w:rPr>
        <w:t>未纳入外部变量，归因分析存在盲区</w:t>
      </w:r>
    </w:p>
    <w:p w14:paraId="1AD7D10A">
      <w:pPr>
        <w:pStyle w:val="28"/>
      </w:pPr>
      <w:r>
        <w:rPr>
          <w:rFonts w:hint="eastAsia"/>
        </w:rPr>
        <w:t>本研究完全依赖内部交易数据，未整合外部变量（如营销活动记录、宏观经济指标、社交媒体热度、竞争对手动态），导致部分归因分析存在盲区。例如：</w:t>
      </w:r>
    </w:p>
    <w:p w14:paraId="35367F9D">
      <w:pPr>
        <w:numPr>
          <w:ilvl w:val="0"/>
          <w:numId w:val="1"/>
        </w:numPr>
      </w:pPr>
      <w:r>
        <w:t xml:space="preserve">23301 </w:t>
      </w:r>
      <w:r>
        <w:rPr>
          <w:rFonts w:hint="eastAsia"/>
        </w:rPr>
        <w:t>的爆发式增长（+110%）可能与某次网红带货、节日热点、或渠道扩张有关，但因缺乏外部数据佐证，只能推测为“社交传播驱动”；</w:t>
      </w:r>
    </w:p>
    <w:p w14:paraId="75813B9A">
      <w:pPr>
        <w:pStyle w:val="28"/>
      </w:pPr>
      <w:r>
        <w:rPr>
          <w:rFonts w:hint="eastAsia"/>
          <w:b/>
          <w:bCs/>
        </w:rPr>
        <w:t>改进方向：</w:t>
      </w:r>
      <w:r>
        <w:t xml:space="preserve"> </w:t>
      </w:r>
      <w:r>
        <w:rPr>
          <w:rFonts w:hint="eastAsia"/>
        </w:rPr>
        <w:t>构建“内部交易数据</w:t>
      </w:r>
      <w:r>
        <w:t xml:space="preserve"> + </w:t>
      </w:r>
      <w:r>
        <w:rPr>
          <w:rFonts w:hint="eastAsia"/>
        </w:rPr>
        <w:t>外部行为数据</w:t>
      </w:r>
      <w:r>
        <w:t xml:space="preserve"> + </w:t>
      </w:r>
      <w:r>
        <w:rPr>
          <w:rFonts w:hint="eastAsia"/>
        </w:rPr>
        <w:t>运营日志”的多源数据融合体系，支持更全面的归因分析。</w:t>
      </w:r>
    </w:p>
    <w:bookmarkEnd w:id="92"/>
    <w:bookmarkEnd w:id="94"/>
    <w:p w14:paraId="43837E22">
      <w:pPr>
        <w:pStyle w:val="4"/>
      </w:pPr>
      <w:bookmarkStart w:id="95" w:name="_Toc21070"/>
      <w:bookmarkStart w:id="96" w:name="实验结论"/>
      <w:r>
        <w:rPr>
          <w:rFonts w:hint="eastAsia"/>
        </w:rPr>
        <w:t>实验结论</w:t>
      </w:r>
      <w:bookmarkEnd w:id="95"/>
    </w:p>
    <w:p w14:paraId="619D0514">
      <w:pPr>
        <w:pStyle w:val="28"/>
      </w:pPr>
      <w:r>
        <w:rPr>
          <w:rFonts w:hint="eastAsia"/>
        </w:rPr>
        <w:t>本研究通过多维数据挖掘与交叉验证，系统性地揭示了英国某在线零售平台的客户价值分布、商品战略角色、关联购买规律，并据此设计了一套分人群、分商品、分场景的精准运营策略框架。然而，本研究仍存在数据时间跨度短、外部变量缺失等局限性。</w:t>
      </w:r>
    </w:p>
    <w:bookmarkEnd w:id="84"/>
    <w:bookmarkEnd w:id="96"/>
    <w:p w14:paraId="41F683E4">
      <w:pPr>
        <w:pStyle w:val="2"/>
        <w:jc w:val="center"/>
      </w:pPr>
      <w:bookmarkStart w:id="97" w:name="参考文献"/>
      <w:r>
        <w:rPr>
          <w:rFonts w:hint="eastAsia"/>
        </w:rPr>
        <w:br w:type="page"/>
      </w:r>
      <w:bookmarkStart w:id="98" w:name="_Toc22503"/>
      <w:r>
        <w:rPr>
          <w:rFonts w:hint="eastAsia"/>
        </w:rPr>
        <w:t>参考文献</w:t>
      </w:r>
      <w:bookmarkEnd w:id="98"/>
    </w:p>
    <w:p w14:paraId="75CB7A48">
      <w:pPr>
        <w:pStyle w:val="28"/>
        <w:keepNext w:val="0"/>
        <w:keepLines w:val="0"/>
        <w:pageBreakBefore w:val="0"/>
        <w:widowControl/>
        <w:numPr>
          <w:ilvl w:val="0"/>
          <w:numId w:val="15"/>
        </w:numPr>
        <w:kinsoku/>
        <w:wordWrap/>
        <w:overflowPunct/>
        <w:topLinePunct w:val="0"/>
        <w:autoSpaceDE/>
        <w:autoSpaceDN/>
        <w:bidi w:val="0"/>
        <w:adjustRightInd/>
        <w:snapToGrid/>
        <w:spacing w:line="240" w:lineRule="auto"/>
        <w:ind w:left="420" w:leftChars="0" w:hanging="420" w:hangingChars="200"/>
        <w:textAlignment w:val="auto"/>
        <w:rPr>
          <w:sz w:val="21"/>
          <w:szCs w:val="21"/>
        </w:rPr>
      </w:pPr>
      <w:bookmarkStart w:id="99" w:name="_Ref16067"/>
      <w:r>
        <w:rPr>
          <w:sz w:val="21"/>
          <w:szCs w:val="21"/>
        </w:rPr>
        <w:t>Chen, D. (2015). Online Retail [Data set]. UCI Machine Learning Repository.</w:t>
      </w:r>
      <w:bookmarkEnd w:id="99"/>
    </w:p>
    <w:p w14:paraId="01A40015">
      <w:pPr>
        <w:pStyle w:val="3"/>
        <w:keepNext w:val="0"/>
        <w:keepLines w:val="0"/>
        <w:pageBreakBefore w:val="0"/>
        <w:widowControl/>
        <w:numPr>
          <w:ilvl w:val="0"/>
          <w:numId w:val="15"/>
        </w:numPr>
        <w:kinsoku/>
        <w:wordWrap/>
        <w:overflowPunct/>
        <w:topLinePunct w:val="0"/>
        <w:autoSpaceDE/>
        <w:autoSpaceDN/>
        <w:bidi w:val="0"/>
        <w:adjustRightInd/>
        <w:snapToGrid/>
        <w:spacing w:line="240" w:lineRule="auto"/>
        <w:ind w:left="420" w:leftChars="0" w:hanging="420" w:hangingChars="200"/>
        <w:textAlignment w:val="auto"/>
        <w:rPr>
          <w:sz w:val="21"/>
          <w:szCs w:val="21"/>
        </w:rPr>
      </w:pPr>
      <w:bookmarkStart w:id="100" w:name="_Ref16282"/>
      <w:r>
        <w:rPr>
          <w:sz w:val="21"/>
          <w:szCs w:val="21"/>
        </w:rPr>
        <w:t xml:space="preserve">Hughes, A. M. (2006). </w:t>
      </w:r>
      <w:r>
        <w:rPr>
          <w:i/>
          <w:iCs/>
          <w:sz w:val="21"/>
          <w:szCs w:val="21"/>
        </w:rPr>
        <w:t>Strategic database marketing: The masterplan for starting and managing a profitable customer-based marketing program</w:t>
      </w:r>
      <w:r>
        <w:rPr>
          <w:sz w:val="21"/>
          <w:szCs w:val="21"/>
        </w:rPr>
        <w:t xml:space="preserve"> (3rd ed.). McGraw-Hill.</w:t>
      </w:r>
      <w:bookmarkEnd w:id="100"/>
    </w:p>
    <w:p w14:paraId="41649AEE">
      <w:pPr>
        <w:pStyle w:val="3"/>
        <w:keepNext w:val="0"/>
        <w:keepLines w:val="0"/>
        <w:pageBreakBefore w:val="0"/>
        <w:widowControl/>
        <w:numPr>
          <w:ilvl w:val="0"/>
          <w:numId w:val="15"/>
        </w:numPr>
        <w:kinsoku/>
        <w:wordWrap/>
        <w:overflowPunct/>
        <w:topLinePunct w:val="0"/>
        <w:autoSpaceDE/>
        <w:autoSpaceDN/>
        <w:bidi w:val="0"/>
        <w:adjustRightInd/>
        <w:snapToGrid/>
        <w:spacing w:line="240" w:lineRule="auto"/>
        <w:ind w:left="420" w:leftChars="0" w:hanging="420" w:hangingChars="200"/>
        <w:textAlignment w:val="auto"/>
        <w:rPr>
          <w:sz w:val="21"/>
          <w:szCs w:val="21"/>
        </w:rPr>
      </w:pPr>
      <w:bookmarkStart w:id="101" w:name="_Ref16426"/>
      <w:r>
        <w:rPr>
          <w:sz w:val="21"/>
          <w:szCs w:val="21"/>
        </w:rPr>
        <w:t xml:space="preserve">MacQueen, J. (1967). Some methods for classification and analysis of multivariate observations. In </w:t>
      </w:r>
      <w:r>
        <w:rPr>
          <w:i/>
          <w:iCs/>
          <w:sz w:val="21"/>
          <w:szCs w:val="21"/>
        </w:rPr>
        <w:t>Proceedings of the Fifth Berkeley Symposium on Mathematical Statistics and Probability</w:t>
      </w:r>
      <w:r>
        <w:rPr>
          <w:sz w:val="21"/>
          <w:szCs w:val="21"/>
        </w:rPr>
        <w:t xml:space="preserve"> (Vol. 1, pp. 281–297). University of California Press.</w:t>
      </w:r>
      <w:bookmarkEnd w:id="101"/>
    </w:p>
    <w:p w14:paraId="398C805C">
      <w:pPr>
        <w:pStyle w:val="3"/>
        <w:keepNext w:val="0"/>
        <w:keepLines w:val="0"/>
        <w:pageBreakBefore w:val="0"/>
        <w:widowControl/>
        <w:numPr>
          <w:ilvl w:val="0"/>
          <w:numId w:val="15"/>
        </w:numPr>
        <w:kinsoku/>
        <w:wordWrap/>
        <w:overflowPunct/>
        <w:topLinePunct w:val="0"/>
        <w:autoSpaceDE/>
        <w:autoSpaceDN/>
        <w:bidi w:val="0"/>
        <w:adjustRightInd/>
        <w:snapToGrid/>
        <w:spacing w:line="240" w:lineRule="auto"/>
        <w:ind w:left="420" w:leftChars="0" w:hanging="420" w:hangingChars="200"/>
        <w:textAlignment w:val="auto"/>
        <w:rPr>
          <w:sz w:val="21"/>
          <w:szCs w:val="21"/>
        </w:rPr>
      </w:pPr>
      <w:bookmarkStart w:id="102" w:name="_Ref16521"/>
      <w:r>
        <w:rPr>
          <w:sz w:val="21"/>
          <w:szCs w:val="21"/>
        </w:rPr>
        <w:t xml:space="preserve">Henderson, B. D. (1970). </w:t>
      </w:r>
      <w:r>
        <w:rPr>
          <w:i/>
          <w:iCs/>
          <w:sz w:val="21"/>
          <w:szCs w:val="21"/>
        </w:rPr>
        <w:t>The Product Portfolio</w:t>
      </w:r>
      <w:r>
        <w:rPr>
          <w:sz w:val="21"/>
          <w:szCs w:val="21"/>
        </w:rPr>
        <w:t>. Boston Consulting Group Perspectives, No. 66. Boston Consulting Group.</w:t>
      </w:r>
      <w:bookmarkEnd w:id="102"/>
    </w:p>
    <w:p w14:paraId="5384EA49">
      <w:pPr>
        <w:pStyle w:val="3"/>
        <w:keepNext w:val="0"/>
        <w:keepLines w:val="0"/>
        <w:pageBreakBefore w:val="0"/>
        <w:widowControl/>
        <w:numPr>
          <w:ilvl w:val="0"/>
          <w:numId w:val="15"/>
        </w:numPr>
        <w:kinsoku/>
        <w:wordWrap/>
        <w:overflowPunct/>
        <w:topLinePunct w:val="0"/>
        <w:autoSpaceDE/>
        <w:autoSpaceDN/>
        <w:bidi w:val="0"/>
        <w:adjustRightInd/>
        <w:snapToGrid/>
        <w:spacing w:line="240" w:lineRule="auto"/>
        <w:ind w:left="420" w:leftChars="0" w:hanging="420" w:hangingChars="200"/>
        <w:textAlignment w:val="auto"/>
        <w:rPr>
          <w:sz w:val="21"/>
          <w:szCs w:val="21"/>
        </w:rPr>
      </w:pPr>
      <w:bookmarkStart w:id="103" w:name="_Ref16619"/>
      <w:r>
        <w:rPr>
          <w:sz w:val="21"/>
          <w:szCs w:val="21"/>
        </w:rPr>
        <w:t xml:space="preserve">Agrawal, R., &amp; Srikant, R. (1994). Fast algorithms for mining association rules in large databases. In </w:t>
      </w:r>
      <w:r>
        <w:rPr>
          <w:i/>
          <w:iCs/>
          <w:sz w:val="21"/>
          <w:szCs w:val="21"/>
        </w:rPr>
        <w:t>Proceedings of the 20th International Conference on Very Large Data Bases (VLDB '94)</w:t>
      </w:r>
      <w:r>
        <w:rPr>
          <w:sz w:val="21"/>
          <w:szCs w:val="21"/>
        </w:rPr>
        <w:t xml:space="preserve"> (pp. 487–499). Morgan Kaufmann Publishers Inc.</w:t>
      </w:r>
      <w:bookmarkEnd w:id="97"/>
      <w:bookmarkEnd w:id="103"/>
    </w:p>
    <w:sectPr>
      <w:footerReference r:id="rId5" w:type="default"/>
      <w:footnotePr>
        <w:numRestart w:val="eachSect"/>
      </w:footnotePr>
      <w:endnotePr>
        <w:numFmt w:val="decimal"/>
      </w:endnotePr>
      <w:pgBorders>
        <w:top w:val="none" w:sz="0" w:space="0"/>
        <w:left w:val="none" w:sz="0" w:space="0"/>
        <w:bottom w:val="none" w:sz="0" w:space="0"/>
        <w:right w:val="none" w:sz="0" w:space="0"/>
      </w:pgBorders>
      <w:pgNumType w:fmt="decimal"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p>
  </w:endnote>
  <w:endnote w:type="continuationSeparator" w:id="1">
    <w:p>
      <w:pPr>
        <w:spacing w:line="240" w:lineRule="auto"/>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Consolas">
    <w:panose1 w:val="020B0609020204030204"/>
    <w:charset w:val="00"/>
    <w:family w:val="auto"/>
    <w:pitch w:val="default"/>
    <w:sig w:usb0="E00006FF" w:usb1="0000FCFF" w:usb2="00000001" w:usb3="00000000" w:csb0="6000019F" w:csb1="DFD70000"/>
  </w:font>
  <w:font w:name="华文行楷">
    <w:altName w:val="微软雅黑"/>
    <w:panose1 w:val="02010800040101010101"/>
    <w:charset w:val="86"/>
    <w:family w:val="auto"/>
    <w:pitch w:val="default"/>
    <w:sig w:usb0="00000000" w:usb1="00000000" w:usb2="00000010" w:usb3="00000000" w:csb0="00040000" w:csb1="00000000"/>
  </w:font>
  <w:font w:name="Microsoft YaHei UI">
    <w:panose1 w:val="020B0503020204020204"/>
    <w:charset w:val="86"/>
    <w:family w:val="swiss"/>
    <w:pitch w:val="default"/>
    <w:sig w:usb0="80000287" w:usb1="2ACF3C50" w:usb2="00000016" w:usb3="00000000" w:csb0="0004001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Math">
    <w:panose1 w:val="02040503050406030204"/>
    <w:charset w:val="00"/>
    <w:family w:val="auto"/>
    <w:pitch w:val="default"/>
    <w:sig w:usb0="E00006FF" w:usb1="420024FF" w:usb2="02000000" w:usb3="00000000" w:csb0="2000019F" w:csb1="00000000"/>
  </w:font>
  <w:font w:name="Aptos">
    <w:altName w:val="Segoe Print"/>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2B8E82">
    <w:pPr>
      <w:pStyle w:val="17"/>
    </w:pPr>
    <w:r>
      <w:rPr>
        <w:sz w:val="18"/>
      </w:rPr>
      <w:pict>
        <v:shape id="_x0000_s4097" o:spid="_x0000_s4097"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5F05A2BE">
                <w:pPr>
                  <w:pStyle w:val="17"/>
                </w:pPr>
                <w:r>
                  <w:t xml:space="preserve">第 </w:t>
                </w:r>
                <w:r>
                  <w:fldChar w:fldCharType="begin"/>
                </w:r>
                <w:r>
                  <w:instrText xml:space="preserve"> PAGE  \* MERGEFORMAT </w:instrText>
                </w:r>
                <w:r>
                  <w:fldChar w:fldCharType="separate"/>
                </w:r>
                <w:r>
                  <w:t>3</w:t>
                </w:r>
                <w:r>
                  <w:fldChar w:fldCharType="end"/>
                </w:r>
                <w:r>
                  <w:t xml:space="preserve"> 页</w:t>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ind w:firstLine="480"/>
      </w:pPr>
    </w:p>
  </w:footnote>
  <w:footnote w:type="continuationSeparator" w:id="1">
    <w:p>
      <w:pPr>
        <w:spacing w:before="0" w:after="0" w:line="360" w:lineRule="auto"/>
        <w:ind w:firstLine="480"/>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
    <w:nsid w:val="10832DC9"/>
    <w:multiLevelType w:val="singleLevel"/>
    <w:tmpl w:val="10832DC9"/>
    <w:lvl w:ilvl="0" w:tentative="0">
      <w:start w:val="1"/>
      <w:numFmt w:val="bullet"/>
      <w:lvlText w:val=""/>
      <w:lvlJc w:val="left"/>
      <w:pPr>
        <w:tabs>
          <w:tab w:val="left" w:pos="1260"/>
        </w:tabs>
        <w:ind w:left="1680" w:hanging="420"/>
      </w:pPr>
      <w:rPr>
        <w:rFonts w:hint="default" w:ascii="Wingdings" w:hAnsi="Wingdings"/>
      </w:rPr>
    </w:lvl>
  </w:abstractNum>
  <w:abstractNum w:abstractNumId="3">
    <w:nsid w:val="4195BEA2"/>
    <w:multiLevelType w:val="singleLevel"/>
    <w:tmpl w:val="4195BEA2"/>
    <w:lvl w:ilvl="0" w:tentative="0">
      <w:start w:val="1"/>
      <w:numFmt w:val="decimal"/>
      <w:lvlText w:val="[%1]"/>
      <w:lvlJc w:val="left"/>
      <w:pPr>
        <w:tabs>
          <w:tab w:val="left" w:pos="397"/>
        </w:tabs>
        <w:ind w:left="0" w:leftChars="0" w:firstLine="0" w:firstLineChars="0"/>
      </w:pPr>
      <w:rPr>
        <w:rFonts w:hint="default"/>
      </w:r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hdrShapeDefaults>
    <o:shapelayout v:ext="edit">
      <o:idmap v:ext="edit" data="3,4"/>
    </o:shapelayout>
  </w:hdrShapeDefaults>
  <w:footnotePr>
    <w:numRestart w:val="eachSect"/>
    <w:footnote w:id="0"/>
    <w:footnote w:id="1"/>
  </w:footnotePr>
  <w:endnotePr>
    <w:pos w:val="sectEnd"/>
    <w:numFmt w:val="decimal"/>
    <w:endnote w:id="0"/>
    <w:endnote w:id="1"/>
  </w:endnotePr>
  <w:compat>
    <w:balanceSingleByteDoubleByteWidth/>
    <w:ulTrailSpace/>
    <w:doNotExpandShiftReturn/>
    <w:adjustLineHeightInTable/>
    <w:doNotWrapTextWithPunct/>
    <w:doNotUseEastAsianBreakRules/>
    <w:useFELayout/>
    <w:splitPgBreakAndParaMark/>
    <w:compatSetting w:name="compatibilityMode" w:uri="http://schemas.microsoft.com/office/word" w:val="12"/>
  </w:compat>
  <w:rsids>
    <w:rsidRoot w:val="00000000"/>
    <w:rsid w:val="039F5DE5"/>
    <w:rsid w:val="071D753B"/>
    <w:rsid w:val="09D5319A"/>
    <w:rsid w:val="0BA31A63"/>
    <w:rsid w:val="0E781A67"/>
    <w:rsid w:val="0FC003D2"/>
    <w:rsid w:val="16DE7B91"/>
    <w:rsid w:val="2050545E"/>
    <w:rsid w:val="2E77550C"/>
    <w:rsid w:val="39DE7CFC"/>
    <w:rsid w:val="3DB17264"/>
    <w:rsid w:val="3ECB1C12"/>
    <w:rsid w:val="436C5682"/>
    <w:rsid w:val="476B783C"/>
    <w:rsid w:val="49D93BAD"/>
    <w:rsid w:val="55E84B82"/>
    <w:rsid w:val="5BAB2C88"/>
    <w:rsid w:val="5C6C6FA5"/>
    <w:rsid w:val="63B93500"/>
    <w:rsid w:val="6A5A2625"/>
    <w:rsid w:val="6CDF7EC5"/>
    <w:rsid w:val="76E03D3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ind w:firstLine="600" w:firstLineChars="200"/>
    </w:pPr>
    <w:rPr>
      <w:rFonts w:ascii="Times New Roman" w:hAnsi="Times New Roman" w:eastAsia="宋体" w:cstheme="minorBidi"/>
      <w:color w:val="000000" w:themeColor="text1"/>
      <w:sz w:val="24"/>
      <w:szCs w:val="24"/>
      <w:lang w:val="en-US" w:eastAsia="zh-CN" w:bidi="ar-SA"/>
    </w:rPr>
  </w:style>
  <w:style w:type="paragraph" w:styleId="2">
    <w:name w:val="heading 1"/>
    <w:basedOn w:val="1"/>
    <w:next w:val="3"/>
    <w:link w:val="36"/>
    <w:qFormat/>
    <w:uiPriority w:val="9"/>
    <w:pPr>
      <w:keepNext/>
      <w:keepLines/>
      <w:spacing w:before="50" w:beforeLines="50" w:after="50" w:afterLines="50"/>
      <w:ind w:firstLine="0" w:firstLineChars="0"/>
      <w:outlineLvl w:val="0"/>
    </w:pPr>
    <w:rPr>
      <w:rFonts w:eastAsia="黑体" w:cstheme="majorBidi"/>
      <w:sz w:val="30"/>
      <w:szCs w:val="40"/>
    </w:rPr>
  </w:style>
  <w:style w:type="paragraph" w:styleId="4">
    <w:name w:val="heading 2"/>
    <w:basedOn w:val="1"/>
    <w:next w:val="3"/>
    <w:link w:val="37"/>
    <w:semiHidden/>
    <w:unhideWhenUsed/>
    <w:qFormat/>
    <w:uiPriority w:val="9"/>
    <w:pPr>
      <w:keepNext/>
      <w:keepLines/>
      <w:spacing w:before="50" w:beforeLines="50" w:after="50" w:afterLines="50"/>
      <w:ind w:firstLine="0" w:firstLineChars="0"/>
      <w:outlineLvl w:val="1"/>
    </w:pPr>
    <w:rPr>
      <w:rFonts w:eastAsia="黑体" w:cstheme="majorBidi"/>
      <w:sz w:val="28"/>
      <w:szCs w:val="32"/>
    </w:rPr>
  </w:style>
  <w:style w:type="paragraph" w:styleId="5">
    <w:name w:val="heading 3"/>
    <w:basedOn w:val="1"/>
    <w:next w:val="3"/>
    <w:link w:val="38"/>
    <w:semiHidden/>
    <w:unhideWhenUsed/>
    <w:qFormat/>
    <w:uiPriority w:val="9"/>
    <w:pPr>
      <w:keepNext/>
      <w:keepLines/>
      <w:spacing w:before="50" w:beforeLines="50" w:after="50" w:afterLines="50"/>
      <w:ind w:firstLine="0" w:firstLineChars="0"/>
      <w:outlineLvl w:val="2"/>
    </w:pPr>
    <w:rPr>
      <w:rFonts w:eastAsia="黑体" w:cstheme="majorBidi"/>
      <w:szCs w:val="28"/>
    </w:rPr>
  </w:style>
  <w:style w:type="paragraph" w:styleId="6">
    <w:name w:val="heading 4"/>
    <w:basedOn w:val="1"/>
    <w:next w:val="3"/>
    <w:link w:val="39"/>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40"/>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41"/>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42"/>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3"/>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4"/>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23">
    <w:name w:val="Default Paragraph Font"/>
    <w:semiHidden/>
    <w:unhideWhenUsed/>
    <w:qFormat/>
    <w:uiPriority w:val="0"/>
  </w:style>
  <w:style w:type="table" w:default="1" w:styleId="21">
    <w:name w:val="Normal Table"/>
    <w:qFormat/>
    <w:uiPriority w:val="0"/>
    <w:tblPr>
      <w:tblCellMar>
        <w:top w:w="0" w:type="dxa"/>
        <w:left w:w="108" w:type="dxa"/>
        <w:bottom w:w="0" w:type="dxa"/>
        <w:right w:w="108" w:type="dxa"/>
      </w:tblCellMar>
    </w:tblPr>
  </w:style>
  <w:style w:type="paragraph" w:styleId="3">
    <w:name w:val="Body Text"/>
    <w:basedOn w:val="1"/>
    <w:link w:val="26"/>
    <w:qFormat/>
    <w:uiPriority w:val="0"/>
    <w:pPr>
      <w:spacing w:before="180" w:after="180"/>
    </w:pPr>
  </w:style>
  <w:style w:type="paragraph" w:styleId="12">
    <w:name w:val="caption"/>
    <w:basedOn w:val="1"/>
    <w:qFormat/>
    <w:uiPriority w:val="0"/>
    <w:pPr>
      <w:spacing w:before="0" w:after="120"/>
      <w:jc w:val="center"/>
    </w:pPr>
    <w:rPr>
      <w:sz w:val="21"/>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30"/>
    <w:qFormat/>
    <w:uiPriority w:val="10"/>
    <w:pPr>
      <w:spacing w:after="80" w:line="240" w:lineRule="auto"/>
      <w:contextualSpacing/>
      <w:jc w:val="center"/>
    </w:pPr>
    <w:rPr>
      <w:rFonts w:eastAsia="黑体" w:asciiTheme="majorAscii" w:hAnsiTheme="majorAscii" w:cstheme="majorBidi"/>
      <w:b/>
      <w:sz w:val="44"/>
      <w:szCs w:val="56"/>
    </w:rPr>
  </w:style>
  <w:style w:type="paragraph" w:styleId="16">
    <w:name w:val="endnote text"/>
    <w:basedOn w:val="1"/>
    <w:qFormat/>
    <w:uiPriority w:val="0"/>
    <w:pPr>
      <w:snapToGrid w:val="0"/>
      <w:jc w:val="left"/>
    </w:pPr>
  </w:style>
  <w:style w:type="paragraph" w:styleId="17">
    <w:name w:val="footer"/>
    <w:basedOn w:val="1"/>
    <w:qFormat/>
    <w:uiPriority w:val="0"/>
    <w:pPr>
      <w:tabs>
        <w:tab w:val="center" w:pos="4153"/>
        <w:tab w:val="right" w:pos="8306"/>
      </w:tabs>
      <w:snapToGrid w:val="0"/>
      <w:jc w:val="left"/>
    </w:pPr>
    <w:rPr>
      <w:sz w:val="18"/>
    </w:rPr>
  </w:style>
  <w:style w:type="paragraph" w:styleId="1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9">
    <w:name w:val="Subtitle"/>
    <w:basedOn w:val="15"/>
    <w:next w:val="3"/>
    <w:link w:val="31"/>
    <w:qFormat/>
    <w:uiPriority w:val="11"/>
    <w:rPr>
      <w:rFonts w:eastAsiaTheme="majorEastAsia" w:cstheme="majorBidi"/>
      <w:spacing w:val="15"/>
      <w:sz w:val="28"/>
      <w:szCs w:val="28"/>
    </w:rPr>
  </w:style>
  <w:style w:type="paragraph" w:styleId="20">
    <w:name w:val="footnote text"/>
    <w:basedOn w:val="1"/>
    <w:unhideWhenUsed/>
    <w:qFormat/>
    <w:uiPriority w:val="9"/>
  </w:style>
  <w:style w:type="table" w:styleId="22">
    <w:name w:val="Table Grid"/>
    <w:basedOn w:val="2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endnote reference"/>
    <w:basedOn w:val="23"/>
    <w:qFormat/>
    <w:uiPriority w:val="0"/>
    <w:rPr>
      <w:rFonts w:ascii="Times New Roman" w:hAnsi="Times New Roman" w:eastAsia="宋体"/>
      <w:sz w:val="24"/>
      <w:vertAlign w:val="superscript"/>
    </w:rPr>
  </w:style>
  <w:style w:type="character" w:styleId="25">
    <w:name w:val="Hyperlink"/>
    <w:basedOn w:val="26"/>
    <w:qFormat/>
    <w:uiPriority w:val="0"/>
    <w:rPr>
      <w:color w:val="156082" w:themeColor="accent1"/>
    </w:rPr>
  </w:style>
  <w:style w:type="character" w:customStyle="1" w:styleId="26">
    <w:name w:val="Body Text Char"/>
    <w:basedOn w:val="23"/>
    <w:link w:val="3"/>
    <w:qFormat/>
    <w:uiPriority w:val="0"/>
  </w:style>
  <w:style w:type="character" w:styleId="27">
    <w:name w:val="footnote reference"/>
    <w:basedOn w:val="26"/>
    <w:qFormat/>
    <w:uiPriority w:val="0"/>
    <w:rPr>
      <w:vertAlign w:val="superscript"/>
    </w:rPr>
  </w:style>
  <w:style w:type="paragraph" w:customStyle="1" w:styleId="28">
    <w:name w:val="First Paragraph"/>
    <w:basedOn w:val="3"/>
    <w:next w:val="3"/>
    <w:qFormat/>
    <w:uiPriority w:val="0"/>
    <w:rPr>
      <w:rFonts w:ascii="Times New Roman" w:hAnsi="Times New Roman"/>
    </w:rPr>
  </w:style>
  <w:style w:type="paragraph" w:customStyle="1" w:styleId="29">
    <w:name w:val="Compact"/>
    <w:basedOn w:val="3"/>
    <w:qFormat/>
    <w:uiPriority w:val="0"/>
    <w:pPr>
      <w:spacing w:before="36" w:after="36"/>
    </w:pPr>
  </w:style>
  <w:style w:type="character" w:customStyle="1" w:styleId="30">
    <w:name w:val="Title Char"/>
    <w:basedOn w:val="23"/>
    <w:link w:val="15"/>
    <w:qFormat/>
    <w:uiPriority w:val="10"/>
    <w:rPr>
      <w:rFonts w:eastAsia="黑体" w:asciiTheme="majorAscii" w:hAnsiTheme="majorAscii" w:cstheme="majorBidi"/>
      <w:b/>
      <w:sz w:val="44"/>
      <w:szCs w:val="56"/>
    </w:rPr>
  </w:style>
  <w:style w:type="character" w:customStyle="1" w:styleId="31">
    <w:name w:val="Subtitle Char"/>
    <w:basedOn w:val="23"/>
    <w:link w:val="19"/>
    <w:qFormat/>
    <w:uiPriority w:val="11"/>
    <w:rPr>
      <w:rFonts w:eastAsiaTheme="majorEastAsia" w:cstheme="majorBidi"/>
      <w:color w:val="585858" w:themeColor="text1" w:themeTint="A6"/>
      <w:spacing w:val="15"/>
      <w:sz w:val="28"/>
      <w:szCs w:val="28"/>
    </w:rPr>
  </w:style>
  <w:style w:type="paragraph" w:customStyle="1" w:styleId="32">
    <w:name w:val="Author"/>
    <w:basedOn w:val="15"/>
    <w:next w:val="3"/>
    <w:qFormat/>
    <w:uiPriority w:val="0"/>
    <w:pPr>
      <w:keepNext/>
      <w:keepLines/>
    </w:pPr>
    <w:rPr>
      <w:sz w:val="24"/>
      <w:szCs w:val="24"/>
    </w:rPr>
  </w:style>
  <w:style w:type="paragraph" w:customStyle="1" w:styleId="33">
    <w:name w:val="Abstract Title"/>
    <w:basedOn w:val="1"/>
    <w:next w:val="34"/>
    <w:qFormat/>
    <w:uiPriority w:val="0"/>
    <w:pPr>
      <w:keepNext/>
      <w:keepLines/>
      <w:spacing w:before="300" w:after="0"/>
      <w:jc w:val="center"/>
    </w:pPr>
    <w:rPr>
      <w:b/>
      <w:sz w:val="20"/>
      <w:szCs w:val="20"/>
    </w:rPr>
  </w:style>
  <w:style w:type="paragraph" w:customStyle="1" w:styleId="34">
    <w:name w:val="Abstract"/>
    <w:basedOn w:val="1"/>
    <w:next w:val="3"/>
    <w:qFormat/>
    <w:uiPriority w:val="0"/>
    <w:pPr>
      <w:keepNext/>
      <w:keepLines/>
      <w:spacing w:before="100" w:after="300"/>
    </w:pPr>
    <w:rPr>
      <w:sz w:val="20"/>
      <w:szCs w:val="20"/>
    </w:rPr>
  </w:style>
  <w:style w:type="paragraph" w:customStyle="1" w:styleId="35">
    <w:name w:val="Bibliography"/>
    <w:basedOn w:val="1"/>
    <w:qFormat/>
    <w:uiPriority w:val="0"/>
  </w:style>
  <w:style w:type="character" w:customStyle="1" w:styleId="36">
    <w:name w:val="Heading 1 Char"/>
    <w:basedOn w:val="23"/>
    <w:link w:val="2"/>
    <w:qFormat/>
    <w:uiPriority w:val="9"/>
    <w:rPr>
      <w:rFonts w:ascii="Times New Roman" w:hAnsi="Times New Roman" w:eastAsia="黑体" w:cstheme="majorBidi"/>
      <w:color w:val="000000" w:themeColor="text1"/>
      <w:sz w:val="30"/>
      <w:szCs w:val="40"/>
    </w:rPr>
  </w:style>
  <w:style w:type="character" w:customStyle="1" w:styleId="37">
    <w:name w:val="Heading 2 Char"/>
    <w:basedOn w:val="23"/>
    <w:link w:val="4"/>
    <w:semiHidden/>
    <w:qFormat/>
    <w:uiPriority w:val="9"/>
    <w:rPr>
      <w:rFonts w:ascii="Times New Roman" w:hAnsi="Times New Roman" w:eastAsia="黑体" w:cstheme="majorBidi"/>
      <w:color w:val="000000" w:themeColor="text1"/>
      <w:sz w:val="28"/>
      <w:szCs w:val="32"/>
    </w:rPr>
  </w:style>
  <w:style w:type="character" w:customStyle="1" w:styleId="38">
    <w:name w:val="Heading 3 Char"/>
    <w:basedOn w:val="23"/>
    <w:link w:val="5"/>
    <w:semiHidden/>
    <w:qFormat/>
    <w:uiPriority w:val="9"/>
    <w:rPr>
      <w:rFonts w:ascii="Times New Roman" w:hAnsi="Times New Roman" w:eastAsia="黑体" w:cstheme="majorBidi"/>
      <w:color w:val="000000" w:themeColor="text1"/>
      <w:sz w:val="24"/>
      <w:szCs w:val="28"/>
    </w:rPr>
  </w:style>
  <w:style w:type="character" w:customStyle="1" w:styleId="39">
    <w:name w:val="Heading 4 Char"/>
    <w:basedOn w:val="23"/>
    <w:link w:val="6"/>
    <w:semiHidden/>
    <w:qFormat/>
    <w:uiPriority w:val="9"/>
    <w:rPr>
      <w:rFonts w:eastAsiaTheme="majorEastAsia" w:cstheme="majorBidi"/>
      <w:i/>
      <w:iCs/>
      <w:color w:val="0F4761" w:themeColor="accent1" w:themeShade="BF"/>
    </w:rPr>
  </w:style>
  <w:style w:type="character" w:customStyle="1" w:styleId="40">
    <w:name w:val="Heading 5 Char"/>
    <w:basedOn w:val="23"/>
    <w:link w:val="7"/>
    <w:semiHidden/>
    <w:qFormat/>
    <w:uiPriority w:val="9"/>
    <w:rPr>
      <w:rFonts w:eastAsiaTheme="majorEastAsia" w:cstheme="majorBidi"/>
      <w:color w:val="0F4761" w:themeColor="accent1" w:themeShade="BF"/>
    </w:rPr>
  </w:style>
  <w:style w:type="character" w:customStyle="1" w:styleId="41">
    <w:name w:val="Heading 6 Char"/>
    <w:basedOn w:val="23"/>
    <w:link w:val="8"/>
    <w:semiHidden/>
    <w:qFormat/>
    <w:uiPriority w:val="9"/>
    <w:rPr>
      <w:rFonts w:eastAsiaTheme="majorEastAsia" w:cstheme="majorBidi"/>
      <w:i/>
      <w:iCs/>
      <w:color w:val="585858" w:themeColor="text1" w:themeTint="A6"/>
    </w:rPr>
  </w:style>
  <w:style w:type="character" w:customStyle="1" w:styleId="42">
    <w:name w:val="Heading 7 Char"/>
    <w:basedOn w:val="23"/>
    <w:link w:val="9"/>
    <w:semiHidden/>
    <w:qFormat/>
    <w:uiPriority w:val="9"/>
    <w:rPr>
      <w:rFonts w:eastAsiaTheme="majorEastAsia" w:cstheme="majorBidi"/>
      <w:color w:val="585858" w:themeColor="text1" w:themeTint="A6"/>
    </w:rPr>
  </w:style>
  <w:style w:type="character" w:customStyle="1" w:styleId="43">
    <w:name w:val="Heading 8 Char"/>
    <w:basedOn w:val="23"/>
    <w:link w:val="10"/>
    <w:semiHidden/>
    <w:qFormat/>
    <w:uiPriority w:val="9"/>
    <w:rPr>
      <w:rFonts w:eastAsiaTheme="majorEastAsia" w:cstheme="majorBidi"/>
      <w:i/>
      <w:iCs/>
      <w:color w:val="262626" w:themeColor="text1" w:themeTint="D8"/>
    </w:rPr>
  </w:style>
  <w:style w:type="character" w:customStyle="1" w:styleId="44">
    <w:name w:val="Heading 9 Char"/>
    <w:basedOn w:val="23"/>
    <w:link w:val="11"/>
    <w:semiHidden/>
    <w:qFormat/>
    <w:uiPriority w:val="9"/>
    <w:rPr>
      <w:rFonts w:eastAsiaTheme="majorEastAsia" w:cstheme="majorBidi"/>
      <w:color w:val="262626" w:themeColor="text1" w:themeTint="D8"/>
    </w:rPr>
  </w:style>
  <w:style w:type="paragraph" w:customStyle="1" w:styleId="45">
    <w:name w:val="Footnote Block Text"/>
    <w:basedOn w:val="20"/>
    <w:next w:val="20"/>
    <w:unhideWhenUsed/>
    <w:qFormat/>
    <w:uiPriority w:val="9"/>
    <w:pPr>
      <w:spacing w:before="100" w:after="100"/>
      <w:ind w:left="480" w:right="480" w:firstLine="0"/>
    </w:pPr>
  </w:style>
  <w:style w:type="table" w:customStyle="1" w:styleId="46">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7">
    <w:name w:val="Definition Term"/>
    <w:basedOn w:val="1"/>
    <w:next w:val="48"/>
    <w:qFormat/>
    <w:uiPriority w:val="0"/>
    <w:pPr>
      <w:keepNext/>
      <w:keepLines/>
      <w:spacing w:after="0"/>
    </w:pPr>
    <w:rPr>
      <w:b/>
    </w:rPr>
  </w:style>
  <w:style w:type="paragraph" w:customStyle="1" w:styleId="48">
    <w:name w:val="Definition"/>
    <w:basedOn w:val="1"/>
    <w:qFormat/>
    <w:uiPriority w:val="0"/>
  </w:style>
  <w:style w:type="paragraph" w:customStyle="1" w:styleId="49">
    <w:name w:val="Table Caption"/>
    <w:basedOn w:val="12"/>
    <w:qFormat/>
    <w:uiPriority w:val="0"/>
    <w:pPr>
      <w:keepNext/>
    </w:pPr>
  </w:style>
  <w:style w:type="paragraph" w:customStyle="1" w:styleId="50">
    <w:name w:val="Image Caption"/>
    <w:basedOn w:val="12"/>
    <w:qFormat/>
    <w:uiPriority w:val="0"/>
  </w:style>
  <w:style w:type="paragraph" w:customStyle="1" w:styleId="51">
    <w:name w:val="Figure"/>
    <w:basedOn w:val="1"/>
    <w:qFormat/>
    <w:uiPriority w:val="0"/>
  </w:style>
  <w:style w:type="paragraph" w:customStyle="1" w:styleId="52">
    <w:name w:val="Captioned Figure"/>
    <w:basedOn w:val="51"/>
    <w:qFormat/>
    <w:uiPriority w:val="0"/>
    <w:pPr>
      <w:keepNext/>
    </w:pPr>
  </w:style>
  <w:style w:type="character" w:customStyle="1" w:styleId="53">
    <w:name w:val="Verbatim Char"/>
    <w:basedOn w:val="26"/>
    <w:link w:val="54"/>
    <w:qFormat/>
    <w:uiPriority w:val="0"/>
    <w:rPr>
      <w:rFonts w:ascii="Consolas" w:hAnsi="Consolas"/>
      <w:sz w:val="22"/>
    </w:rPr>
  </w:style>
  <w:style w:type="paragraph" w:customStyle="1" w:styleId="54">
    <w:name w:val="Source Code"/>
    <w:basedOn w:val="1"/>
    <w:link w:val="53"/>
    <w:qFormat/>
    <w:uiPriority w:val="0"/>
    <w:pPr>
      <w:wordWrap w:val="0"/>
    </w:pPr>
  </w:style>
  <w:style w:type="character" w:customStyle="1" w:styleId="55">
    <w:name w:val="Section Number"/>
    <w:basedOn w:val="26"/>
    <w:qFormat/>
    <w:uiPriority w:val="0"/>
  </w:style>
  <w:style w:type="paragraph" w:customStyle="1" w:styleId="56">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7">
    <w:name w:val="KeywordTok"/>
    <w:basedOn w:val="53"/>
    <w:qFormat/>
    <w:uiPriority w:val="0"/>
    <w:rPr>
      <w:b/>
      <w:color w:val="007020"/>
    </w:rPr>
  </w:style>
  <w:style w:type="character" w:customStyle="1" w:styleId="58">
    <w:name w:val="DataTypeTok"/>
    <w:basedOn w:val="53"/>
    <w:qFormat/>
    <w:uiPriority w:val="0"/>
    <w:rPr>
      <w:color w:val="902000"/>
    </w:rPr>
  </w:style>
  <w:style w:type="character" w:customStyle="1" w:styleId="59">
    <w:name w:val="DecValTok"/>
    <w:basedOn w:val="53"/>
    <w:qFormat/>
    <w:uiPriority w:val="0"/>
    <w:rPr>
      <w:color w:val="40A070"/>
    </w:rPr>
  </w:style>
  <w:style w:type="character" w:customStyle="1" w:styleId="60">
    <w:name w:val="BaseNTok"/>
    <w:basedOn w:val="53"/>
    <w:qFormat/>
    <w:uiPriority w:val="0"/>
    <w:rPr>
      <w:color w:val="40A070"/>
    </w:rPr>
  </w:style>
  <w:style w:type="character" w:customStyle="1" w:styleId="61">
    <w:name w:val="FloatTok"/>
    <w:basedOn w:val="53"/>
    <w:qFormat/>
    <w:uiPriority w:val="0"/>
    <w:rPr>
      <w:color w:val="40A070"/>
    </w:rPr>
  </w:style>
  <w:style w:type="character" w:customStyle="1" w:styleId="62">
    <w:name w:val="ConstantTok"/>
    <w:basedOn w:val="53"/>
    <w:qFormat/>
    <w:uiPriority w:val="0"/>
    <w:rPr>
      <w:color w:val="880000"/>
    </w:rPr>
  </w:style>
  <w:style w:type="character" w:customStyle="1" w:styleId="63">
    <w:name w:val="CharTok"/>
    <w:basedOn w:val="53"/>
    <w:qFormat/>
    <w:uiPriority w:val="0"/>
    <w:rPr>
      <w:color w:val="4070A0"/>
    </w:rPr>
  </w:style>
  <w:style w:type="character" w:customStyle="1" w:styleId="64">
    <w:name w:val="SpecialCharTok"/>
    <w:basedOn w:val="53"/>
    <w:qFormat/>
    <w:uiPriority w:val="0"/>
    <w:rPr>
      <w:color w:val="4070A0"/>
    </w:rPr>
  </w:style>
  <w:style w:type="character" w:customStyle="1" w:styleId="65">
    <w:name w:val="StringTok"/>
    <w:basedOn w:val="53"/>
    <w:qFormat/>
    <w:uiPriority w:val="0"/>
    <w:rPr>
      <w:color w:val="4070A0"/>
    </w:rPr>
  </w:style>
  <w:style w:type="character" w:customStyle="1" w:styleId="66">
    <w:name w:val="VerbatimStringTok"/>
    <w:basedOn w:val="53"/>
    <w:qFormat/>
    <w:uiPriority w:val="0"/>
    <w:rPr>
      <w:color w:val="4070A0"/>
    </w:rPr>
  </w:style>
  <w:style w:type="character" w:customStyle="1" w:styleId="67">
    <w:name w:val="SpecialStringTok"/>
    <w:basedOn w:val="53"/>
    <w:qFormat/>
    <w:uiPriority w:val="0"/>
    <w:rPr>
      <w:color w:val="BB6688"/>
    </w:rPr>
  </w:style>
  <w:style w:type="character" w:customStyle="1" w:styleId="68">
    <w:name w:val="ImportTok"/>
    <w:basedOn w:val="53"/>
    <w:qFormat/>
    <w:uiPriority w:val="0"/>
    <w:rPr>
      <w:b/>
      <w:color w:val="008000"/>
    </w:rPr>
  </w:style>
  <w:style w:type="character" w:customStyle="1" w:styleId="69">
    <w:name w:val="CommentTok"/>
    <w:basedOn w:val="53"/>
    <w:qFormat/>
    <w:uiPriority w:val="0"/>
    <w:rPr>
      <w:i/>
      <w:color w:val="60A0B0"/>
    </w:rPr>
  </w:style>
  <w:style w:type="character" w:customStyle="1" w:styleId="70">
    <w:name w:val="DocumentationTok"/>
    <w:basedOn w:val="53"/>
    <w:qFormat/>
    <w:uiPriority w:val="0"/>
    <w:rPr>
      <w:i/>
      <w:color w:val="BA2121"/>
    </w:rPr>
  </w:style>
  <w:style w:type="character" w:customStyle="1" w:styleId="71">
    <w:name w:val="AnnotationTok"/>
    <w:basedOn w:val="53"/>
    <w:qFormat/>
    <w:uiPriority w:val="0"/>
    <w:rPr>
      <w:b/>
      <w:i/>
      <w:color w:val="60A0B0"/>
    </w:rPr>
  </w:style>
  <w:style w:type="character" w:customStyle="1" w:styleId="72">
    <w:name w:val="CommentVarTok"/>
    <w:basedOn w:val="53"/>
    <w:qFormat/>
    <w:uiPriority w:val="0"/>
    <w:rPr>
      <w:b/>
      <w:i/>
      <w:color w:val="60A0B0"/>
    </w:rPr>
  </w:style>
  <w:style w:type="character" w:customStyle="1" w:styleId="73">
    <w:name w:val="OtherTok"/>
    <w:basedOn w:val="53"/>
    <w:qFormat/>
    <w:uiPriority w:val="0"/>
    <w:rPr>
      <w:color w:val="007020"/>
    </w:rPr>
  </w:style>
  <w:style w:type="character" w:customStyle="1" w:styleId="74">
    <w:name w:val="FunctionTok"/>
    <w:basedOn w:val="53"/>
    <w:qFormat/>
    <w:uiPriority w:val="0"/>
    <w:rPr>
      <w:color w:val="06287E"/>
    </w:rPr>
  </w:style>
  <w:style w:type="character" w:customStyle="1" w:styleId="75">
    <w:name w:val="VariableTok"/>
    <w:basedOn w:val="53"/>
    <w:qFormat/>
    <w:uiPriority w:val="0"/>
    <w:rPr>
      <w:color w:val="19177C"/>
    </w:rPr>
  </w:style>
  <w:style w:type="character" w:customStyle="1" w:styleId="76">
    <w:name w:val="ControlFlowTok"/>
    <w:basedOn w:val="53"/>
    <w:qFormat/>
    <w:uiPriority w:val="0"/>
    <w:rPr>
      <w:b/>
      <w:color w:val="007020"/>
    </w:rPr>
  </w:style>
  <w:style w:type="character" w:customStyle="1" w:styleId="77">
    <w:name w:val="OperatorTok"/>
    <w:basedOn w:val="53"/>
    <w:qFormat/>
    <w:uiPriority w:val="0"/>
    <w:rPr>
      <w:color w:val="666666"/>
    </w:rPr>
  </w:style>
  <w:style w:type="character" w:customStyle="1" w:styleId="78">
    <w:name w:val="BuiltInTok"/>
    <w:basedOn w:val="53"/>
    <w:qFormat/>
    <w:uiPriority w:val="0"/>
    <w:rPr>
      <w:color w:val="008000"/>
    </w:rPr>
  </w:style>
  <w:style w:type="character" w:customStyle="1" w:styleId="79">
    <w:name w:val="ExtensionTok"/>
    <w:basedOn w:val="53"/>
    <w:qFormat/>
    <w:uiPriority w:val="0"/>
  </w:style>
  <w:style w:type="character" w:customStyle="1" w:styleId="80">
    <w:name w:val="PreprocessorTok"/>
    <w:basedOn w:val="53"/>
    <w:qFormat/>
    <w:uiPriority w:val="0"/>
    <w:rPr>
      <w:color w:val="BC7A00"/>
    </w:rPr>
  </w:style>
  <w:style w:type="character" w:customStyle="1" w:styleId="81">
    <w:name w:val="AttributeTok"/>
    <w:basedOn w:val="53"/>
    <w:qFormat/>
    <w:uiPriority w:val="0"/>
    <w:rPr>
      <w:color w:val="7D9029"/>
    </w:rPr>
  </w:style>
  <w:style w:type="character" w:customStyle="1" w:styleId="82">
    <w:name w:val="RegionMarkerTok"/>
    <w:basedOn w:val="53"/>
    <w:qFormat/>
    <w:uiPriority w:val="0"/>
  </w:style>
  <w:style w:type="character" w:customStyle="1" w:styleId="83">
    <w:name w:val="InformationTok"/>
    <w:basedOn w:val="53"/>
    <w:qFormat/>
    <w:uiPriority w:val="0"/>
    <w:rPr>
      <w:b/>
      <w:i/>
      <w:color w:val="60A0B0"/>
    </w:rPr>
  </w:style>
  <w:style w:type="character" w:customStyle="1" w:styleId="84">
    <w:name w:val="WarningTok"/>
    <w:basedOn w:val="53"/>
    <w:qFormat/>
    <w:uiPriority w:val="0"/>
    <w:rPr>
      <w:b/>
      <w:i/>
      <w:color w:val="60A0B0"/>
    </w:rPr>
  </w:style>
  <w:style w:type="character" w:customStyle="1" w:styleId="85">
    <w:name w:val="AlertTok"/>
    <w:basedOn w:val="53"/>
    <w:qFormat/>
    <w:uiPriority w:val="0"/>
    <w:rPr>
      <w:b/>
      <w:color w:val="FF0000"/>
    </w:rPr>
  </w:style>
  <w:style w:type="character" w:customStyle="1" w:styleId="86">
    <w:name w:val="ErrorTok"/>
    <w:basedOn w:val="53"/>
    <w:qFormat/>
    <w:uiPriority w:val="0"/>
    <w:rPr>
      <w:b/>
      <w:color w:val="FF0000"/>
    </w:rPr>
  </w:style>
  <w:style w:type="character" w:customStyle="1" w:styleId="87">
    <w:name w:val="NormalTok"/>
    <w:basedOn w:val="53"/>
    <w:qFormat/>
    <w:uiPriority w:val="0"/>
  </w:style>
  <w:style w:type="paragraph" w:customStyle="1" w:styleId="88">
    <w:name w:val="WPSOffice手动目录 1"/>
    <w:qFormat/>
    <w:uiPriority w:val="0"/>
    <w:pPr>
      <w:ind w:leftChars="0"/>
    </w:pPr>
    <w:rPr>
      <w:rFonts w:ascii="Times New Roman" w:hAnsi="Times New Roman" w:eastAsia="宋体" w:cs="Times New Roman"/>
      <w:sz w:val="20"/>
      <w:szCs w:val="20"/>
    </w:rPr>
  </w:style>
  <w:style w:type="paragraph" w:customStyle="1" w:styleId="89">
    <w:name w:val="WPSOffice手动目录 2"/>
    <w:qFormat/>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7"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56</Pages>
  <Words>83</Words>
  <Characters>475</Characters>
  <Lines>1</Lines>
  <Paragraphs>1</Paragraphs>
  <TotalTime>0</TotalTime>
  <ScaleCrop>false</ScaleCrop>
  <LinksUpToDate>false</LinksUpToDate>
  <CharactersWithSpaces>583</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2026-06-28T06:25:00Z</dcterms:created>
  <dc:creator>jimc</dc:creator>
  <cp:lastModifiedBy>jimc</cp:lastModifiedBy>
  <cp:lastPrinted>2026-06-28T06:26:00Z</cp:lastPrinted>
  <dcterms:modified xsi:type="dcterms:W3CDTF">2026-07-09T12:52:52Z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A1F8B63C9A0F495781CA275E54CDC57B_12</vt:lpwstr>
  </property>
</Properties>
</file>