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6"/>
              <w:left w:val="single" w:color="1B3A6B" w:sz="16"/>
              <w:bottom w:val="single" w:color="1B3A6B" w:sz="16"/>
              <w:right w:val="single" w:color="1B3A6B" w:sz="16"/>
            </w:tcBorders>
            <w:shd w:fill="1B3A6B" w:val="clear"/>
            <w:tcMar>
              <w:top w:type="dxa" w:w="360"/>
              <w:left w:type="dxa" w:w="480"/>
              <w:bottom w:type="dxa" w:w="360"/>
              <w:right w:type="dxa" w:w="480"/>
            </w:tcMar>
          </w:tcPr>
          <w:p>
            <w:pPr>
              <w:spacing w:after="120" w:before="0" w:line="320"/>
              <w:jc w:val="center"/>
            </w:pPr>
            <w:r>
              <w:rPr>
                <w:rFonts w:ascii="Arial" w:cs="Arial" w:eastAsia="Arial" w:hAnsi="Arial"/>
                <w:b/>
                <w:bCs/>
                <w:color w:val="FFFFFF"/>
                <w:sz w:val="80"/>
                <w:szCs w:val="80"/>
              </w:rPr>
              <w:t xml:space="preserve">MONTGOMERYAI</w:t>
            </w:r>
          </w:p>
          <w:p>
            <w:pPr>
              <w:spacing w:after="80" w:before="0" w:line="320"/>
              <w:jc w:val="center"/>
            </w:pPr>
            <w:r>
              <w:rPr>
                <w:rFonts w:ascii="Arial" w:cs="Arial" w:eastAsia="Arial" w:hAnsi="Arial"/>
                <w:i/>
                <w:iCs/>
                <w:color w:val="AABBCC"/>
                <w:sz w:val="28"/>
                <w:szCs w:val="28"/>
              </w:rPr>
              <w:t xml:space="preserve">The civic intelligence platform for Montgomery, Alabama</w:t>
            </w:r>
          </w:p>
          <w:p>
            <w:pPr>
              <w:spacing w:after="0" w:before="100" w:line="320"/>
              <w:jc w:val="center"/>
            </w:pPr>
            <w:r>
              <w:rPr>
                <w:rFonts w:ascii="Arial" w:cs="Arial" w:eastAsia="Arial" w:hAnsi="Arial"/>
                <w:b/>
                <w:bCs/>
                <w:color w:val="C8A020"/>
                <w:sz w:val="23"/>
                <w:szCs w:val="23"/>
              </w:rPr>
              <w:t xml:space="preserve">—  CLAIM WHAT YOU’RE OWED. BUILD WHAT’S NEXT.  —</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4E3" w:sz="4"/>
              <w:left w:val="single" w:color="C8D4E3" w:sz="4"/>
              <w:bottom w:val="single" w:color="C8D4E3" w:sz="4"/>
              <w:right w:val="single" w:color="C8D4E3" w:sz="4"/>
            </w:tcBorders>
            <w:shd w:fill="EEF2F7"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1B3A6B"/>
                <w:sz w:val="21"/>
                <w:szCs w:val="21"/>
              </w:rPr>
              <w:t xml:space="preserve">Product Vision  —  v3</w:t>
            </w:r>
          </w:p>
        </w:tc>
        <w:tc>
          <w:tcPr>
            <w:tcW w:type="dxa" w:w="3120"/>
            <w:tcBorders>
              <w:top w:val="single" w:color="C8D4E3" w:sz="4"/>
              <w:left w:val="single" w:color="C8D4E3" w:sz="4"/>
              <w:bottom w:val="single" w:color="C8D4E3" w:sz="4"/>
              <w:right w:val="single" w:color="C8D4E3" w:sz="4"/>
            </w:tcBorders>
            <w:shd w:fill="EEF2F7" w:val="clear"/>
            <w:tcMar>
              <w:top w:type="dxa" w:w="100"/>
              <w:left w:type="dxa" w:w="100"/>
              <w:bottom w:type="dxa" w:w="100"/>
              <w:right w:type="dxa" w:w="100"/>
            </w:tcMar>
          </w:tcPr>
          <w:p>
            <w:pPr>
              <w:spacing w:after="80" w:before="80" w:line="320"/>
              <w:jc w:val="center"/>
            </w:pPr>
            <w:r>
              <w:rPr>
                <w:rFonts w:ascii="Arial" w:cs="Arial" w:eastAsia="Arial" w:hAnsi="Arial"/>
                <w:b w:val="false"/>
                <w:bCs w:val="false"/>
                <w:i w:val="false"/>
                <w:iCs w:val="false"/>
                <w:color w:val="6B7280"/>
                <w:sz w:val="21"/>
                <w:szCs w:val="21"/>
              </w:rPr>
              <w:t xml:space="preserve">WWV Hackathon — March 2026</w:t>
            </w:r>
          </w:p>
        </w:tc>
        <w:tc>
          <w:tcPr>
            <w:tcW w:type="dxa" w:w="3120"/>
            <w:tcBorders>
              <w:top w:val="single" w:color="C8D4E3" w:sz="4"/>
              <w:left w:val="single" w:color="C8D4E3" w:sz="4"/>
              <w:bottom w:val="single" w:color="C8D4E3" w:sz="4"/>
              <w:right w:val="single" w:color="C8D4E3" w:sz="4"/>
            </w:tcBorders>
            <w:shd w:fill="EEF2F7" w:val="clear"/>
            <w:tcMar>
              <w:top w:type="dxa" w:w="100"/>
              <w:left w:type="dxa" w:w="100"/>
              <w:bottom w:type="dxa" w:w="100"/>
              <w:right w:type="dxa" w:w="100"/>
            </w:tcMar>
          </w:tcPr>
          <w:p>
            <w:pPr>
              <w:spacing w:after="80" w:before="80" w:line="320"/>
              <w:jc w:val="center"/>
            </w:pPr>
            <w:r>
              <w:rPr>
                <w:rFonts w:ascii="Arial" w:cs="Arial" w:eastAsia="Arial" w:hAnsi="Arial"/>
                <w:b w:val="false"/>
                <w:bCs w:val="false"/>
                <w:i w:val="false"/>
                <w:iCs w:val="false"/>
                <w:color w:val="6B7280"/>
                <w:sz w:val="21"/>
                <w:szCs w:val="21"/>
              </w:rPr>
              <w:t xml:space="preserve">Hamza Khaled Mahmoud Ahmed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01</w:t>
            </w:r>
          </w:p>
        </w:tc>
        <w:tc>
          <w:tcPr>
            <w:tcW w:type="dxa" w:w="8360"/>
            <w:tcBorders>
              <w:top w:val="single" w:color="1B3A6B" w:sz="4"/>
              <w:left w:val="single" w:color="1B3A6B" w:sz="4"/>
              <w:bottom w:val="single" w:color="1B3A6B" w:sz="4"/>
              <w:right w:val="single" w:color="1B3A6B" w:sz="4"/>
            </w:tcBorders>
            <w:shd w:fill="EEF2F7" w:val="clear"/>
            <w:tcMar>
              <w:top w:type="dxa" w:w="100"/>
              <w:left w:type="dxa" w:w="240"/>
              <w:bottom w:type="dxa" w:w="100"/>
              <w:right w:type="dxa" w:w="120"/>
            </w:tcMar>
            <w:vAlign w:val="center"/>
          </w:tcPr>
          <w:p>
            <w:r>
              <w:rPr>
                <w:rFonts w:ascii="Arial" w:cs="Arial" w:eastAsia="Arial" w:hAnsi="Arial"/>
                <w:b/>
                <w:bCs/>
                <w:color w:val="1B3A6B"/>
                <w:sz w:val="27"/>
                <w:szCs w:val="27"/>
              </w:rPr>
              <w:t xml:space="preserve">PLATFORM VISION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800" w:sz="8"/>
              <w:left w:val="single" w:color="A07800" w:sz="8"/>
              <w:bottom w:val="single" w:color="A07800" w:sz="8"/>
              <w:right w:val="single" w:color="A07800" w:sz="8"/>
            </w:tcBorders>
            <w:shd w:fill="FFFBE6" w:val="clear"/>
            <w:tcMar>
              <w:top w:type="dxa" w:w="160"/>
              <w:left w:type="dxa" w:w="280"/>
              <w:bottom w:type="dxa" w:w="160"/>
              <w:right w:type="dxa" w:w="280"/>
            </w:tcMar>
          </w:tcPr>
          <w:p>
            <w:pPr>
              <w:spacing w:after="80" w:before="80" w:line="336"/>
              <w:jc w:val="left"/>
            </w:pPr>
            <w:r>
              <w:rPr>
                <w:rFonts w:ascii="Arial" w:cs="Arial" w:eastAsia="Arial" w:hAnsi="Arial"/>
                <w:b w:val="false"/>
                <w:bCs w:val="false"/>
                <w:i w:val="false"/>
                <w:iCs w:val="false"/>
                <w:color w:val="1A1A2E"/>
                <w:sz w:val="23"/>
                <w:szCs w:val="23"/>
              </w:rPr>
              <w:t xml:space="preserve">Montgomery, Alabama has a 19.7% poverty rate in a city where the data proves that the jobs exist, the benefits exist, and the training programs exist. The gap is not resources — it is navigation. MontgomeryAI closes that gap with two AI agents, built on the same data infrastructure, serving the same underserved population from two complementary entry points.</w:t>
            </w:r>
          </w:p>
          <w:p>
            <w:pPr>
              <w:spacing w:after="80" w:before="80" w:line="320"/>
              <w:jc w:val="left"/>
            </w:pPr>
            <w:r>
              <w:rPr>
                <w:rFonts w:ascii="Arial" w:cs="Arial" w:eastAsia="Arial" w:hAnsi="Arial"/>
                <w:b/>
                <w:bCs/>
                <w:i w:val="false"/>
                <w:iCs w:val="false"/>
                <w:color w:val="1B3A6B"/>
                <w:sz w:val="24"/>
                <w:szCs w:val="24"/>
              </w:rPr>
              <w:t xml:space="preserve">Two agents. Two problems. One shared intelligence platform.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4E3" w:sz="4"/>
              <w:left w:val="single" w:color="C8D4E3" w:sz="4"/>
              <w:bottom w:val="single" w:color="C8D4E3" w:sz="4"/>
              <w:right w:val="single" w:color="C8D4E3" w:sz="4"/>
            </w:tcBorders>
            <w:shd w:fill="FEEEEE" w:val="clear"/>
            <w:tcMar>
              <w:top w:type="dxa" w:w="120"/>
              <w:left w:type="dxa" w:w="60"/>
              <w:bottom w:type="dxa" w:w="120"/>
              <w:right w:type="dxa" w:w="60"/>
            </w:tcMar>
            <w:vAlign w:val="center"/>
          </w:tcPr>
          <w:p>
            <w:pPr>
              <w:spacing w:after="20" w:before="60" w:line="320"/>
              <w:jc w:val="center"/>
            </w:pPr>
            <w:r>
              <w:rPr>
                <w:rFonts w:ascii="Arial" w:cs="Arial" w:eastAsia="Arial" w:hAnsi="Arial"/>
                <w:b/>
                <w:bCs/>
                <w:color w:val="7D1A1A"/>
                <w:sz w:val="52"/>
                <w:szCs w:val="52"/>
              </w:rPr>
              <w:t xml:space="preserve">19.7%</w:t>
            </w:r>
          </w:p>
          <w:p>
            <w:pPr>
              <w:spacing w:after="20" w:before="0" w:line="320"/>
              <w:jc w:val="center"/>
            </w:pPr>
            <w:r>
              <w:rPr>
                <w:rFonts w:ascii="Arial" w:cs="Arial" w:eastAsia="Arial" w:hAnsi="Arial"/>
                <w:color w:val="6B7280"/>
                <w:sz w:val="18"/>
                <w:szCs w:val="18"/>
              </w:rPr>
              <w:t xml:space="preserve">poverty rate — above AL state avg</w:t>
            </w:r>
          </w:p>
        </w:tc>
        <w:tc>
          <w:tcPr>
            <w:tcW w:type="dxa" w:w="2340"/>
            <w:tcBorders>
              <w:top w:val="single" w:color="C8D4E3" w:sz="4"/>
              <w:left w:val="single" w:color="C8D4E3" w:sz="4"/>
              <w:bottom w:val="single" w:color="C8D4E3" w:sz="4"/>
              <w:right w:val="single" w:color="C8D4E3" w:sz="4"/>
            </w:tcBorders>
            <w:shd w:fill="EEF0FE" w:val="clear"/>
            <w:tcMar>
              <w:top w:type="dxa" w:w="120"/>
              <w:left w:type="dxa" w:w="60"/>
              <w:bottom w:type="dxa" w:w="120"/>
              <w:right w:type="dxa" w:w="60"/>
            </w:tcMar>
            <w:vAlign w:val="center"/>
          </w:tcPr>
          <w:p>
            <w:pPr>
              <w:spacing w:after="20" w:before="60" w:line="320"/>
              <w:jc w:val="center"/>
            </w:pPr>
            <w:r>
              <w:rPr>
                <w:rFonts w:ascii="Arial" w:cs="Arial" w:eastAsia="Arial" w:hAnsi="Arial"/>
                <w:b/>
                <w:bCs/>
                <w:color w:val="1A4A7D"/>
                <w:sz w:val="52"/>
                <w:szCs w:val="52"/>
              </w:rPr>
              <w:t xml:space="preserve">$14,200</w:t>
            </w:r>
          </w:p>
          <w:p>
            <w:pPr>
              <w:spacing w:after="20" w:before="0" w:line="320"/>
              <w:jc w:val="center"/>
            </w:pPr>
            <w:r>
              <w:rPr>
                <w:rFonts w:ascii="Arial" w:cs="Arial" w:eastAsia="Arial" w:hAnsi="Arial"/>
                <w:color w:val="6B7280"/>
                <w:sz w:val="18"/>
                <w:szCs w:val="18"/>
              </w:rPr>
              <w:t xml:space="preserve">annual wage gap vs. US national average</w:t>
            </w:r>
          </w:p>
        </w:tc>
        <w:tc>
          <w:tcPr>
            <w:tcW w:type="dxa" w:w="2340"/>
            <w:tcBorders>
              <w:top w:val="single" w:color="C8D4E3" w:sz="4"/>
              <w:left w:val="single" w:color="C8D4E3" w:sz="4"/>
              <w:bottom w:val="single" w:color="C8D4E3" w:sz="4"/>
              <w:right w:val="single" w:color="C8D4E3" w:sz="4"/>
            </w:tcBorders>
            <w:shd w:fill="FEEEEE" w:val="clear"/>
            <w:tcMar>
              <w:top w:type="dxa" w:w="120"/>
              <w:left w:type="dxa" w:w="60"/>
              <w:bottom w:type="dxa" w:w="120"/>
              <w:right w:type="dxa" w:w="60"/>
            </w:tcMar>
            <w:vAlign w:val="center"/>
          </w:tcPr>
          <w:p>
            <w:pPr>
              <w:spacing w:after="20" w:before="60" w:line="320"/>
              <w:jc w:val="center"/>
            </w:pPr>
            <w:r>
              <w:rPr>
                <w:rFonts w:ascii="Arial" w:cs="Arial" w:eastAsia="Arial" w:hAnsi="Arial"/>
                <w:b/>
                <w:bCs/>
                <w:color w:val="7D1A1A"/>
                <w:sz w:val="52"/>
                <w:szCs w:val="52"/>
              </w:rPr>
              <w:t xml:space="preserve">15,578</w:t>
            </w:r>
          </w:p>
          <w:p>
            <w:pPr>
              <w:spacing w:after="20" w:before="0" w:line="320"/>
              <w:jc w:val="center"/>
            </w:pPr>
            <w:r>
              <w:rPr>
                <w:rFonts w:ascii="Arial" w:cs="Arial" w:eastAsia="Arial" w:hAnsi="Arial"/>
                <w:color w:val="6B7280"/>
                <w:sz w:val="18"/>
                <w:szCs w:val="18"/>
              </w:rPr>
              <w:t xml:space="preserve">residents lost Medicaid in a single 12 months</w:t>
            </w:r>
          </w:p>
        </w:tc>
        <w:tc>
          <w:tcPr>
            <w:tcW w:type="dxa" w:w="2340"/>
            <w:tcBorders>
              <w:top w:val="single" w:color="C8D4E3" w:sz="4"/>
              <w:left w:val="single" w:color="C8D4E3" w:sz="4"/>
              <w:bottom w:val="single" w:color="C8D4E3" w:sz="4"/>
              <w:right w:val="single" w:color="C8D4E3" w:sz="4"/>
            </w:tcBorders>
            <w:shd w:fill="EEFEFE" w:val="clear"/>
            <w:tcMar>
              <w:top w:type="dxa" w:w="120"/>
              <w:left w:type="dxa" w:w="60"/>
              <w:bottom w:type="dxa" w:w="120"/>
              <w:right w:type="dxa" w:w="60"/>
            </w:tcMar>
            <w:vAlign w:val="center"/>
          </w:tcPr>
          <w:p>
            <w:pPr>
              <w:spacing w:after="20" w:before="60" w:line="320"/>
              <w:jc w:val="center"/>
            </w:pPr>
            <w:r>
              <w:rPr>
                <w:rFonts w:ascii="Arial" w:cs="Arial" w:eastAsia="Arial" w:hAnsi="Arial"/>
                <w:b/>
                <w:bCs/>
                <w:color w:val="1A5C38"/>
                <w:sz w:val="52"/>
                <w:szCs w:val="52"/>
              </w:rPr>
              <w:t xml:space="preserve">0</w:t>
            </w:r>
          </w:p>
          <w:p>
            <w:pPr>
              <w:spacing w:after="20" w:before="0" w:line="320"/>
              <w:jc w:val="center"/>
            </w:pPr>
            <w:r>
              <w:rPr>
                <w:rFonts w:ascii="Arial" w:cs="Arial" w:eastAsia="Arial" w:hAnsi="Arial"/>
                <w:color w:val="6B7280"/>
                <w:sz w:val="18"/>
                <w:szCs w:val="18"/>
              </w:rPr>
              <w:t xml:space="preserve">unified AI civic navigator in Montgomery today</w:t>
            </w:r>
          </w:p>
        </w:tc>
      </w:tr>
    </w:tbl>
    <w:p>
      <w:pPr>
        <w:spacing w:after="0" w:before="200"/>
      </w:pPr>
      <w:r>
        <w:t xml:space="preserve"/>
      </w:r>
    </w:p>
    <w:p>
      <w:pPr>
        <w:spacing w:after="80" w:before="80" w:line="340"/>
        <w:jc w:val="left"/>
      </w:pPr>
      <w:r>
        <w:rPr>
          <w:rFonts w:ascii="Arial" w:cs="Arial" w:eastAsia="Arial" w:hAnsi="Arial"/>
          <w:b w:val="false"/>
          <w:bCs w:val="false"/>
          <w:i w:val="false"/>
          <w:iCs w:val="false"/>
          <w:color w:val="1A1A2E"/>
          <w:sz w:val="22"/>
          <w:szCs w:val="22"/>
        </w:rPr>
        <w:t xml:space="preserve">Both problems share the same root cause: a fragmented information landscape that puts the full burden of navigation on the resident. The benefits are there. The jobs are there. The training programs are there. What is missing is a single intelligent layer that connects the dots in plain language, for the specific person asking, right now.</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4E3" w:sz="4"/>
              <w:left w:val="single" w:color="C8D4E3" w:sz="4"/>
              <w:bottom w:val="single" w:color="C8D4E3" w:sz="4"/>
              <w:right w:val="single" w:color="C8D4E3" w:sz="4"/>
            </w:tcBorders>
            <w:shd w:fill="FEF6F6" w:val="clear"/>
            <w:tcMar>
              <w:top w:type="dxa" w:w="160"/>
              <w:left w:type="dxa" w:w="240"/>
              <w:bottom w:type="dxa" w:w="160"/>
              <w:right w:type="dxa" w:w="200"/>
            </w:tcMar>
          </w:tcPr>
          <w:p>
            <w:pPr>
              <w:spacing w:after="80" w:before="0" w:line="320"/>
            </w:pPr>
            <w:r>
              <w:rPr>
                <w:rFonts w:ascii="Arial" w:cs="Arial" w:eastAsia="Arial" w:hAnsi="Arial"/>
                <w:b/>
                <w:bCs/>
                <w:color w:val="7D1A1A"/>
                <w:sz w:val="24"/>
                <w:szCs w:val="24"/>
              </w:rPr>
              <w:t xml:space="preserve">🏛  CivicGuide MGM</w:t>
            </w:r>
          </w:p>
          <w:p>
            <w:pPr>
              <w:spacing w:after="80" w:before="80" w:line="320"/>
              <w:jc w:val="left"/>
            </w:pPr>
            <w:r>
              <w:rPr>
                <w:rFonts w:ascii="Arial" w:cs="Arial" w:eastAsia="Arial" w:hAnsi="Arial"/>
                <w:b w:val="false"/>
                <w:bCs w:val="false"/>
                <w:i/>
                <w:iCs/>
                <w:color w:val="6B7280"/>
                <w:sz w:val="20"/>
                <w:szCs w:val="20"/>
              </w:rPr>
              <w:t xml:space="preserve">For Dorothy — the Benefits Maze solver</w:t>
            </w:r>
          </w:p>
          <w:p>
            <w:pPr>
              <w:spacing w:after="60" w:before="80" w:line="330"/>
              <w:jc w:val="left"/>
            </w:pPr>
            <w:r>
              <w:rPr>
                <w:rFonts w:ascii="Arial" w:cs="Arial" w:eastAsia="Arial" w:hAnsi="Arial"/>
                <w:b w:val="false"/>
                <w:bCs w:val="false"/>
                <w:i w:val="false"/>
                <w:iCs w:val="false"/>
                <w:color w:val="1A1A2E"/>
                <w:sz w:val="21"/>
                <w:szCs w:val="21"/>
              </w:rPr>
              <w:t xml:space="preserve">A conversational agent that tells any Montgomery resident exactly which benefits and city services they qualify for, explains eligibility in plain language, and walks them through the specific first step to claim each one.</w:t>
            </w:r>
          </w:p>
          <w:p>
            <w:pPr>
              <w:spacing w:after="80" w:before="60" w:line="320"/>
              <w:jc w:val="left"/>
            </w:pPr>
            <w:r>
              <w:rPr>
                <w:rFonts w:ascii="Arial" w:cs="Arial" w:eastAsia="Arial" w:hAnsi="Arial"/>
                <w:b/>
                <w:bCs/>
                <w:i w:val="false"/>
                <w:iCs w:val="false"/>
                <w:color w:val="7D1A1A"/>
                <w:sz w:val="20"/>
                <w:szCs w:val="20"/>
              </w:rPr>
              <w:t xml:space="preserve">Persona: Dorothy, 68. Lost Medicaid. Qualifies for 6 programs. Receives 0.</w:t>
            </w:r>
          </w:p>
        </w:tc>
        <w:tc>
          <w:tcPr>
            <w:tcW w:type="dxa" w:w="4680"/>
            <w:tcBorders>
              <w:top w:val="single" w:color="C8D4E3" w:sz="4"/>
              <w:left w:val="single" w:color="C8D4E3" w:sz="4"/>
              <w:bottom w:val="single" w:color="C8D4E3" w:sz="4"/>
              <w:right w:val="single" w:color="C8D4E3" w:sz="4"/>
            </w:tcBorders>
            <w:shd w:fill="EEF2F7" w:val="clear"/>
            <w:tcMar>
              <w:top w:type="dxa" w:w="160"/>
              <w:left w:type="dxa" w:w="200"/>
              <w:bottom w:type="dxa" w:w="160"/>
              <w:right w:type="dxa" w:w="240"/>
            </w:tcMar>
          </w:tcPr>
          <w:p>
            <w:pPr>
              <w:spacing w:after="80" w:before="0" w:line="320"/>
            </w:pPr>
            <w:r>
              <w:rPr>
                <w:rFonts w:ascii="Arial" w:cs="Arial" w:eastAsia="Arial" w:hAnsi="Arial"/>
                <w:b/>
                <w:bCs/>
                <w:color w:val="1A4A7D"/>
                <w:sz w:val="24"/>
                <w:szCs w:val="24"/>
              </w:rPr>
              <w:t xml:space="preserve">📈  CareerPath MGM</w:t>
            </w:r>
          </w:p>
          <w:p>
            <w:pPr>
              <w:spacing w:after="80" w:before="80" w:line="320"/>
              <w:jc w:val="left"/>
            </w:pPr>
            <w:r>
              <w:rPr>
                <w:rFonts w:ascii="Arial" w:cs="Arial" w:eastAsia="Arial" w:hAnsi="Arial"/>
                <w:b w:val="false"/>
                <w:bCs w:val="false"/>
                <w:i/>
                <w:iCs/>
                <w:color w:val="6B7280"/>
                <w:sz w:val="20"/>
                <w:szCs w:val="20"/>
              </w:rPr>
              <w:t xml:space="preserve">For Marcus — the Wage Trap breaker</w:t>
            </w:r>
          </w:p>
          <w:p>
            <w:pPr>
              <w:spacing w:after="60" w:before="80" w:line="330"/>
              <w:jc w:val="left"/>
            </w:pPr>
            <w:r>
              <w:rPr>
                <w:rFonts w:ascii="Arial" w:cs="Arial" w:eastAsia="Arial" w:hAnsi="Arial"/>
                <w:b w:val="false"/>
                <w:bCs w:val="false"/>
                <w:i w:val="false"/>
                <w:iCs w:val="false"/>
                <w:color w:val="1A1A2E"/>
                <w:sz w:val="21"/>
                <w:szCs w:val="21"/>
              </w:rPr>
              <w:t xml:space="preserve">An AI-powered career pathway engine that takes a worker’s current role, identifies the 2–3 closest high-wage jobs accessible without a 4-year degree, maps the exact certifications needed, and surfaces live Montgomery job postings for those roles today.</w:t>
            </w:r>
          </w:p>
          <w:p>
            <w:pPr>
              <w:spacing w:after="80" w:before="60" w:line="320"/>
              <w:jc w:val="left"/>
            </w:pPr>
            <w:r>
              <w:rPr>
                <w:rFonts w:ascii="Arial" w:cs="Arial" w:eastAsia="Arial" w:hAnsi="Arial"/>
                <w:b/>
                <w:bCs/>
                <w:i w:val="false"/>
                <w:iCs w:val="false"/>
                <w:color w:val="1A4A7D"/>
                <w:sz w:val="20"/>
                <w:szCs w:val="20"/>
              </w:rPr>
              <w:t xml:space="preserve">Persona: Marcus, 34. Assembly plant. $31K/year. 3 certifications from $52K.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02</w:t>
            </w:r>
          </w:p>
        </w:tc>
        <w:tc>
          <w:tcPr>
            <w:tcW w:type="dxa" w:w="8360"/>
            <w:tcBorders>
              <w:top w:val="single" w:color="1B3A6B" w:sz="4"/>
              <w:left w:val="single" w:color="1B3A6B" w:sz="4"/>
              <w:bottom w:val="single" w:color="1B3A6B" w:sz="4"/>
              <w:right w:val="single" w:color="1B3A6B" w:sz="4"/>
            </w:tcBorders>
            <w:shd w:fill="EEF2F7" w:val="clear"/>
            <w:tcMar>
              <w:top w:type="dxa" w:w="100"/>
              <w:left w:type="dxa" w:w="240"/>
              <w:bottom w:type="dxa" w:w="100"/>
              <w:right w:type="dxa" w:w="120"/>
            </w:tcMar>
            <w:vAlign w:val="center"/>
          </w:tcPr>
          <w:p>
            <w:r>
              <w:rPr>
                <w:rFonts w:ascii="Arial" w:cs="Arial" w:eastAsia="Arial" w:hAnsi="Arial"/>
                <w:b/>
                <w:bCs/>
                <w:color w:val="1B3A6B"/>
                <w:sz w:val="27"/>
                <w:szCs w:val="27"/>
              </w:rPr>
              <w:t xml:space="preserve">PROBLEM 1: THE BENEFITS MAZE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1A1A" w:sz="8"/>
              <w:left w:val="single" w:color="7D1A1A" w:sz="8"/>
              <w:bottom w:val="single" w:color="7D1A1A" w:sz="8"/>
              <w:right w:val="single" w:color="7D1A1A" w:sz="8"/>
            </w:tcBorders>
            <w:shd w:fill="FFF5F5" w:val="clear"/>
            <w:tcMar>
              <w:top w:type="dxa" w:w="160"/>
              <w:left w:type="dxa" w:w="280"/>
              <w:bottom w:type="dxa" w:w="160"/>
              <w:right w:type="dxa" w:w="280"/>
            </w:tcMar>
          </w:tcPr>
          <w:p>
            <w:pPr>
              <w:spacing w:after="80" w:before="80" w:line="340"/>
              <w:jc w:val="left"/>
            </w:pPr>
            <w:r>
              <w:rPr>
                <w:rFonts w:ascii="Arial" w:cs="Arial" w:eastAsia="Arial" w:hAnsi="Arial"/>
                <w:b w:val="false"/>
                <w:bCs w:val="false"/>
                <w:i w:val="false"/>
                <w:iCs w:val="false"/>
                <w:color w:val="1A1A2E"/>
                <w:sz w:val="23"/>
                <w:szCs w:val="23"/>
              </w:rPr>
              <w:t xml:space="preserve">40% of Montgomery’s population qualifies for government benefits and city services they will never receive — not because the programs don’t exist, but because the system makes them impossible to navigate.</w:t>
            </w:r>
          </w:p>
          <w:p>
            <w:pPr>
              <w:spacing w:after="80" w:before="80" w:line="330"/>
              <w:jc w:val="left"/>
            </w:pPr>
            <w:r>
              <w:rPr>
                <w:rFonts w:ascii="Arial" w:cs="Arial" w:eastAsia="Arial" w:hAnsi="Arial"/>
                <w:b/>
                <w:bCs/>
                <w:i w:val="false"/>
                <w:iCs w:val="false"/>
                <w:color w:val="7D1A1A"/>
                <w:sz w:val="28"/>
                <w:szCs w:val="28"/>
              </w:rPr>
              <w:t xml:space="preserve">19.7%</w:t>
            </w:r>
            <w:r>
              <w:rPr>
                <w:rFonts w:ascii="Arial" w:cs="Arial" w:eastAsia="Arial" w:hAnsi="Arial"/>
                <w:b w:val="false"/>
                <w:bCs w:val="false"/>
                <w:i w:val="false"/>
                <w:iCs w:val="false"/>
                <w:color w:val="1A1A2E"/>
                <w:sz w:val="22"/>
                <w:szCs w:val="22"/>
              </w:rPr>
              <w:t xml:space="preserve"> poverty rate.  </w:t>
            </w:r>
            <w:r>
              <w:rPr>
                <w:rFonts w:ascii="Arial" w:cs="Arial" w:eastAsia="Arial" w:hAnsi="Arial"/>
                <w:b/>
                <w:bCs/>
                <w:i w:val="false"/>
                <w:iCs w:val="false"/>
                <w:color w:val="7D1A1A"/>
                <w:sz w:val="28"/>
                <w:szCs w:val="28"/>
              </w:rPr>
              <w:t xml:space="preserve">15,578</w:t>
            </w:r>
            <w:r>
              <w:rPr>
                <w:rFonts w:ascii="Arial" w:cs="Arial" w:eastAsia="Arial" w:hAnsi="Arial"/>
                <w:b w:val="false"/>
                <w:bCs w:val="false"/>
                <w:i w:val="false"/>
                <w:iCs w:val="false"/>
                <w:color w:val="1A1A2E"/>
                <w:sz w:val="22"/>
                <w:szCs w:val="22"/>
              </w:rPr>
              <w:t xml:space="preserve"> residents lost Medicaid in 12 months.  </w:t>
            </w:r>
            <w:r>
              <w:rPr>
                <w:rFonts w:ascii="Arial" w:cs="Arial" w:eastAsia="Arial" w:hAnsi="Arial"/>
                <w:b/>
                <w:bCs/>
                <w:i w:val="false"/>
                <w:iCs w:val="false"/>
                <w:color w:val="7D1A1A"/>
                <w:sz w:val="28"/>
                <w:szCs w:val="28"/>
              </w:rPr>
              <w:t xml:space="preserve">10+</w:t>
            </w:r>
            <w:r>
              <w:rPr>
                <w:rFonts w:ascii="Arial" w:cs="Arial" w:eastAsia="Arial" w:hAnsi="Arial"/>
                <w:b w:val="false"/>
                <w:bCs w:val="false"/>
                <w:i w:val="false"/>
                <w:iCs w:val="false"/>
                <w:color w:val="1A1A2E"/>
                <w:sz w:val="22"/>
                <w:szCs w:val="22"/>
              </w:rPr>
              <w:t xml:space="preserve"> agencies. Zero shared entry point.</w:t>
            </w:r>
          </w:p>
        </w:tc>
      </w:tr>
    </w:tbl>
    <w:p>
      <w:pPr>
        <w:spacing w:after="0" w:before="180"/>
      </w:pPr>
      <w:r>
        <w:t xml:space="preserve"/>
      </w:r>
    </w:p>
    <w:p>
      <w:pPr>
        <w:spacing w:after="120" w:before="80" w:line="320"/>
        <w:jc w:val="left"/>
      </w:pPr>
      <w:r>
        <w:rPr>
          <w:rFonts w:ascii="Arial" w:cs="Arial" w:eastAsia="Arial" w:hAnsi="Arial"/>
          <w:b/>
          <w:bCs/>
          <w:i w:val="false"/>
          <w:iCs w:val="false"/>
          <w:color w:val="1B3A6B"/>
          <w:sz w:val="21"/>
          <w:szCs w:val="21"/>
        </w:rPr>
        <w:t xml:space="preserve">THE FIVE SUB-PROBLEMS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7D1A1A" w:sz="6"/>
              <w:left w:val="single" w:color="7D1A1A" w:sz="6"/>
              <w:bottom w:val="single" w:color="7D1A1A" w:sz="6"/>
              <w:right w:val="single" w:color="7D1A1A" w:sz="6"/>
            </w:tcBorders>
            <w:shd w:fill="7D1A1A"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1</w:t>
            </w:r>
          </w:p>
        </w:tc>
        <w:tc>
          <w:tcPr>
            <w:tcW w:type="dxa" w:w="8460"/>
            <w:tcBorders>
              <w:top w:val="single" w:color="C8D4E3" w:sz="4"/>
              <w:left w:val="single" w:color="C8D4E3" w:sz="4"/>
              <w:bottom w:val="single" w:color="C8D4E3" w:sz="4"/>
              <w:right w:val="single" w:color="C8D4E3" w:sz="4"/>
            </w:tcBorders>
            <w:shd w:fill="FFF8F8"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Fragmented Entry Points — The System Has 10+ Doors and No Lobby</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10+ separate agencies (DHR, Medicaid, HUD, SSA, VA, City 311, ALEA, Community Development, Recreation, LIHEAP) with no shared intake, no shared eligibility view, no unified portal.</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Dorothy calls 311 — the city’s main helpline. She is transferred 3–4 times. No agent can tell her which programs she qualifies for. She gives up.</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15,578 Montgomery County residents lost Medicaid in a single 12-month period. Zero received proactive guidance on what to do next. Most were still eligible.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7D1A1A" w:sz="6"/>
              <w:left w:val="single" w:color="7D1A1A" w:sz="6"/>
              <w:bottom w:val="single" w:color="7D1A1A" w:sz="6"/>
              <w:right w:val="single" w:color="7D1A1A" w:sz="6"/>
            </w:tcBorders>
            <w:shd w:fill="7D1A1A"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2</w:t>
            </w:r>
          </w:p>
        </w:tc>
        <w:tc>
          <w:tcPr>
            <w:tcW w:type="dxa" w:w="8460"/>
            <w:tcBorders>
              <w:top w:val="single" w:color="C8D4E3" w:sz="4"/>
              <w:left w:val="single" w:color="C8D4E3" w:sz="4"/>
              <w:bottom w:val="single" w:color="C8D4E3" w:sz="4"/>
              <w:right w:val="single" w:color="C8D4E3" w:sz="4"/>
            </w:tcBorders>
            <w:shd w:fill="FFF8F8"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Eligibility Opacity — People Don’t Know What They Qualify For</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No single tool checks eligibility across all programs simultaneously. Each agency runs its own screening, in its own language, on its own website — a maze with no map.</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Alabama’s SNAP utilization rate is 15.2% vs. an estimated ~20% of eligible residents. That gap represents approximately 10,000 unclaimed enrollments in Montgomery alone.</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Alabama has the most restrictive Medicaid eligibility in the US (tied with Texas). ~300,000 Alabamians would benefit from Medicaid expansion. Most believe this is their personal failure — not a policy decision made without them.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7D1A1A" w:sz="6"/>
              <w:left w:val="single" w:color="7D1A1A" w:sz="6"/>
              <w:bottom w:val="single" w:color="7D1A1A" w:sz="6"/>
              <w:right w:val="single" w:color="7D1A1A" w:sz="6"/>
            </w:tcBorders>
            <w:shd w:fill="7D1A1A"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3</w:t>
            </w:r>
          </w:p>
        </w:tc>
        <w:tc>
          <w:tcPr>
            <w:tcW w:type="dxa" w:w="8460"/>
            <w:tcBorders>
              <w:top w:val="single" w:color="C8D4E3" w:sz="4"/>
              <w:left w:val="single" w:color="C8D4E3" w:sz="4"/>
              <w:bottom w:val="single" w:color="C8D4E3" w:sz="4"/>
              <w:right w:val="single" w:color="C8D4E3" w:sz="4"/>
            </w:tcBorders>
            <w:shd w:fill="FFF8F8"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Form Navigation Failure — Applications Are Built for Lawyers, Not Residents</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Even after finding the right program, residents face multi-page applications in legal language. Dorothy starts the SNAP form. She hits “proof of residency documentation.” She doesn’t know what that means. She closes the tab.</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SNAP, LIHEAP, Medicare Extra Help, and City home repair assistance each require separate applications, separate offices, and separate document packages — with different deadlines and different eligibility clocks.</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The drop-off is mid-process, not at awareness. People find programs. They just cannot complete the paperwork on their own, with no guide, in English legal language, on a smartphone.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7D1A1A" w:sz="6"/>
              <w:left w:val="single" w:color="7D1A1A" w:sz="6"/>
              <w:bottom w:val="single" w:color="7D1A1A" w:sz="6"/>
              <w:right w:val="single" w:color="7D1A1A" w:sz="6"/>
            </w:tcBorders>
            <w:shd w:fill="7D1A1A"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4</w:t>
            </w:r>
          </w:p>
        </w:tc>
        <w:tc>
          <w:tcPr>
            <w:tcW w:type="dxa" w:w="8460"/>
            <w:tcBorders>
              <w:top w:val="single" w:color="C8D4E3" w:sz="4"/>
              <w:left w:val="single" w:color="C8D4E3" w:sz="4"/>
              <w:bottom w:val="single" w:color="C8D4E3" w:sz="4"/>
              <w:right w:val="single" w:color="C8D4E3" w:sz="4"/>
            </w:tcBorders>
            <w:shd w:fill="FFF8F8"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Language &amp; Digital Access Barriers — The System Assumes a Fluency It Doesn’t Have</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11,880 residents have limited English proficiency. All official forms, hotlines, and government websites are English-only. ~5,544 Spanish-speaking residents navigate city services with zero language support.</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30,892 residents are aged 65+ — the majority are smartphone-only with low digital confidence. No civic tool today is designed for their device and skill level.</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The digital divide is documented: Montgomery County shows persistent broadband access gaps by income and race. A tool that requires a laptop, an account, or a fast connection excludes the people who need it most.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7D1A1A" w:sz="6"/>
              <w:left w:val="single" w:color="7D1A1A" w:sz="6"/>
              <w:bottom w:val="single" w:color="7D1A1A" w:sz="6"/>
              <w:right w:val="single" w:color="7D1A1A" w:sz="6"/>
            </w:tcBorders>
            <w:shd w:fill="7D1A1A"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5</w:t>
            </w:r>
          </w:p>
        </w:tc>
        <w:tc>
          <w:tcPr>
            <w:tcW w:type="dxa" w:w="8460"/>
            <w:tcBorders>
              <w:top w:val="single" w:color="C8D4E3" w:sz="4"/>
              <w:left w:val="single" w:color="C8D4E3" w:sz="4"/>
              <w:bottom w:val="single" w:color="C8D4E3" w:sz="4"/>
              <w:right w:val="single" w:color="C8D4E3" w:sz="4"/>
            </w:tcBorders>
            <w:shd w:fill="FFF8F8"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No Proactive Awareness — The System Never Tells People When They Lose or Gain Entitlements</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The Medicaid unwinding hit 278,238 Alabamians in a 12-month period. Most had no advance warning, no explanation, and no guidance on re-enrollment options — even for those still eligible.</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When programs open, close, change eligibility rules, or alter deadlines, there is no mechanism to notify the people most affected. Residents find out by accident, or not at all.</w:t>
            </w:r>
          </w:p>
          <w:p>
            <w:pPr>
              <w:spacing w:after="40" w:before="40" w:line="320"/>
              <w:ind w:left="120"/>
            </w:pPr>
            <w:r>
              <w:rPr>
                <w:rFonts w:ascii="Arial" w:cs="Arial" w:eastAsia="Arial" w:hAnsi="Arial"/>
                <w:b/>
                <w:bCs/>
                <w:color w:val="7D1A1A"/>
                <w:sz w:val="20"/>
                <w:szCs w:val="20"/>
              </w:rPr>
              <w:t xml:space="preserve">▸  </w:t>
            </w:r>
            <w:r>
              <w:rPr>
                <w:rFonts w:ascii="Arial" w:cs="Arial" w:eastAsia="Arial" w:hAnsi="Arial"/>
                <w:color w:val="1A1A2E"/>
                <w:sz w:val="20"/>
                <w:szCs w:val="20"/>
              </w:rPr>
              <w:t xml:space="preserve">Dorothy didn’t know she was still eligible after losing Medicaid. No tool, no letter, no hotline told her what to do next. The system failure was total — and invisible to the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03</w:t>
            </w:r>
          </w:p>
        </w:tc>
        <w:tc>
          <w:tcPr>
            <w:tcW w:type="dxa" w:w="8360"/>
            <w:tcBorders>
              <w:top w:val="single" w:color="1B3A6B" w:sz="4"/>
              <w:left w:val="single" w:color="1B3A6B" w:sz="4"/>
              <w:bottom w:val="single" w:color="1B3A6B" w:sz="4"/>
              <w:right w:val="single" w:color="1B3A6B" w:sz="4"/>
            </w:tcBorders>
            <w:shd w:fill="EEF2F7" w:val="clear"/>
            <w:tcMar>
              <w:top w:type="dxa" w:w="100"/>
              <w:left w:type="dxa" w:w="240"/>
              <w:bottom w:type="dxa" w:w="100"/>
              <w:right w:type="dxa" w:w="120"/>
            </w:tcMar>
            <w:vAlign w:val="center"/>
          </w:tcPr>
          <w:p>
            <w:r>
              <w:rPr>
                <w:rFonts w:ascii="Arial" w:cs="Arial" w:eastAsia="Arial" w:hAnsi="Arial"/>
                <w:b/>
                <w:bCs/>
                <w:color w:val="1B3A6B"/>
                <w:sz w:val="27"/>
                <w:szCs w:val="27"/>
              </w:rPr>
              <w:t xml:space="preserve">PROBLEM 2: THE WAGE TRAP</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D" w:sz="8"/>
              <w:left w:val="single" w:color="1A4A7D" w:sz="8"/>
              <w:bottom w:val="single" w:color="1A4A7D" w:sz="8"/>
              <w:right w:val="single" w:color="1A4A7D" w:sz="8"/>
            </w:tcBorders>
            <w:shd w:fill="F4F7FE" w:val="clear"/>
            <w:tcMar>
              <w:top w:type="dxa" w:w="160"/>
              <w:left w:type="dxa" w:w="280"/>
              <w:bottom w:type="dxa" w:w="160"/>
              <w:right w:type="dxa" w:w="280"/>
            </w:tcMar>
          </w:tcPr>
          <w:p>
            <w:pPr>
              <w:spacing w:after="80" w:before="80" w:line="340"/>
              <w:jc w:val="left"/>
            </w:pPr>
            <w:r>
              <w:rPr>
                <w:rFonts w:ascii="Arial" w:cs="Arial" w:eastAsia="Arial" w:hAnsi="Arial"/>
                <w:b w:val="false"/>
                <w:bCs w:val="false"/>
                <w:i w:val="false"/>
                <w:iCs w:val="false"/>
                <w:color w:val="1A1A2E"/>
                <w:sz w:val="23"/>
                <w:szCs w:val="23"/>
              </w:rPr>
              <w:t xml:space="preserve">Montgomery workers aren’t unemployed. Alabama’s unemployment rate is 2.9% — one of the lowest in the US. Workers are employed in the wrong jobs, with no visible pathway to the $50K+ roles that exist in their own city.</w:t>
            </w:r>
          </w:p>
          <w:p>
            <w:pPr>
              <w:spacing w:after="80" w:before="80" w:line="330"/>
              <w:jc w:val="left"/>
            </w:pPr>
            <w:r>
              <w:rPr>
                <w:rFonts w:ascii="Arial" w:cs="Arial" w:eastAsia="Arial" w:hAnsi="Arial"/>
                <w:b/>
                <w:bCs/>
                <w:i w:val="false"/>
                <w:iCs w:val="false"/>
                <w:color w:val="1A4A7D"/>
                <w:sz w:val="28"/>
                <w:szCs w:val="28"/>
              </w:rPr>
              <w:t xml:space="preserve">$14,200</w:t>
            </w:r>
            <w:r>
              <w:rPr>
                <w:rFonts w:ascii="Arial" w:cs="Arial" w:eastAsia="Arial" w:hAnsi="Arial"/>
                <w:b w:val="false"/>
                <w:bCs w:val="false"/>
                <w:i w:val="false"/>
                <w:iCs w:val="false"/>
                <w:color w:val="1A1A2E"/>
                <w:sz w:val="22"/>
                <w:szCs w:val="22"/>
              </w:rPr>
              <w:t xml:space="preserve"> annual wage gap.  </w:t>
            </w:r>
            <w:r>
              <w:rPr>
                <w:rFonts w:ascii="Arial" w:cs="Arial" w:eastAsia="Arial" w:hAnsi="Arial"/>
                <w:b/>
                <w:bCs/>
                <w:i w:val="false"/>
                <w:iCs w:val="false"/>
                <w:color w:val="1A4A7D"/>
                <w:sz w:val="28"/>
                <w:szCs w:val="28"/>
              </w:rPr>
              <w:t xml:space="preserve">4.24×</w:t>
            </w:r>
            <w:r>
              <w:rPr>
                <w:rFonts w:ascii="Arial" w:cs="Arial" w:eastAsia="Arial" w:hAnsi="Arial"/>
                <w:b w:val="false"/>
                <w:bCs w:val="false"/>
                <w:i w:val="false"/>
                <w:iCs w:val="false"/>
                <w:color w:val="1A1A2E"/>
                <w:sz w:val="22"/>
                <w:szCs w:val="22"/>
              </w:rPr>
              <w:t xml:space="preserve"> overrepresentation in production.  </w:t>
            </w:r>
            <w:r>
              <w:rPr>
                <w:rFonts w:ascii="Arial" w:cs="Arial" w:eastAsia="Arial" w:hAnsi="Arial"/>
                <w:b/>
                <w:bCs/>
                <w:i w:val="false"/>
                <w:iCs w:val="false"/>
                <w:color w:val="1A4A7D"/>
                <w:sz w:val="28"/>
                <w:szCs w:val="28"/>
              </w:rPr>
              <w:t xml:space="preserve">64.1%</w:t>
            </w:r>
            <w:r>
              <w:rPr>
                <w:rFonts w:ascii="Arial" w:cs="Arial" w:eastAsia="Arial" w:hAnsi="Arial"/>
                <w:b w:val="false"/>
                <w:bCs w:val="false"/>
                <w:i w:val="false"/>
                <w:iCs w:val="false"/>
                <w:color w:val="1A1A2E"/>
                <w:sz w:val="22"/>
                <w:szCs w:val="22"/>
              </w:rPr>
              <w:t xml:space="preserve"> of workers hold no bachelor’s degree.</w:t>
            </w:r>
          </w:p>
        </w:tc>
      </w:tr>
    </w:tbl>
    <w:p>
      <w:pPr>
        <w:spacing w:after="0" w:before="180"/>
      </w:pPr>
      <w:r>
        <w:t xml:space="preserve"/>
      </w:r>
    </w:p>
    <w:p>
      <w:pPr>
        <w:spacing w:after="120" w:before="80" w:line="320"/>
        <w:jc w:val="left"/>
      </w:pPr>
      <w:r>
        <w:rPr>
          <w:rFonts w:ascii="Arial" w:cs="Arial" w:eastAsia="Arial" w:hAnsi="Arial"/>
          <w:b/>
          <w:bCs/>
          <w:i w:val="false"/>
          <w:iCs w:val="false"/>
          <w:color w:val="1B3A6B"/>
          <w:sz w:val="21"/>
          <w:szCs w:val="21"/>
        </w:rPr>
        <w:t xml:space="preserve">THE FIVE SUB-PROBLEMS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4A7D" w:sz="6"/>
              <w:left w:val="single" w:color="1A4A7D" w:sz="6"/>
              <w:bottom w:val="single" w:color="1A4A7D" w:sz="6"/>
              <w:right w:val="single" w:color="1A4A7D" w:sz="6"/>
            </w:tcBorders>
            <w:shd w:fill="1A4A7D"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1</w:t>
            </w:r>
          </w:p>
        </w:tc>
        <w:tc>
          <w:tcPr>
            <w:tcW w:type="dxa" w:w="8460"/>
            <w:tcBorders>
              <w:top w:val="single" w:color="C8D4E3" w:sz="4"/>
              <w:left w:val="single" w:color="C8D4E3" w:sz="4"/>
              <w:bottom w:val="single" w:color="C8D4E3" w:sz="4"/>
              <w:right w:val="single" w:color="C8D4E3" w:sz="4"/>
            </w:tcBorders>
            <w:shd w:fill="F4F7FC"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Invisible Skill Gaps — Workers Are 2–3 Certifications From a $20K Raise and Don’t Know It</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Marcus has 8 years of assembly experience. He doesn’t know that Google IT Support Certificate + CompTIA A+ = IT Support Specialist at $52K. That gap is 6 months of evenings and a few hundred dollars in certification fees.</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64.1% of the workforce has no bachelor’s degree. The assumption — held by the workers and by the tools they use — is that the degree barrier is permanent. It isn’t. But no tool shows the cert-only pathway into high-wage roles.</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The skill gap is not abstract — it is 2–3 specific credentials, each with a known cost, a known timeline, and a known employer waiting on the other side. The information exists. No tool delivers it personalised to a specific worker in Montgomery.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4A7D" w:sz="6"/>
              <w:left w:val="single" w:color="1A4A7D" w:sz="6"/>
              <w:bottom w:val="single" w:color="1A4A7D" w:sz="6"/>
              <w:right w:val="single" w:color="1A4A7D" w:sz="6"/>
            </w:tcBorders>
            <w:shd w:fill="1A4A7D"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2</w:t>
            </w:r>
          </w:p>
        </w:tc>
        <w:tc>
          <w:tcPr>
            <w:tcW w:type="dxa" w:w="8460"/>
            <w:tcBorders>
              <w:top w:val="single" w:color="C8D4E3" w:sz="4"/>
              <w:left w:val="single" w:color="C8D4E3" w:sz="4"/>
              <w:bottom w:val="single" w:color="C8D4E3" w:sz="4"/>
              <w:right w:val="single" w:color="C8D4E3" w:sz="4"/>
            </w:tcBorders>
            <w:shd w:fill="F4F7FC"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No Local Market Signal — National Tools Don’t Know Montgomery</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Indeed and LinkedIn show national median salaries. They do not show what Hyundai’s Montgomery plant is actually paying for IT Support roles today, or which local employers are actively posting roles right now.</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4,701 jobs were announced across 122 major projects in Montgomery. That information is buried in Chamber of Commerce press releases — invisible to the workers who need it most.</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Live demand signal — who is hiring, what skills they need, what they are paying, right now in Montgomery — is the missing input that makes career guidance actionable versus aspirational.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4A7D" w:sz="6"/>
              <w:left w:val="single" w:color="1A4A7D" w:sz="6"/>
              <w:bottom w:val="single" w:color="1A4A7D" w:sz="6"/>
              <w:right w:val="single" w:color="1A4A7D" w:sz="6"/>
            </w:tcBorders>
            <w:shd w:fill="1A4A7D"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3</w:t>
            </w:r>
          </w:p>
        </w:tc>
        <w:tc>
          <w:tcPr>
            <w:tcW w:type="dxa" w:w="8460"/>
            <w:tcBorders>
              <w:top w:val="single" w:color="C8D4E3" w:sz="4"/>
              <w:left w:val="single" w:color="C8D4E3" w:sz="4"/>
              <w:bottom w:val="single" w:color="C8D4E3" w:sz="4"/>
              <w:right w:val="single" w:color="C8D4E3" w:sz="4"/>
            </w:tcBorders>
            <w:shd w:fill="F4F7FC"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Generic Career Guidance — Montgomery Is Not the National Average</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Every career tool is built for national averages. Production workers are 9.8% of Montgomery’s workforce vs. 5.7% nationally. Assemblers are 4.24× the national rate. No national career tool models this structural reality — so no national tool gives correct advice for a Montgomery worker.</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AlabamaWorks — the state’s career platform — is statewide, generic, and overwhelming. It shows jobs. It does not show pathways from where a specific worker is now to where they could be in 12 months.</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The $14,200 annual wage gap is a structural feature of Montgomery’s economy, not a personal failing. Generic career advice calibrated to national medians does not address structural wage depression in a specific metro.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4A7D" w:sz="6"/>
              <w:left w:val="single" w:color="1A4A7D" w:sz="6"/>
              <w:bottom w:val="single" w:color="1A4A7D" w:sz="6"/>
              <w:right w:val="single" w:color="1A4A7D" w:sz="6"/>
            </w:tcBorders>
            <w:shd w:fill="1A4A7D"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4</w:t>
            </w:r>
          </w:p>
        </w:tc>
        <w:tc>
          <w:tcPr>
            <w:tcW w:type="dxa" w:w="8460"/>
            <w:tcBorders>
              <w:top w:val="single" w:color="C8D4E3" w:sz="4"/>
              <w:left w:val="single" w:color="C8D4E3" w:sz="4"/>
              <w:bottom w:val="single" w:color="C8D4E3" w:sz="4"/>
              <w:right w:val="single" w:color="C8D4E3" w:sz="4"/>
            </w:tcBorders>
            <w:shd w:fill="F4F7FC"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Opaque Training-to-Employer Pipeline — Certifications Don’t Connect to Specific Jobs</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Workers can find certification programs. They cannot connect those certifications to specific local employers, real local salaries, and realistic commute times from their zip code in East Montgomery.</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AIDT offers free workforce training. The Google IT Support Certificate costs $49/month. But no tool maps: this cert → this Montgomery employer → this salary → this commute from Marcus’s home. That last-mile connection does not exist.</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Montgomery Open Payroll publishes exact city government salaries by job title. No civic career tool uses this to show workers what public sector mobility looks like — a missed connection at scale, available in a public API, used by nobody.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A4A7D" w:sz="6"/>
              <w:left w:val="single" w:color="1A4A7D" w:sz="6"/>
              <w:bottom w:val="single" w:color="1A4A7D" w:sz="6"/>
              <w:right w:val="single" w:color="1A4A7D" w:sz="6"/>
            </w:tcBorders>
            <w:shd w:fill="1A4A7D" w:val="clear"/>
            <w:tcMar>
              <w:top w:type="dxa" w:w="80"/>
              <w:left w:type="dxa" w:w="80"/>
              <w:bottom w:type="dxa" w:w="80"/>
              <w:right w:type="dxa" w:w="80"/>
            </w:tcMar>
            <w:vAlign w:val="center"/>
          </w:tcPr>
          <w:p>
            <w:pPr>
              <w:jc w:val="center"/>
            </w:pPr>
            <w:r>
              <w:rPr>
                <w:rFonts w:ascii="Arial" w:cs="Arial" w:eastAsia="Arial" w:hAnsi="Arial"/>
                <w:b/>
                <w:bCs/>
                <w:color w:val="FFFFFF"/>
                <w:sz w:val="44"/>
                <w:szCs w:val="44"/>
              </w:rPr>
              <w:t xml:space="preserve">5</w:t>
            </w:r>
          </w:p>
        </w:tc>
        <w:tc>
          <w:tcPr>
            <w:tcW w:type="dxa" w:w="8460"/>
            <w:tcBorders>
              <w:top w:val="single" w:color="C8D4E3" w:sz="4"/>
              <w:left w:val="single" w:color="C8D4E3" w:sz="4"/>
              <w:bottom w:val="single" w:color="C8D4E3" w:sz="4"/>
              <w:right w:val="single" w:color="C8D4E3" w:sz="4"/>
            </w:tcBorders>
            <w:shd w:fill="F4F7FC" w:val="clear"/>
            <w:tcMar>
              <w:top w:type="dxa" w:w="120"/>
              <w:left w:type="dxa" w:w="220"/>
              <w:bottom w:type="dxa" w:w="120"/>
              <w:right w:type="dxa" w:w="160"/>
            </w:tcMar>
          </w:tcPr>
          <w:p>
            <w:pPr>
              <w:spacing w:after="80" w:before="0" w:line="320"/>
            </w:pPr>
            <w:r>
              <w:rPr>
                <w:rFonts w:ascii="Arial" w:cs="Arial" w:eastAsia="Arial" w:hAnsi="Arial"/>
                <w:b/>
                <w:bCs/>
                <w:color w:val="1B3A6B"/>
                <w:sz w:val="22"/>
                <w:szCs w:val="22"/>
              </w:rPr>
              <w:t xml:space="preserve">Fear of Transition — Rational Caution That Only High-Confidence, Local Information Can Overcome</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Marcus earns $31K at the Hyundai assembly plant. He has two kids and a car payment. He will not leave for a $45K opportunity he cannot verify with a specific employer name, a real salary figure, a realistic timeline, and a known training cost.</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Generic national statistics — “IT Support pays $55K median” — are unconvincing. A working parent making a career transition needs: real employer + real salary + real training plan + real timeline. Everything else is a brochure.</w:t>
            </w:r>
          </w:p>
          <w:p>
            <w:pPr>
              <w:spacing w:after="40" w:before="40" w:line="320"/>
              <w:ind w:left="120"/>
            </w:pPr>
            <w:r>
              <w:rPr>
                <w:rFonts w:ascii="Arial" w:cs="Arial" w:eastAsia="Arial" w:hAnsi="Arial"/>
                <w:b/>
                <w:bCs/>
                <w:color w:val="1A4A7D"/>
                <w:sz w:val="20"/>
                <w:szCs w:val="20"/>
              </w:rPr>
              <w:t xml:space="preserve">▸  </w:t>
            </w:r>
            <w:r>
              <w:rPr>
                <w:rFonts w:ascii="Arial" w:cs="Arial" w:eastAsia="Arial" w:hAnsi="Arial"/>
                <w:color w:val="1A1A2E"/>
                <w:sz w:val="20"/>
                <w:szCs w:val="20"/>
              </w:rPr>
              <w:t xml:space="preserve">The fear of transition is rational, not irrational. The solution is not motivation or inspiration — it is confidence-scored, locally-specific, actionable intelligence delivered in one conversation.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04</w:t>
            </w:r>
          </w:p>
        </w:tc>
        <w:tc>
          <w:tcPr>
            <w:tcW w:type="dxa" w:w="8360"/>
            <w:tcBorders>
              <w:top w:val="single" w:color="1B3A6B" w:sz="4"/>
              <w:left w:val="single" w:color="1B3A6B" w:sz="4"/>
              <w:bottom w:val="single" w:color="1B3A6B" w:sz="4"/>
              <w:right w:val="single" w:color="1B3A6B" w:sz="4"/>
            </w:tcBorders>
            <w:shd w:fill="EEF2F7" w:val="clear"/>
            <w:tcMar>
              <w:top w:type="dxa" w:w="100"/>
              <w:left w:type="dxa" w:w="240"/>
              <w:bottom w:type="dxa" w:w="100"/>
              <w:right w:type="dxa" w:w="120"/>
            </w:tcMar>
            <w:vAlign w:val="center"/>
          </w:tcPr>
          <w:p>
            <w:r>
              <w:rPr>
                <w:rFonts w:ascii="Arial" w:cs="Arial" w:eastAsia="Arial" w:hAnsi="Arial"/>
                <w:b/>
                <w:bCs/>
                <w:color w:val="1B3A6B"/>
                <w:sz w:val="27"/>
                <w:szCs w:val="27"/>
              </w:rPr>
              <w:t xml:space="preserve">THE SOLUTION MAP — How Each Sub-Problem Gets Closed</w:t>
            </w:r>
          </w:p>
        </w:tc>
      </w:tr>
    </w:tbl>
    <w:p>
      <w:pPr>
        <w:spacing w:after="0" w:before="160"/>
      </w:pPr>
      <w:r>
        <w:t xml:space="preserve"/>
      </w:r>
    </w:p>
    <w:p>
      <w:pPr>
        <w:spacing w:after="120" w:before="80" w:line="320"/>
        <w:jc w:val="left"/>
      </w:pPr>
      <w:r>
        <w:rPr>
          <w:rFonts w:ascii="Arial" w:cs="Arial" w:eastAsia="Arial" w:hAnsi="Arial"/>
          <w:b/>
          <w:bCs/>
          <w:i w:val="false"/>
          <w:iCs w:val="false"/>
          <w:color w:val="7D1A1A"/>
          <w:sz w:val="22"/>
          <w:szCs w:val="22"/>
        </w:rPr>
        <w:t xml:space="preserve">🏛  CIVICGUIDE MGM — Closing the Benefits Maze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6520"/>
      </w:tblGrid>
      <w:tr>
        <w:tc>
          <w:tcPr>
            <w:tcW w:type="dxa" w:w="2840"/>
            <w:tcBorders>
              <w:top w:val="single" w:color="7D1A1A" w:sz="4"/>
              <w:left w:val="single" w:color="7D1A1A" w:sz="4"/>
              <w:bottom w:val="single" w:color="7D1A1A" w:sz="4"/>
              <w:right w:val="single" w:color="7D1A1A" w:sz="4"/>
            </w:tcBorders>
            <w:shd w:fill="7D1A1A"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Sub-Problem</w:t>
            </w:r>
          </w:p>
        </w:tc>
        <w:tc>
          <w:tcPr>
            <w:tcW w:type="dxa" w:w="6520"/>
            <w:tcBorders>
              <w:top w:val="single" w:color="7D1A1A" w:sz="4"/>
              <w:left w:val="single" w:color="7D1A1A" w:sz="4"/>
              <w:bottom w:val="single" w:color="7D1A1A" w:sz="4"/>
              <w:right w:val="single" w:color="7D1A1A" w:sz="4"/>
            </w:tcBorders>
            <w:shd w:fill="7D1A1A"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MontgomeryAI Response</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7D1A1A"/>
                <w:sz w:val="20"/>
                <w:szCs w:val="20"/>
              </w:rPr>
              <w:t xml:space="preserve">Fragmented Entry Points</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Single conversational interface covers all programs across all agencies. One sentence typed in plain English returns a complete answer across DHR, Medicaid, HUD, SSA, city services, and 211 community resources simultaneously. No transfers. No dead ends.</w:t>
            </w:r>
          </w:p>
        </w:tc>
      </w:tr>
      <w:tr>
        <w:tc>
          <w:tcPr>
            <w:tcW w:type="dxa" w:w="284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7D1A1A"/>
                <w:sz w:val="20"/>
                <w:szCs w:val="20"/>
              </w:rPr>
              <w:t xml:space="preserve">Eligibility Opacity</w:t>
            </w:r>
          </w:p>
        </w:tc>
        <w:tc>
          <w:tcPr>
            <w:tcW w:type="dxa" w:w="65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RAG retrieval over live-scraped government rules (Alabama Medicaid, DHR, SSA, 211, city permit pages via Bright Data) delivers a personalised, ranked program list based on the user’s age, income, household size, and zip code — all in one response.</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7D1A1A"/>
                <w:sz w:val="20"/>
                <w:szCs w:val="20"/>
              </w:rPr>
              <w:t xml:space="preserve">Form Navigation Failure</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Step-by-step form completion guide per eligible program: which form, which office, what documents to bring, what deadlines apply — delivered conversationally in plain English (or Spanish) at a reading level calibrated for Dorothy, not a caseworker.</w:t>
            </w:r>
          </w:p>
        </w:tc>
      </w:tr>
      <w:tr>
        <w:tc>
          <w:tcPr>
            <w:tcW w:type="dxa" w:w="284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7D1A1A"/>
                <w:sz w:val="20"/>
                <w:szCs w:val="20"/>
              </w:rPr>
              <w:t xml:space="preserve">Language &amp; Digital Barriers</w:t>
            </w:r>
          </w:p>
        </w:tc>
        <w:tc>
          <w:tcPr>
            <w:tcW w:type="dxa" w:w="65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Native bilingual EN/ES output throughout. Mobile-first design: works on any smartphone browser with no account, no download, no login. Designed for a 4G connection and low digital confidence. Zero friction from first tap to first answer.</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7D1A1A"/>
                <w:sz w:val="20"/>
                <w:szCs w:val="20"/>
              </w:rPr>
              <w:t xml:space="preserve">No Proactive Awareness</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Bright Data re-scrapes all government eligibility rules weekly. The system always reflects current rules — not a PDF from 18 months ago. Rule changes (Medicaid thresholds, SNAP work requirements, LIHEAP deadlines) propagate automatically.</w:t>
            </w:r>
          </w:p>
        </w:tc>
      </w:tr>
    </w:tbl>
    <w:p>
      <w:pPr>
        <w:spacing w:after="0" w:before="240"/>
      </w:pPr>
      <w:r>
        <w:t xml:space="preserve"/>
      </w:r>
    </w:p>
    <w:p>
      <w:pPr>
        <w:spacing w:after="120" w:before="80" w:line="320"/>
        <w:jc w:val="left"/>
      </w:pPr>
      <w:r>
        <w:rPr>
          <w:rFonts w:ascii="Arial" w:cs="Arial" w:eastAsia="Arial" w:hAnsi="Arial"/>
          <w:b/>
          <w:bCs/>
          <w:i w:val="false"/>
          <w:iCs w:val="false"/>
          <w:color w:val="1A4A7D"/>
          <w:sz w:val="22"/>
          <w:szCs w:val="22"/>
        </w:rPr>
        <w:t xml:space="preserve">📈  CAREERPATH MGM — Breaking the Wage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6520"/>
      </w:tblGrid>
      <w:tr>
        <w:tc>
          <w:tcPr>
            <w:tcW w:type="dxa" w:w="2840"/>
            <w:tcBorders>
              <w:top w:val="single" w:color="1A4A7D" w:sz="4"/>
              <w:left w:val="single" w:color="1A4A7D" w:sz="4"/>
              <w:bottom w:val="single" w:color="1A4A7D" w:sz="4"/>
              <w:right w:val="single" w:color="1A4A7D" w:sz="4"/>
            </w:tcBorders>
            <w:shd w:fill="1A4A7D"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Sub-Problem</w:t>
            </w:r>
          </w:p>
        </w:tc>
        <w:tc>
          <w:tcPr>
            <w:tcW w:type="dxa" w:w="6520"/>
            <w:tcBorders>
              <w:top w:val="single" w:color="1A4A7D" w:sz="4"/>
              <w:left w:val="single" w:color="1A4A7D" w:sz="4"/>
              <w:bottom w:val="single" w:color="1A4A7D" w:sz="4"/>
              <w:right w:val="single" w:color="1A4A7D" w:sz="4"/>
            </w:tcBorders>
            <w:shd w:fill="1A4A7D"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MontgomeryAI Response</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4A7D"/>
                <w:sz w:val="20"/>
                <w:szCs w:val="20"/>
              </w:rPr>
              <w:t xml:space="preserve">Invisible Skill Gaps</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spaCy NER runs over live job descriptions to extract required skills. O*NET matching maps those skills to occupation profiles. A gap score is calculated: target skill set minus user’s current skill set. Output: “You are missing 3 skills. Here they are. Here is the certification that covers them.”</w:t>
            </w:r>
          </w:p>
        </w:tc>
      </w:tr>
      <w:tr>
        <w:tc>
          <w:tcPr>
            <w:tcW w:type="dxa" w:w="284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4A7D"/>
                <w:sz w:val="20"/>
                <w:szCs w:val="20"/>
              </w:rPr>
              <w:t xml:space="preserve">No Local Market Signal</w:t>
            </w:r>
          </w:p>
        </w:tc>
        <w:tc>
          <w:tcPr>
            <w:tcW w:type="dxa" w:w="65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Bright Data pre-built job scrapers pull live postings from LinkedIn and Indeed filtered to Montgomery metro — updated daily. The agent always knows which employers are hiring, for what skills, at what salary, right now in Montgomery. Not last quarter nationally.</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4A7D"/>
                <w:sz w:val="20"/>
                <w:szCs w:val="20"/>
              </w:rPr>
              <w:t xml:space="preserve">Generic Career Guidance</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Montgomery-calibrated ML model uses local BLS OEWS wage data, ArcGIS employer density, and building permit growth signals as inputs. Recommendations are scored for the Montgomery labor market specifically — not national medians that misrepresent local reality.</w:t>
            </w:r>
          </w:p>
        </w:tc>
      </w:tr>
      <w:tr>
        <w:tc>
          <w:tcPr>
            <w:tcW w:type="dxa" w:w="284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4A7D"/>
                <w:sz w:val="20"/>
                <w:szCs w:val="20"/>
              </w:rPr>
              <w:t xml:space="preserve">Opaque Training Pipeline</w:t>
            </w:r>
          </w:p>
        </w:tc>
        <w:tc>
          <w:tcPr>
            <w:tcW w:type="dxa" w:w="65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RAG retrieval over curated training program knowledge base (AIDT, AUM, Google/CompTIA/IBM certs) combined with ArcGIS business license employer map delivers a cert-to-employer path: credential name, provider, cost, duration, and commute distance from the user’s zip code.</w:t>
            </w:r>
          </w:p>
        </w:tc>
      </w:tr>
      <w:tr>
        <w:tc>
          <w:tcPr>
            <w:tcW w:type="dxa" w:w="284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4A7D"/>
                <w:sz w:val="20"/>
                <w:szCs w:val="20"/>
              </w:rPr>
              <w:t xml:space="preserve">Fear of Transition</w:t>
            </w:r>
          </w:p>
        </w:tc>
        <w:tc>
          <w:tcPr>
            <w:tcW w:type="dxa" w:w="65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Every recommendation includes a full confidence package: specific employer name + real local salary (BLS OEWS or city payroll data) + training cost + realistic timeline + commute safety score. Not a brochure. A plan Marcus can act on without leaving his current job before he is ready.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26"/>
                <w:szCs w:val="26"/>
              </w:rPr>
              <w:t xml:space="preserve">05</w:t>
            </w:r>
          </w:p>
        </w:tc>
        <w:tc>
          <w:tcPr>
            <w:tcW w:type="dxa" w:w="8360"/>
            <w:tcBorders>
              <w:top w:val="single" w:color="1B3A6B" w:sz="4"/>
              <w:left w:val="single" w:color="1B3A6B" w:sz="4"/>
              <w:bottom w:val="single" w:color="1B3A6B" w:sz="4"/>
              <w:right w:val="single" w:color="1B3A6B" w:sz="4"/>
            </w:tcBorders>
            <w:shd w:fill="EEF2F7" w:val="clear"/>
            <w:tcMar>
              <w:top w:type="dxa" w:w="100"/>
              <w:left w:type="dxa" w:w="240"/>
              <w:bottom w:type="dxa" w:w="100"/>
              <w:right w:type="dxa" w:w="120"/>
            </w:tcMar>
            <w:vAlign w:val="center"/>
          </w:tcPr>
          <w:p>
            <w:r>
              <w:rPr>
                <w:rFonts w:ascii="Arial" w:cs="Arial" w:eastAsia="Arial" w:hAnsi="Arial"/>
                <w:b/>
                <w:bCs/>
                <w:color w:val="1B3A6B"/>
                <w:sz w:val="27"/>
                <w:szCs w:val="27"/>
              </w:rPr>
              <w:t xml:space="preserve">PLATFORM ARCHITECTURE — Three Layers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EEF2F7" w:val="clear"/>
            <w:tcMar>
              <w:top w:type="dxa" w:w="160"/>
              <w:left w:type="dxa" w:w="280"/>
              <w:bottom w:type="dxa" w:w="160"/>
              <w:right w:type="dxa" w:w="280"/>
            </w:tcMar>
          </w:tcPr>
          <w:p>
            <w:pPr>
              <w:spacing w:after="80" w:before="80" w:line="340"/>
              <w:jc w:val="left"/>
            </w:pPr>
            <w:r>
              <w:rPr>
                <w:rFonts w:ascii="Arial" w:cs="Arial" w:eastAsia="Arial" w:hAnsi="Arial"/>
                <w:b w:val="false"/>
                <w:bCs w:val="false"/>
                <w:i w:val="false"/>
                <w:iCs w:val="false"/>
                <w:color w:val="1A1A2E"/>
                <w:sz w:val="22"/>
                <w:szCs w:val="22"/>
              </w:rPr>
              <w:t xml:space="preserve">MontgomeryAI is a subagent-driven platform. The context is too large and too branching for a single monolithic agent — both tracks span government eligibility rules, live job market data, local employer maps, city open data, and personalised user profiles. The architecture uses a Router Agent that orchestrates specialised subagents, each with a focused tool set, a minimal context window, and a single well-defined responsibility. This reduces hallucination risk, enables parallel execution, and allows each component to be tested and improved independently.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120"/>
              <w:left w:type="dxa" w:w="240"/>
              <w:bottom w:type="dxa" w:w="120"/>
              <w:right w:type="dxa" w:w="240"/>
            </w:tcMar>
          </w:tcPr>
          <w:p>
            <w:pPr>
              <w:spacing w:after="40" w:before="0" w:line="320"/>
              <w:jc w:val="center"/>
            </w:pPr>
            <w:r>
              <w:rPr>
                <w:rFonts w:ascii="Arial" w:cs="Arial" w:eastAsia="Arial" w:hAnsi="Arial"/>
                <w:b/>
                <w:bCs/>
                <w:color w:val="FFFFFF"/>
                <w:sz w:val="30"/>
                <w:szCs w:val="30"/>
              </w:rPr>
              <w:t xml:space="preserve">DATA LAYER</w:t>
            </w:r>
          </w:p>
          <w:p>
            <w:pPr>
              <w:spacing w:after="0" w:before="0" w:line="320"/>
              <w:jc w:val="center"/>
            </w:pPr>
            <w:r>
              <w:rPr>
                <w:rFonts w:ascii="Arial" w:cs="Arial" w:eastAsia="Arial" w:hAnsi="Arial"/>
                <w:i/>
                <w:iCs/>
                <w:color w:val="BBCCDD"/>
                <w:sz w:val="19"/>
                <w:szCs w:val="19"/>
              </w:rPr>
              <w:t xml:space="preserve">What we ingest, from where, and how often — the ground truth for both agents</w:t>
            </w:r>
          </w:p>
        </w:tc>
      </w:tr>
      <w:tr>
        <w:tc>
          <w:tcPr>
            <w:tcW w:type="dxa" w:w="9360"/>
            <w:tcBorders>
              <w:top w:val="single" w:color="C8D4E3" w:sz="4"/>
              <w:left w:val="single" w:color="C8D4E3" w:sz="4"/>
              <w:bottom w:val="single" w:color="C8D4E3" w:sz="4"/>
              <w:right w:val="single" w:color="C8D4E3" w:sz="4"/>
            </w:tcBorders>
            <w:shd w:fill="EEF2F7" w:val="clear"/>
            <w:tcMar>
              <w:top w:type="dxa" w:w="140"/>
              <w:left w:type="dxa" w:w="260"/>
              <w:bottom w:type="dxa" w:w="140"/>
              <w:right w:type="dxa" w:w="260"/>
            </w:tcMar>
          </w:tcPr>
          <w:p>
            <w:pPr>
              <w:spacing w:after="80" w:before="80" w:line="320"/>
              <w:jc w:val="left"/>
            </w:pPr>
            <w:r>
              <w:rPr>
                <w:rFonts w:ascii="Arial" w:cs="Arial" w:eastAsia="Arial" w:hAnsi="Arial"/>
                <w:b/>
                <w:bCs/>
                <w:i w:val="false"/>
                <w:iCs w:val="false"/>
                <w:color w:val="1B3A6B"/>
                <w:sz w:val="20"/>
                <w:szCs w:val="20"/>
              </w:rPr>
              <w:t xml:space="preserve">SHARED ACROSS BOTH AGENTS</w:t>
            </w:r>
          </w:p>
          <w:p>
            <w:pPr>
              <w:spacing w:after="60" w:before="60" w:line="320"/>
            </w:pPr>
            <w:r>
              <w:rPr>
                <w:rFonts w:ascii="Arial" w:cs="Arial" w:eastAsia="Arial" w:hAnsi="Arial"/>
                <w:b/>
                <w:bCs/>
                <w:color w:val="1B3A6B"/>
                <w:sz w:val="21"/>
                <w:szCs w:val="21"/>
              </w:rPr>
              <w:t xml:space="preserve">Pillar 1 — Montgomery ArcGIS REST API:  </w:t>
            </w:r>
            <w:r>
              <w:rPr>
                <w:rFonts w:ascii="Arial" w:cs="Arial" w:eastAsia="Arial" w:hAnsi="Arial"/>
                <w:color w:val="1A1A2E"/>
                <w:sz w:val="21"/>
                <w:szCs w:val="21"/>
              </w:rPr>
              <w:t xml:space="preserve">8 live city datasets (Business Licenses, Building Permits, Crime Statistics, Open Checkbook, Open Payroll, City Recreation, General Permits, Crime Mapping). Public, unauthenticated, GeoJSON. Ingested and normalised into DuckDB by ETL module M00.</w:t>
            </w:r>
          </w:p>
          <w:p>
            <w:pPr>
              <w:spacing w:after="60" w:before="60" w:line="320"/>
            </w:pPr>
            <w:r>
              <w:rPr>
                <w:rFonts w:ascii="Arial" w:cs="Arial" w:eastAsia="Arial" w:hAnsi="Arial"/>
                <w:b/>
                <w:bCs/>
                <w:color w:val="1B3A6B"/>
                <w:sz w:val="21"/>
                <w:szCs w:val="21"/>
              </w:rPr>
              <w:t xml:space="preserve">Shared Storage (M01):  </w:t>
            </w:r>
            <w:r>
              <w:rPr>
                <w:rFonts w:ascii="Arial" w:cs="Arial" w:eastAsia="Arial" w:hAnsi="Arial"/>
                <w:color w:val="1A1A2E"/>
                <w:sz w:val="21"/>
                <w:szCs w:val="21"/>
              </w:rPr>
              <w:t xml:space="preserve">DuckDB for structured city data (SQL queryable) + ChromaDB for the vector knowledge base (semantic search). Initialised once, used by both agents throughout the session.</w:t>
            </w:r>
          </w:p>
          <w:p>
            <w:pPr>
              <w:spacing w:after="0" w:before="100"/>
            </w:pPr>
            <w:r>
              <w:t xml:space="preserve"/>
            </w:r>
          </w:p>
          <w:p>
            <w:pPr>
              <w:spacing w:after="80" w:before="80" w:line="320"/>
              <w:jc w:val="left"/>
            </w:pPr>
            <w:r>
              <w:rPr>
                <w:rFonts w:ascii="Arial" w:cs="Arial" w:eastAsia="Arial" w:hAnsi="Arial"/>
                <w:b/>
                <w:bCs/>
                <w:i w:val="false"/>
                <w:iCs w:val="false"/>
                <w:color w:val="7D1A1A"/>
                <w:sz w:val="20"/>
                <w:szCs w:val="20"/>
              </w:rPr>
              <w:t xml:space="preserve">CIVICGUIDE — ADDITIONAL DATA SOURCES</w:t>
            </w:r>
          </w:p>
          <w:p>
            <w:pPr>
              <w:spacing w:after="60" w:before="60" w:line="320"/>
            </w:pPr>
            <w:r>
              <w:rPr>
                <w:rFonts w:ascii="Arial" w:cs="Arial" w:eastAsia="Arial" w:hAnsi="Arial"/>
                <w:b/>
                <w:bCs/>
                <w:color w:val="1B3A6B"/>
                <w:sz w:val="21"/>
                <w:szCs w:val="21"/>
              </w:rPr>
              <w:t xml:space="preserve">Pillar 2a — Bright Data Government Scraping:  </w:t>
            </w:r>
            <w:r>
              <w:rPr>
                <w:rFonts w:ascii="Arial" w:cs="Arial" w:eastAsia="Arial" w:hAnsi="Arial"/>
                <w:color w:val="1A1A2E"/>
                <w:sz w:val="21"/>
                <w:szCs w:val="21"/>
              </w:rPr>
              <w:t xml:space="preserve">Alabama Medicaid (eligibility rules, income thresholds, application steps), Alabama DHR (SNAP/TANF/LIHEAP rules + form guides), Alabama 211 (community resource directory), Montgomery city permit pages, SSA.gov Medicare savings programs. Scraped via Web Unlocker API. Refreshed weekly.</w:t>
            </w:r>
          </w:p>
          <w:p>
            <w:pPr>
              <w:spacing w:after="60" w:before="60" w:line="320"/>
            </w:pPr>
            <w:r>
              <w:rPr>
                <w:rFonts w:ascii="Arial" w:cs="Arial" w:eastAsia="Arial" w:hAnsi="Arial"/>
                <w:b/>
                <w:bCs/>
                <w:color w:val="1B3A6B"/>
                <w:sz w:val="21"/>
                <w:szCs w:val="21"/>
              </w:rPr>
              <w:t xml:space="preserve">Context Layer — Census ACS:  </w:t>
            </w:r>
            <w:r>
              <w:rPr>
                <w:rFonts w:ascii="Arial" w:cs="Arial" w:eastAsia="Arial" w:hAnsi="Arial"/>
                <w:color w:val="1A1A2E"/>
                <w:sz w:val="21"/>
                <w:szCs w:val="21"/>
              </w:rPr>
              <w:t xml:space="preserve">ACS demographic data (income, age, language, occupation) for personalisation context. Quarterly refresh.</w:t>
            </w:r>
          </w:p>
          <w:p>
            <w:pPr>
              <w:spacing w:after="0" w:before="100"/>
            </w:pPr>
            <w:r>
              <w:t xml:space="preserve"/>
            </w:r>
          </w:p>
          <w:p>
            <w:pPr>
              <w:spacing w:after="80" w:before="80" w:line="320"/>
              <w:jc w:val="left"/>
            </w:pPr>
            <w:r>
              <w:rPr>
                <w:rFonts w:ascii="Arial" w:cs="Arial" w:eastAsia="Arial" w:hAnsi="Arial"/>
                <w:b/>
                <w:bCs/>
                <w:i w:val="false"/>
                <w:iCs w:val="false"/>
                <w:color w:val="1A4A7D"/>
                <w:sz w:val="20"/>
                <w:szCs w:val="20"/>
              </w:rPr>
              <w:t xml:space="preserve">CAREERPATH — ADDITIONAL DATA SOURCES</w:t>
            </w:r>
          </w:p>
          <w:p>
            <w:pPr>
              <w:spacing w:after="60" w:before="60" w:line="320"/>
            </w:pPr>
            <w:r>
              <w:rPr>
                <w:rFonts w:ascii="Arial" w:cs="Arial" w:eastAsia="Arial" w:hAnsi="Arial"/>
                <w:b/>
                <w:bCs/>
                <w:color w:val="1B3A6B"/>
                <w:sz w:val="21"/>
                <w:szCs w:val="21"/>
              </w:rPr>
              <w:t xml:space="preserve">Pillar 2b — Bright Data Job Scraping:  </w:t>
            </w:r>
            <w:r>
              <w:rPr>
                <w:rFonts w:ascii="Arial" w:cs="Arial" w:eastAsia="Arial" w:hAnsi="Arial"/>
                <w:color w:val="1A1A2E"/>
                <w:sz w:val="21"/>
                <w:szCs w:val="21"/>
              </w:rPr>
              <w:t xml:space="preserve">LinkedIn Jobs (Montgomery metro) + Indeed Jobs (Montgomery metro) via pre-built Job Scraper API. Extracts: job title, employer, required skills, salary range, job type, full description. Refreshed daily.</w:t>
            </w:r>
          </w:p>
          <w:p>
            <w:pPr>
              <w:spacing w:after="60" w:before="60" w:line="320"/>
            </w:pPr>
            <w:r>
              <w:rPr>
                <w:rFonts w:ascii="Arial" w:cs="Arial" w:eastAsia="Arial" w:hAnsi="Arial"/>
                <w:b/>
                <w:bCs/>
                <w:color w:val="1B3A6B"/>
                <w:sz w:val="21"/>
                <w:szCs w:val="21"/>
              </w:rPr>
              <w:t xml:space="preserve">Context Layer — O*NET API + BLS OEWS:  </w:t>
            </w:r>
            <w:r>
              <w:rPr>
                <w:rFonts w:ascii="Arial" w:cs="Arial" w:eastAsia="Arial" w:hAnsi="Arial"/>
                <w:color w:val="1A1A2E"/>
                <w:sz w:val="21"/>
                <w:szCs w:val="21"/>
              </w:rPr>
              <w:t xml:space="preserve">O*NET: 30,000+ occupation profiles with skills, wages, and education requirements — the backbone of the skill-gap engine. BLS OEWS: local wage by occupation code for Montgomery MSA — the salary ground truth.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8" w:sz="4"/>
              <w:left w:val="single" w:color="2E5DA8" w:sz="4"/>
              <w:bottom w:val="single" w:color="2E5DA8" w:sz="4"/>
              <w:right w:val="single" w:color="2E5DA8" w:sz="4"/>
            </w:tcBorders>
            <w:shd w:fill="2E5DA8" w:val="clear"/>
            <w:tcMar>
              <w:top w:type="dxa" w:w="120"/>
              <w:left w:type="dxa" w:w="240"/>
              <w:bottom w:type="dxa" w:w="120"/>
              <w:right w:type="dxa" w:w="240"/>
            </w:tcMar>
          </w:tcPr>
          <w:p>
            <w:pPr>
              <w:spacing w:after="40" w:before="0" w:line="320"/>
              <w:jc w:val="center"/>
            </w:pPr>
            <w:r>
              <w:rPr>
                <w:rFonts w:ascii="Arial" w:cs="Arial" w:eastAsia="Arial" w:hAnsi="Arial"/>
                <w:b/>
                <w:bCs/>
                <w:color w:val="FFFFFF"/>
                <w:sz w:val="30"/>
                <w:szCs w:val="30"/>
              </w:rPr>
              <w:t xml:space="preserve">AI LAYER</w:t>
            </w:r>
          </w:p>
          <w:p>
            <w:pPr>
              <w:spacing w:after="0" w:before="0" w:line="320"/>
              <w:jc w:val="center"/>
            </w:pPr>
            <w:r>
              <w:rPr>
                <w:rFonts w:ascii="Arial" w:cs="Arial" w:eastAsia="Arial" w:hAnsi="Arial"/>
                <w:i/>
                <w:iCs/>
                <w:color w:val="BBCCDD"/>
                <w:sz w:val="19"/>
                <w:szCs w:val="19"/>
              </w:rPr>
              <w:t xml:space="preserve">What processes, reasons, and personalises — the intelligence engine</w:t>
            </w:r>
          </w:p>
        </w:tc>
      </w:tr>
      <w:tr>
        <w:tc>
          <w:tcPr>
            <w:tcW w:type="dxa" w:w="9360"/>
            <w:tcBorders>
              <w:top w:val="single" w:color="C8D4E3" w:sz="4"/>
              <w:left w:val="single" w:color="C8D4E3" w:sz="4"/>
              <w:bottom w:val="single" w:color="C8D4E3" w:sz="4"/>
              <w:right w:val="single" w:color="C8D4E3" w:sz="4"/>
            </w:tcBorders>
            <w:shd w:fill="EEF4FA" w:val="clear"/>
            <w:tcMar>
              <w:top w:type="dxa" w:w="140"/>
              <w:left w:type="dxa" w:w="260"/>
              <w:bottom w:type="dxa" w:w="140"/>
              <w:right w:type="dxa" w:w="260"/>
            </w:tcMar>
          </w:tcPr>
          <w:p>
            <w:pPr>
              <w:spacing w:after="80" w:before="80" w:line="320"/>
              <w:jc w:val="left"/>
            </w:pPr>
            <w:r>
              <w:rPr>
                <w:rFonts w:ascii="Arial" w:cs="Arial" w:eastAsia="Arial" w:hAnsi="Arial"/>
                <w:b/>
                <w:bCs/>
                <w:i w:val="false"/>
                <w:iCs w:val="false"/>
                <w:color w:val="1B3A6B"/>
                <w:sz w:val="20"/>
                <w:szCs w:val="20"/>
              </w:rPr>
              <w:t xml:space="preserve">SHARED INTELLIGENCE COMPONENTS</w:t>
            </w:r>
          </w:p>
          <w:p>
            <w:pPr>
              <w:spacing w:after="60" w:before="60" w:line="320"/>
            </w:pPr>
            <w:r>
              <w:rPr>
                <w:rFonts w:ascii="Arial" w:cs="Arial" w:eastAsia="Arial" w:hAnsi="Arial"/>
                <w:b/>
                <w:bCs/>
                <w:color w:val="1B3A6B"/>
                <w:sz w:val="21"/>
                <w:szCs w:val="21"/>
              </w:rPr>
              <w:t xml:space="preserve">RAG Pipeline (M02):  </w:t>
            </w:r>
            <w:r>
              <w:rPr>
                <w:rFonts w:ascii="Arial" w:cs="Arial" w:eastAsia="Arial" w:hAnsi="Arial"/>
                <w:color w:val="1A1A2E"/>
                <w:sz w:val="21"/>
                <w:szCs w:val="21"/>
              </w:rPr>
              <w:t xml:space="preserve">sentence-transformers embedding model converts all scraped text (benefit rules, form guides, job descriptions, training programs) into vector embeddings stored in ChromaDB. Powers semantic search across all knowledge bases in a single query.</w:t>
            </w:r>
          </w:p>
          <w:p>
            <w:pPr>
              <w:spacing w:after="60" w:before="60" w:line="320"/>
            </w:pPr>
            <w:r>
              <w:rPr>
                <w:rFonts w:ascii="Arial" w:cs="Arial" w:eastAsia="Arial" w:hAnsi="Arial"/>
                <w:b/>
                <w:bCs/>
                <w:color w:val="1B3A6B"/>
                <w:sz w:val="21"/>
                <w:szCs w:val="21"/>
              </w:rPr>
              <w:t xml:space="preserve">Router Agent:  </w:t>
            </w:r>
            <w:r>
              <w:rPr>
                <w:rFonts w:ascii="Arial" w:cs="Arial" w:eastAsia="Arial" w:hAnsi="Arial"/>
                <w:color w:val="1A1A2E"/>
                <w:sz w:val="21"/>
                <w:szCs w:val="21"/>
              </w:rPr>
              <w:t xml:space="preserve">Lightweight LangChain agent classifies intent (benefits navigation vs. career pathway) and routes to the correct subagent suite. Manages session context across conversation turns.</w:t>
            </w:r>
          </w:p>
          <w:p>
            <w:pPr>
              <w:spacing w:after="60" w:before="60" w:line="320"/>
            </w:pPr>
            <w:r>
              <w:rPr>
                <w:rFonts w:ascii="Arial" w:cs="Arial" w:eastAsia="Arial" w:hAnsi="Arial"/>
                <w:b/>
                <w:bCs/>
                <w:color w:val="1B3A6B"/>
                <w:sz w:val="21"/>
                <w:szCs w:val="21"/>
              </w:rPr>
              <w:t xml:space="preserve">LLM Layer:  </w:t>
            </w:r>
            <w:r>
              <w:rPr>
                <w:rFonts w:ascii="Arial" w:cs="Arial" w:eastAsia="Arial" w:hAnsi="Arial"/>
                <w:color w:val="1A1A2E"/>
                <w:sz w:val="21"/>
                <w:szCs w:val="21"/>
              </w:rPr>
              <w:t xml:space="preserve">GPT-4o or Claude Sonnet 3.5 for natural language understanding, eligibility rule reasoning, personalised plain-language output, and native EN/ES bilingual responses.</w:t>
            </w:r>
          </w:p>
          <w:p>
            <w:pPr>
              <w:spacing w:after="0" w:before="100"/>
            </w:pPr>
            <w:r>
              <w:t xml:space="preserve"/>
            </w:r>
          </w:p>
          <w:p>
            <w:pPr>
              <w:spacing w:after="80" w:before="80" w:line="320"/>
              <w:jc w:val="left"/>
            </w:pPr>
            <w:r>
              <w:rPr>
                <w:rFonts w:ascii="Arial" w:cs="Arial" w:eastAsia="Arial" w:hAnsi="Arial"/>
                <w:b/>
                <w:bCs/>
                <w:i w:val="false"/>
                <w:iCs w:val="false"/>
                <w:color w:val="7D1A1A"/>
                <w:sz w:val="20"/>
                <w:szCs w:val="20"/>
              </w:rPr>
              <w:t xml:space="preserve">CIVICGUIDE SUBAGENTS</w:t>
            </w:r>
          </w:p>
          <w:p>
            <w:pPr>
              <w:spacing w:after="60" w:before="60" w:line="320"/>
            </w:pPr>
            <w:r>
              <w:rPr>
                <w:rFonts w:ascii="Arial" w:cs="Arial" w:eastAsia="Arial" w:hAnsi="Arial"/>
                <w:b/>
                <w:bCs/>
                <w:color w:val="1B3A6B"/>
                <w:sz w:val="21"/>
                <w:szCs w:val="21"/>
              </w:rPr>
              <w:t xml:space="preserve">Eligibility Subagent:  </w:t>
            </w:r>
            <w:r>
              <w:rPr>
                <w:rFonts w:ascii="Arial" w:cs="Arial" w:eastAsia="Arial" w:hAnsi="Arial"/>
                <w:color w:val="1A1A2E"/>
                <w:sz w:val="21"/>
                <w:szCs w:val="21"/>
              </w:rPr>
              <w:t xml:space="preserve">User profile (age, income, household, disability, zip) → semantic search over scraped benefit eligibility rules → ranked program list with qualification explanation. Focused context: benefit rules only.</w:t>
            </w:r>
          </w:p>
          <w:p>
            <w:pPr>
              <w:spacing w:after="60" w:before="60" w:line="320"/>
            </w:pPr>
            <w:r>
              <w:rPr>
                <w:rFonts w:ascii="Arial" w:cs="Arial" w:eastAsia="Arial" w:hAnsi="Arial"/>
                <w:b/>
                <w:bCs/>
                <w:color w:val="1B3A6B"/>
                <w:sz w:val="21"/>
                <w:szCs w:val="21"/>
              </w:rPr>
              <w:t xml:space="preserve">Form Guide Subagent:  </w:t>
            </w:r>
            <w:r>
              <w:rPr>
                <w:rFonts w:ascii="Arial" w:cs="Arial" w:eastAsia="Arial" w:hAnsi="Arial"/>
                <w:color w:val="1A1A2E"/>
                <w:sz w:val="21"/>
                <w:szCs w:val="21"/>
              </w:rPr>
              <w:t xml:space="preserve">Eligible program name → retrieves step-by-step completion guide → delivers in plain language with next-step specificity (which form, which office, which documents). Focused context: form guides only.</w:t>
            </w:r>
          </w:p>
          <w:p>
            <w:pPr>
              <w:spacing w:after="60" w:before="60" w:line="320"/>
            </w:pPr>
            <w:r>
              <w:rPr>
                <w:rFonts w:ascii="Arial" w:cs="Arial" w:eastAsia="Arial" w:hAnsi="Arial"/>
                <w:b/>
                <w:bCs/>
                <w:color w:val="1B3A6B"/>
                <w:sz w:val="21"/>
                <w:szCs w:val="21"/>
              </w:rPr>
              <w:t xml:space="preserve">City Services Subagent:  </w:t>
            </w:r>
            <w:r>
              <w:rPr>
                <w:rFonts w:ascii="Arial" w:cs="Arial" w:eastAsia="Arial" w:hAnsi="Arial"/>
                <w:color w:val="1A1A2E"/>
                <w:sz w:val="21"/>
                <w:szCs w:val="21"/>
              </w:rPr>
              <w:t xml:space="preserve">311 routing, permit application guidance, recreation program lookup, Open Checkbook Q&amp;A. Uses structured DuckDB queries over ArcGIS data. No RAG needed — structured data layer.</w:t>
            </w:r>
          </w:p>
          <w:p>
            <w:pPr>
              <w:spacing w:after="60" w:before="60" w:line="320"/>
            </w:pPr>
            <w:r>
              <w:rPr>
                <w:rFonts w:ascii="Arial" w:cs="Arial" w:eastAsia="Arial" w:hAnsi="Arial"/>
                <w:b/>
                <w:bCs/>
                <w:color w:val="1B3A6B"/>
                <w:sz w:val="21"/>
                <w:szCs w:val="21"/>
              </w:rPr>
              <w:t xml:space="preserve">211 Directory Subagent:  </w:t>
            </w:r>
            <w:r>
              <w:rPr>
                <w:rFonts w:ascii="Arial" w:cs="Arial" w:eastAsia="Arial" w:hAnsi="Arial"/>
                <w:color w:val="1A1A2E"/>
                <w:sz w:val="21"/>
                <w:szCs w:val="21"/>
              </w:rPr>
              <w:t xml:space="preserve">Semantic search over scraped Alabama 211 community resources (food banks, housing, transportation, utility assistance) filtered to Montgomery by category and need.</w:t>
            </w:r>
          </w:p>
          <w:p>
            <w:pPr>
              <w:spacing w:after="0" w:before="100"/>
            </w:pPr>
            <w:r>
              <w:t xml:space="preserve"/>
            </w:r>
          </w:p>
          <w:p>
            <w:pPr>
              <w:spacing w:after="80" w:before="80" w:line="320"/>
              <w:jc w:val="left"/>
            </w:pPr>
            <w:r>
              <w:rPr>
                <w:rFonts w:ascii="Arial" w:cs="Arial" w:eastAsia="Arial" w:hAnsi="Arial"/>
                <w:b/>
                <w:bCs/>
                <w:i w:val="false"/>
                <w:iCs w:val="false"/>
                <w:color w:val="1A4A7D"/>
                <w:sz w:val="20"/>
                <w:szCs w:val="20"/>
              </w:rPr>
              <w:t xml:space="preserve">CAREERPATH SUBAGENTS</w:t>
            </w:r>
          </w:p>
          <w:p>
            <w:pPr>
              <w:spacing w:after="60" w:before="60" w:line="320"/>
            </w:pPr>
            <w:r>
              <w:rPr>
                <w:rFonts w:ascii="Arial" w:cs="Arial" w:eastAsia="Arial" w:hAnsi="Arial"/>
                <w:b/>
                <w:bCs/>
                <w:color w:val="1B3A6B"/>
                <w:sz w:val="21"/>
                <w:szCs w:val="21"/>
              </w:rPr>
              <w:t xml:space="preserve">Skill Gap Subagent:  </w:t>
            </w:r>
            <w:r>
              <w:rPr>
                <w:rFonts w:ascii="Arial" w:cs="Arial" w:eastAsia="Arial" w:hAnsi="Arial"/>
                <w:color w:val="1A1A2E"/>
                <w:sz w:val="21"/>
                <w:szCs w:val="21"/>
              </w:rPr>
              <w:t xml:space="preserve">Current role description → spaCy NER extracts skill tags → O*NET semantic matching identifies occupation cluster → gap score calculated vs. 3 closest high-wage target roles. Output: missing skills, ranked by proximity to each target.</w:t>
            </w:r>
          </w:p>
          <w:p>
            <w:pPr>
              <w:spacing w:after="60" w:before="60" w:line="320"/>
            </w:pPr>
            <w:r>
              <w:rPr>
                <w:rFonts w:ascii="Arial" w:cs="Arial" w:eastAsia="Arial" w:hAnsi="Arial"/>
                <w:b/>
                <w:bCs/>
                <w:color w:val="1B3A6B"/>
                <w:sz w:val="21"/>
                <w:szCs w:val="21"/>
              </w:rPr>
              <w:t xml:space="preserve">Job Match Subagent:  </w:t>
            </w:r>
            <w:r>
              <w:rPr>
                <w:rFonts w:ascii="Arial" w:cs="Arial" w:eastAsia="Arial" w:hAnsi="Arial"/>
                <w:color w:val="1A1A2E"/>
                <w:sz w:val="21"/>
                <w:szCs w:val="21"/>
              </w:rPr>
              <w:t xml:space="preserve">Gap score + user profile → semantic search over live job postings → ranked recommendations scored by: wage lift × skill proximity × local employer demand. Returns top 5 with employer name, salary, and required certs.</w:t>
            </w:r>
          </w:p>
          <w:p>
            <w:pPr>
              <w:spacing w:after="60" w:before="60" w:line="320"/>
            </w:pPr>
            <w:r>
              <w:rPr>
                <w:rFonts w:ascii="Arial" w:cs="Arial" w:eastAsia="Arial" w:hAnsi="Arial"/>
                <w:b/>
                <w:bCs/>
                <w:color w:val="1B3A6B"/>
                <w:sz w:val="21"/>
                <w:szCs w:val="21"/>
              </w:rPr>
              <w:t xml:space="preserve">Training Finder Subagent:  </w:t>
            </w:r>
            <w:r>
              <w:rPr>
                <w:rFonts w:ascii="Arial" w:cs="Arial" w:eastAsia="Arial" w:hAnsi="Arial"/>
                <w:color w:val="1A1A2E"/>
                <w:sz w:val="21"/>
                <w:szCs w:val="21"/>
              </w:rPr>
              <w:t xml:space="preserve">Skill gap → RAG over training program knowledge base → specific cert programs with provider, cost, duration, and estimated completion timeline. Linked to ArcGIS employer map.</w:t>
            </w:r>
          </w:p>
          <w:p>
            <w:pPr>
              <w:spacing w:after="60" w:before="60" w:line="320"/>
            </w:pPr>
            <w:r>
              <w:rPr>
                <w:rFonts w:ascii="Arial" w:cs="Arial" w:eastAsia="Arial" w:hAnsi="Arial"/>
                <w:b/>
                <w:bCs/>
                <w:color w:val="1B3A6B"/>
                <w:sz w:val="21"/>
                <w:szCs w:val="21"/>
              </w:rPr>
              <w:t xml:space="preserve">Safety/Commute Subagent:  </w:t>
            </w:r>
            <w:r>
              <w:rPr>
                <w:rFonts w:ascii="Arial" w:cs="Arial" w:eastAsia="Arial" w:hAnsi="Arial"/>
                <w:color w:val="1A1A2E"/>
                <w:sz w:val="21"/>
                <w:szCs w:val="21"/>
              </w:rPr>
              <w:t xml:space="preserve">Job location + user zip code → crime statistics overlay from ArcGIS → transit access proximity score → realistic commute assessment. Ensures recommendations are viable for Marcus’s actual life situation.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4"/>
              <w:left w:val="single" w:color="1A5C38" w:sz="4"/>
              <w:bottom w:val="single" w:color="1A5C38" w:sz="4"/>
              <w:right w:val="single" w:color="1A5C38" w:sz="4"/>
            </w:tcBorders>
            <w:shd w:fill="1A5C38" w:val="clear"/>
            <w:tcMar>
              <w:top w:type="dxa" w:w="120"/>
              <w:left w:type="dxa" w:w="240"/>
              <w:bottom w:type="dxa" w:w="120"/>
              <w:right w:type="dxa" w:w="240"/>
            </w:tcMar>
          </w:tcPr>
          <w:p>
            <w:pPr>
              <w:spacing w:after="40" w:before="0" w:line="320"/>
              <w:jc w:val="center"/>
            </w:pPr>
            <w:r>
              <w:rPr>
                <w:rFonts w:ascii="Arial" w:cs="Arial" w:eastAsia="Arial" w:hAnsi="Arial"/>
                <w:b/>
                <w:bCs/>
                <w:color w:val="FFFFFF"/>
                <w:sz w:val="30"/>
                <w:szCs w:val="30"/>
              </w:rPr>
              <w:t xml:space="preserve">API LAYER</w:t>
            </w:r>
          </w:p>
          <w:p>
            <w:pPr>
              <w:spacing w:after="0" w:before="0" w:line="320"/>
              <w:jc w:val="center"/>
            </w:pPr>
            <w:r>
              <w:rPr>
                <w:rFonts w:ascii="Arial" w:cs="Arial" w:eastAsia="Arial" w:hAnsi="Arial"/>
                <w:i/>
                <w:iCs/>
                <w:color w:val="BBCCDD"/>
                <w:sz w:val="19"/>
                <w:szCs w:val="19"/>
              </w:rPr>
              <w:t xml:space="preserve">What connects the agents to the world — the data and delivery infrastructure</w:t>
            </w:r>
          </w:p>
        </w:tc>
      </w:tr>
      <w:tr>
        <w:tc>
          <w:tcPr>
            <w:tcW w:type="dxa" w:w="9360"/>
            <w:tcBorders>
              <w:top w:val="single" w:color="C8D4E3" w:sz="4"/>
              <w:left w:val="single" w:color="C8D4E3" w:sz="4"/>
              <w:bottom w:val="single" w:color="C8D4E3" w:sz="4"/>
              <w:right w:val="single" w:color="C8D4E3" w:sz="4"/>
            </w:tcBorders>
            <w:shd w:fill="EEFAF4" w:val="clear"/>
            <w:tcMar>
              <w:top w:type="dxa" w:w="140"/>
              <w:left w:type="dxa" w:w="260"/>
              <w:bottom w:type="dxa" w:w="140"/>
              <w:right w:type="dxa" w:w="260"/>
            </w:tcMar>
          </w:tcPr>
          <w:p>
            <w:pPr>
              <w:spacing w:after="80" w:before="80" w:line="320"/>
              <w:jc w:val="left"/>
            </w:pPr>
            <w:r>
              <w:rPr>
                <w:rFonts w:ascii="Arial" w:cs="Arial" w:eastAsia="Arial" w:hAnsi="Arial"/>
                <w:b/>
                <w:bCs/>
                <w:i w:val="false"/>
                <w:iCs w:val="false"/>
                <w:color w:val="1B3A6B"/>
                <w:sz w:val="20"/>
                <w:szCs w:val="20"/>
              </w:rPr>
              <w:t xml:space="preserve">EXTERNAL DATA INGESTION</w:t>
            </w:r>
          </w:p>
          <w:p>
            <w:pPr>
              <w:spacing w:after="60" w:before="60" w:line="320"/>
            </w:pPr>
            <w:r>
              <w:rPr>
                <w:rFonts w:ascii="Arial" w:cs="Arial" w:eastAsia="Arial" w:hAnsi="Arial"/>
                <w:b/>
                <w:bCs/>
                <w:color w:val="1B3A6B"/>
                <w:sz w:val="21"/>
                <w:szCs w:val="21"/>
              </w:rPr>
              <w:t xml:space="preserve">ArcGIS REST API:  </w:t>
            </w:r>
            <w:r>
              <w:rPr>
                <w:rFonts w:ascii="Arial" w:cs="Arial" w:eastAsia="Arial" w:hAnsi="Arial"/>
                <w:color w:val="1A1A2E"/>
                <w:sz w:val="21"/>
                <w:szCs w:val="21"/>
              </w:rPr>
              <w:t xml:space="preserve">8 Montgomery city datasets. No auth. GeoJSON. Live polling by M00 ETL.</w:t>
            </w:r>
          </w:p>
          <w:p>
            <w:pPr>
              <w:spacing w:after="60" w:before="60" w:line="320"/>
            </w:pPr>
            <w:r>
              <w:rPr>
                <w:rFonts w:ascii="Arial" w:cs="Arial" w:eastAsia="Arial" w:hAnsi="Arial"/>
                <w:b/>
                <w:bCs/>
                <w:color w:val="1B3A6B"/>
                <w:sz w:val="21"/>
                <w:szCs w:val="21"/>
              </w:rPr>
              <w:t xml:space="preserve">Bright Data Scraper API:  </w:t>
            </w:r>
            <w:r>
              <w:rPr>
                <w:rFonts w:ascii="Arial" w:cs="Arial" w:eastAsia="Arial" w:hAnsi="Arial"/>
                <w:color w:val="1A1A2E"/>
                <w:sz w:val="21"/>
                <w:szCs w:val="21"/>
              </w:rPr>
              <w:t xml:space="preserve">Pre-built job scrapers for LinkedIn + Indeed (CareerPath). Web Unlocker for government benefit and permit sites (CivicGuide). Managed proxies, CAPTCHA handling built in.</w:t>
            </w:r>
          </w:p>
          <w:p>
            <w:pPr>
              <w:spacing w:after="60" w:before="60" w:line="320"/>
            </w:pPr>
            <w:r>
              <w:rPr>
                <w:rFonts w:ascii="Arial" w:cs="Arial" w:eastAsia="Arial" w:hAnsi="Arial"/>
                <w:b/>
                <w:bCs/>
                <w:color w:val="1B3A6B"/>
                <w:sz w:val="21"/>
                <w:szCs w:val="21"/>
              </w:rPr>
              <w:t xml:space="preserve">O*NET API:  </w:t>
            </w:r>
            <w:r>
              <w:rPr>
                <w:rFonts w:ascii="Arial" w:cs="Arial" w:eastAsia="Arial" w:hAnsi="Arial"/>
                <w:color w:val="1A1A2E"/>
                <w:sz w:val="21"/>
                <w:szCs w:val="21"/>
              </w:rPr>
              <w:t xml:space="preserve">Occupation profiles, skill taxonomy, wage data. Backbone of career gap scoring engine in M08.</w:t>
            </w:r>
          </w:p>
          <w:p>
            <w:pPr>
              <w:spacing w:after="60" w:before="60" w:line="320"/>
            </w:pPr>
            <w:r>
              <w:rPr>
                <w:rFonts w:ascii="Arial" w:cs="Arial" w:eastAsia="Arial" w:hAnsi="Arial"/>
                <w:b/>
                <w:bCs/>
                <w:color w:val="1B3A6B"/>
                <w:sz w:val="21"/>
                <w:szCs w:val="21"/>
              </w:rPr>
              <w:t xml:space="preserve">Census ACS API:  </w:t>
            </w:r>
            <w:r>
              <w:rPr>
                <w:rFonts w:ascii="Arial" w:cs="Arial" w:eastAsia="Arial" w:hAnsi="Arial"/>
                <w:color w:val="1A1A2E"/>
                <w:sz w:val="21"/>
                <w:szCs w:val="21"/>
              </w:rPr>
              <w:t xml:space="preserve">Demographic context by census tract for personalisation. Neighbourhood income, age distribution, language spoken at home.</w:t>
            </w:r>
          </w:p>
          <w:p>
            <w:pPr>
              <w:spacing w:after="0" w:before="100"/>
            </w:pPr>
            <w:r>
              <w:t xml:space="preserve"/>
            </w:r>
          </w:p>
          <w:p>
            <w:pPr>
              <w:spacing w:after="80" w:before="80" w:line="320"/>
              <w:jc w:val="left"/>
            </w:pPr>
            <w:r>
              <w:rPr>
                <w:rFonts w:ascii="Arial" w:cs="Arial" w:eastAsia="Arial" w:hAnsi="Arial"/>
                <w:b/>
                <w:bCs/>
                <w:i w:val="false"/>
                <w:iCs w:val="false"/>
                <w:color w:val="1B3A6B"/>
                <w:sz w:val="20"/>
                <w:szCs w:val="20"/>
              </w:rPr>
              <w:t xml:space="preserve">INTERNAL RETRIEVAL</w:t>
            </w:r>
          </w:p>
          <w:p>
            <w:pPr>
              <w:spacing w:after="60" w:before="60" w:line="320"/>
            </w:pPr>
            <w:r>
              <w:rPr>
                <w:rFonts w:ascii="Arial" w:cs="Arial" w:eastAsia="Arial" w:hAnsi="Arial"/>
                <w:b/>
                <w:bCs/>
                <w:color w:val="1B3A6B"/>
                <w:sz w:val="21"/>
                <w:szCs w:val="21"/>
              </w:rPr>
              <w:t xml:space="preserve">DuckDB SQL Layer:  </w:t>
            </w:r>
            <w:r>
              <w:rPr>
                <w:rFonts w:ascii="Arial" w:cs="Arial" w:eastAsia="Arial" w:hAnsi="Arial"/>
                <w:color w:val="1A1A2E"/>
                <w:sz w:val="21"/>
                <w:szCs w:val="21"/>
              </w:rPr>
              <w:t xml:space="preserve">Structured queries over all 8 city datasets. Used by City Services Subagent, Job Match Subagent (employer lookup), and Safety Subagent (crime by tract).</w:t>
            </w:r>
          </w:p>
          <w:p>
            <w:pPr>
              <w:spacing w:after="60" w:before="60" w:line="320"/>
            </w:pPr>
            <w:r>
              <w:rPr>
                <w:rFonts w:ascii="Arial" w:cs="Arial" w:eastAsia="Arial" w:hAnsi="Arial"/>
                <w:b/>
                <w:bCs/>
                <w:color w:val="1B3A6B"/>
                <w:sz w:val="21"/>
                <w:szCs w:val="21"/>
              </w:rPr>
              <w:t xml:space="preserve">ChromaDB Semantic Search:  </w:t>
            </w:r>
            <w:r>
              <w:rPr>
                <w:rFonts w:ascii="Arial" w:cs="Arial" w:eastAsia="Arial" w:hAnsi="Arial"/>
                <w:color w:val="1A1A2E"/>
                <w:sz w:val="21"/>
                <w:szCs w:val="21"/>
              </w:rPr>
              <w:t xml:space="preserve">Vector similarity retrieval over 5 collections: benefit_eligibility_rules, form_guides, city_service_guides, job_postings, training_programs. Shared infrastructure, queried independently by each subagent.</w:t>
            </w:r>
          </w:p>
          <w:p>
            <w:pPr>
              <w:spacing w:after="0" w:before="100"/>
            </w:pPr>
            <w:r>
              <w:t xml:space="preserve"/>
            </w:r>
          </w:p>
          <w:p>
            <w:pPr>
              <w:spacing w:after="80" w:before="80" w:line="320"/>
              <w:jc w:val="left"/>
            </w:pPr>
            <w:r>
              <w:rPr>
                <w:rFonts w:ascii="Arial" w:cs="Arial" w:eastAsia="Arial" w:hAnsi="Arial"/>
                <w:b/>
                <w:bCs/>
                <w:i w:val="false"/>
                <w:iCs w:val="false"/>
                <w:color w:val="1B3A6B"/>
                <w:sz w:val="20"/>
                <w:szCs w:val="20"/>
              </w:rPr>
              <w:t xml:space="preserve">FRONTEND &amp; DEPLOYMENT</w:t>
            </w:r>
          </w:p>
          <w:p>
            <w:pPr>
              <w:spacing w:after="60" w:before="60" w:line="320"/>
            </w:pPr>
            <w:r>
              <w:rPr>
                <w:rFonts w:ascii="Arial" w:cs="Arial" w:eastAsia="Arial" w:hAnsi="Arial"/>
                <w:b/>
                <w:bCs/>
                <w:color w:val="1B3A6B"/>
                <w:sz w:val="21"/>
                <w:szCs w:val="21"/>
              </w:rPr>
              <w:t xml:space="preserve">Streamlit Shell:  </w:t>
            </w:r>
            <w:r>
              <w:rPr>
                <w:rFonts w:ascii="Arial" w:cs="Arial" w:eastAsia="Arial" w:hAnsi="Arial"/>
                <w:color w:val="1A1A2E"/>
                <w:sz w:val="21"/>
                <w:szCs w:val="21"/>
              </w:rPr>
              <w:t xml:space="preserve">2-tab interface — CivicGuide | CareerPath. Language toggle (EN/ES). Example prompt bar for judges. Mobile-responsive. No account required. Built last, after both agents are wired.</w:t>
            </w:r>
          </w:p>
          <w:p>
            <w:pPr>
              <w:spacing w:after="60" w:before="60" w:line="320"/>
            </w:pPr>
            <w:r>
              <w:rPr>
                <w:rFonts w:ascii="Arial" w:cs="Arial" w:eastAsia="Arial" w:hAnsi="Arial"/>
                <w:b/>
                <w:bCs/>
                <w:color w:val="1B3A6B"/>
                <w:sz w:val="21"/>
                <w:szCs w:val="21"/>
              </w:rPr>
              <w:t xml:space="preserve">Deployment Target:  </w:t>
            </w:r>
            <w:r>
              <w:rPr>
                <w:rFonts w:ascii="Arial" w:cs="Arial" w:eastAsia="Arial" w:hAnsi="Arial"/>
                <w:color w:val="1A1A2E"/>
                <w:sz w:val="21"/>
                <w:szCs w:val="21"/>
              </w:rPr>
              <w:t xml:space="preserve">Streamlit Cloud or HuggingFace Spaces. Live public URL for hackathon submission on March 9.</w:t>
            </w:r>
          </w:p>
        </w:tc>
      </w:tr>
    </w:tbl>
    <w:p>
      <w:pPr>
        <w:spacing w:after="0" w:before="180"/>
      </w:pPr>
      <w:r>
        <w:t xml:space="preserve"/>
      </w:r>
    </w:p>
    <w:p>
      <w:pPr>
        <w:spacing w:after="120" w:before="80" w:line="320"/>
        <w:jc w:val="left"/>
      </w:pPr>
      <w:r>
        <w:rPr>
          <w:rFonts w:ascii="Arial" w:cs="Arial" w:eastAsia="Arial" w:hAnsi="Arial"/>
          <w:b/>
          <w:bCs/>
          <w:i w:val="false"/>
          <w:iCs w:val="false"/>
          <w:color w:val="1B3A6B"/>
          <w:sz w:val="21"/>
          <w:szCs w:val="21"/>
        </w:rPr>
        <w:t xml:space="preserve">COMMON MODULES — BUILT ONCE, SHARED BY BOTH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2160"/>
        <w:gridCol w:w="6280"/>
      </w:tblGrid>
      <w:tr>
        <w:tc>
          <w:tcPr>
            <w:tcW w:type="dxa" w:w="92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FFFFFF"/>
                <w:sz w:val="20"/>
                <w:szCs w:val="20"/>
              </w:rPr>
              <w:t xml:space="preserve">Module</w:t>
            </w:r>
          </w:p>
        </w:tc>
        <w:tc>
          <w:tcPr>
            <w:tcW w:type="dxa" w:w="216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Name</w:t>
            </w:r>
          </w:p>
        </w:tc>
        <w:tc>
          <w:tcPr>
            <w:tcW w:type="dxa" w:w="6280"/>
            <w:tcBorders>
              <w:top w:val="single" w:color="1B3A6B" w:sz="4"/>
              <w:left w:val="single" w:color="1B3A6B" w:sz="4"/>
              <w:bottom w:val="single" w:color="1B3A6B" w:sz="4"/>
              <w:right w:val="single" w:color="1B3A6B" w:sz="4"/>
            </w:tcBorders>
            <w:shd w:fill="1B3A6B"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FFFFFF"/>
                <w:sz w:val="20"/>
                <w:szCs w:val="20"/>
              </w:rPr>
              <w:t xml:space="preserve">What It Does</w:t>
            </w:r>
          </w:p>
        </w:tc>
      </w:tr>
      <w:tr>
        <w:tc>
          <w:tcPr>
            <w:tcW w:type="dxa" w:w="9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1B3A6B"/>
                <w:sz w:val="20"/>
                <w:szCs w:val="20"/>
              </w:rPr>
              <w:t xml:space="preserve">M00</w:t>
            </w:r>
          </w:p>
        </w:tc>
        <w:tc>
          <w:tcPr>
            <w:tcW w:type="dxa" w:w="216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1A2E"/>
                <w:sz w:val="20"/>
                <w:szCs w:val="20"/>
              </w:rPr>
              <w:t xml:space="preserve">ArcGIS ETL</w:t>
            </w:r>
          </w:p>
        </w:tc>
        <w:tc>
          <w:tcPr>
            <w:tcW w:type="dxa" w:w="628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Pulls all 8 Montgomery city datasets from the ArcGIS REST API. Paginates, flattens GeoJSON, normalises schema into DuckDB tables. Shared by both agents.</w:t>
            </w:r>
          </w:p>
        </w:tc>
      </w:tr>
      <w:tr>
        <w:tc>
          <w:tcPr>
            <w:tcW w:type="dxa" w:w="9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1B3A6B"/>
                <w:sz w:val="20"/>
                <w:szCs w:val="20"/>
              </w:rPr>
              <w:t xml:space="preserve">M01</w:t>
            </w:r>
          </w:p>
        </w:tc>
        <w:tc>
          <w:tcPr>
            <w:tcW w:type="dxa" w:w="216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1A2E"/>
                <w:sz w:val="20"/>
                <w:szCs w:val="20"/>
              </w:rPr>
              <w:t xml:space="preserve">Storage Layer</w:t>
            </w:r>
          </w:p>
        </w:tc>
        <w:tc>
          <w:tcPr>
            <w:tcW w:type="dxa" w:w="628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Initialises DuckDB (structured data warehouse) and ChromaDB (vector store). Defines all table schemas and vector collection names. Run once at startup.</w:t>
            </w:r>
          </w:p>
        </w:tc>
      </w:tr>
      <w:tr>
        <w:tc>
          <w:tcPr>
            <w:tcW w:type="dxa" w:w="92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1B3A6B"/>
                <w:sz w:val="20"/>
                <w:szCs w:val="20"/>
              </w:rPr>
              <w:t xml:space="preserve">M02</w:t>
            </w:r>
          </w:p>
        </w:tc>
        <w:tc>
          <w:tcPr>
            <w:tcW w:type="dxa" w:w="216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1A2E"/>
                <w:sz w:val="20"/>
                <w:szCs w:val="20"/>
              </w:rPr>
              <w:t xml:space="preserve">RAG Pipeline</w:t>
            </w:r>
          </w:p>
        </w:tc>
        <w:tc>
          <w:tcPr>
            <w:tcW w:type="dxa" w:w="6280"/>
            <w:tcBorders>
              <w:top w:val="single" w:color="C8D4E3" w:sz="4"/>
              <w:left w:val="single" w:color="C8D4E3" w:sz="4"/>
              <w:bottom w:val="single" w:color="C8D4E3" w:sz="4"/>
              <w:right w:val="single" w:color="C8D4E3" w:sz="4"/>
            </w:tcBorders>
            <w:shd w:fill="F7F9FC"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Chunks all scraped and ingested text, embeds with sentence-transformers, loads into 5 ChromaDB collections. Powers semantic retrieval for every subagent in both tracks.</w:t>
            </w:r>
          </w:p>
        </w:tc>
      </w:tr>
      <w:tr>
        <w:tc>
          <w:tcPr>
            <w:tcW w:type="dxa" w:w="92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center"/>
            </w:pPr>
            <w:r>
              <w:rPr>
                <w:rFonts w:ascii="Arial" w:cs="Arial" w:eastAsia="Arial" w:hAnsi="Arial"/>
                <w:b/>
                <w:bCs/>
                <w:i w:val="false"/>
                <w:iCs w:val="false"/>
                <w:color w:val="1B3A6B"/>
                <w:sz w:val="20"/>
                <w:szCs w:val="20"/>
              </w:rPr>
              <w:t xml:space="preserve">Shell</w:t>
            </w:r>
          </w:p>
        </w:tc>
        <w:tc>
          <w:tcPr>
            <w:tcW w:type="dxa" w:w="216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bCs/>
                <w:i w:val="false"/>
                <w:iCs w:val="false"/>
                <w:color w:val="1A1A2E"/>
                <w:sz w:val="20"/>
                <w:szCs w:val="20"/>
              </w:rPr>
              <w:t xml:space="preserve">Streamlit Frontend</w:t>
            </w:r>
          </w:p>
        </w:tc>
        <w:tc>
          <w:tcPr>
            <w:tcW w:type="dxa" w:w="6280"/>
            <w:tcBorders>
              <w:top w:val="single" w:color="C8D4E3" w:sz="4"/>
              <w:left w:val="single" w:color="C8D4E3" w:sz="4"/>
              <w:bottom w:val="single" w:color="C8D4E3" w:sz="4"/>
              <w:right w:val="single" w:color="C8D4E3" w:sz="4"/>
            </w:tcBorders>
            <w:shd w:fill="FFFFFF" w:val="clear"/>
            <w:tcMar>
              <w:top w:type="dxa" w:w="100"/>
              <w:left w:type="dxa" w:w="100"/>
              <w:bottom w:type="dxa" w:w="100"/>
              <w:right w:type="dxa" w:w="100"/>
            </w:tcMar>
          </w:tcPr>
          <w:p>
            <w:pPr>
              <w:spacing w:after="80" w:before="80" w:line="320"/>
              <w:jc w:val="left"/>
            </w:pPr>
            <w:r>
              <w:rPr>
                <w:rFonts w:ascii="Arial" w:cs="Arial" w:eastAsia="Arial" w:hAnsi="Arial"/>
                <w:b w:val="false"/>
                <w:bCs w:val="false"/>
                <w:i w:val="false"/>
                <w:iCs w:val="false"/>
                <w:color w:val="1A1A2E"/>
                <w:sz w:val="20"/>
                <w:szCs w:val="20"/>
              </w:rPr>
              <w:t xml:space="preserve">2-tab interface (CivicGuide | CareerPath), language toggle (EN/ES), example prompt bar for judges. Built last, after both agents are wired and tested.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8"/>
              <w:left w:val="single" w:color="1B3A6B" w:sz="8"/>
              <w:bottom w:val="single" w:color="1B3A6B" w:sz="8"/>
              <w:right w:val="single" w:color="1B3A6B" w:sz="8"/>
            </w:tcBorders>
            <w:shd w:fill="EEF2F7" w:val="clear"/>
            <w:tcMar>
              <w:top w:type="dxa" w:w="160"/>
              <w:left w:type="dxa" w:w="280"/>
              <w:bottom w:type="dxa" w:w="160"/>
              <w:right w:type="dxa" w:w="280"/>
            </w:tcMar>
          </w:tcPr>
          <w:p>
            <w:pPr>
              <w:spacing w:after="80" w:before="80" w:line="330"/>
              <w:jc w:val="left"/>
            </w:pPr>
            <w:r>
              <w:rPr>
                <w:rFonts w:ascii="Arial" w:cs="Arial" w:eastAsia="Arial" w:hAnsi="Arial"/>
                <w:b w:val="false"/>
                <w:bCs w:val="false"/>
                <w:i w:val="false"/>
                <w:iCs w:val="false"/>
                <w:color w:val="1B3A6B"/>
                <w:sz w:val="21"/>
                <w:szCs w:val="21"/>
              </w:rPr>
              <w:t xml:space="preserve">BUILD ORDER: M00 → M01 → M02 (shared infrastructure) → M03–M06 (CivicGuide track) → M07–M10 (CareerPath track) → Streamlit shell. Five days. Two agents. One submission. Deadline: March 9, 2026.</w:t>
            </w:r>
          </w:p>
        </w:tc>
      </w:tr>
    </w:tbl>
    <w:p>
      <w:pPr>
        <w:spacing w:after="0" w:before="160"/>
      </w:pPr>
      <w:r>
        <w:t xml:space="preserve"/>
      </w:r>
    </w:p>
    <w:p>
      <w:pPr>
        <w:spacing w:after="80" w:before="80" w:line="320"/>
        <w:jc w:val="center"/>
      </w:pPr>
      <w:r>
        <w:rPr>
          <w:rFonts w:ascii="Arial" w:cs="Arial" w:eastAsia="Arial" w:hAnsi="Arial"/>
          <w:b w:val="false"/>
          <w:bCs w:val="false"/>
          <w:i w:val="false"/>
          <w:iCs w:val="false"/>
          <w:color w:val="6B7280"/>
          <w:sz w:val="19"/>
          <w:szCs w:val="19"/>
        </w:rPr>
        <w:t xml:space="preserve">WWV Hackathon 2026  │  Civic Access + Workforce Growth  │  Built by Hamza Khaled Mahmoud Ahmed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3" w:sz="4" w:space="1"/>
      </w:pBdr>
      <w:spacing w:after="0"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WWV Hackathon 2026  │  Hamza Khaled Mahmoud Ahmed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3" w:sz="4" w:space="1"/>
      </w:pBdr>
      <w:spacing w:after="120" w:before="0"/>
      <w:jc w:val="right"/>
    </w:pPr>
    <w:r>
      <w:rPr>
        <w:rFonts w:ascii="Arial" w:cs="Arial" w:eastAsia="Arial" w:hAnsi="Arial"/>
        <w:color w:val="6B7280"/>
        <w:sz w:val="18"/>
        <w:szCs w:val="18"/>
      </w:rPr>
      <w:t xml:space="preserve">MontgomeryAI  │  Product Vision v3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2026-03-03T19:56:17.758Z</dcterms:created>
  <dcterms:modified xsi:type="dcterms:W3CDTF">2026-03-03T19:56:17.758Z</dcterms:modified>
</cp:coreProperties>
</file>

<file path=docProps/custom.xml><?xml version="1.0" encoding="utf-8"?>
<Properties xmlns="http://schemas.openxmlformats.org/officeDocument/2006/custom-properties" xmlns:vt="http://schemas.openxmlformats.org/officeDocument/2006/docPropsVTypes"/>
</file>