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widget wrap</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1 Widget hiển thị nhiều widget con theo cách sẽ cố gắng đặt chúng liền kề nhau trên main axis, được chỉ định bởi thuộc tính direction, nếu không có đủ không gian để hiển thị các widget con thì wrap sẽ tạo ra 1 run adjacent (đường chạy liền kề nhau) hiển thị widget con còn lại theo cross axis.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Sau khi sắp xếp xong các widget con cho run adjacent, các widget sẽ được định vị theo thuộc tính alignment trong main axis và thuộc tính crossAxisAlignment trong cross axis.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các run adjacent được định vị trong cross axis theo thuộc tính runSpacing và runAlignment.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1 số thuộc tính</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alignment: cách các widget con trong 1 run được hiển thị tại đâu trên main axis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crossAxisAlignment: cách các widget con trong 1 run được căn chỉnh trên cross axis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direction: chỉ định hướng của main axis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runSpacing: khoảng cách giữa các run trên cross axis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spacing: khoảng cách giữa các widget trên main axis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