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Caption w:val="Tasks3983688"/>
      </w:tblPr>
      <w:tblGrid>
        <w:gridCol w:w="3263"/>
        <w:gridCol w:w="4008"/>
        <w:gridCol w:w="4112"/>
        <w:gridCol w:w="4006"/>
      </w:tblGrid>
      <w:tr w:rsidR="008E1052" w:rsidRPr="0014760D" w14:paraId="155B6410" w14:textId="77777777" w:rsidTr="00295793">
        <w:tc>
          <w:tcPr>
            <w:tcW w:w="15389" w:type="dxa"/>
            <w:gridSpan w:val="4"/>
            <w:shd w:val="clear" w:color="auto" w:fill="007FDE"/>
          </w:tcPr>
          <w:p w14:paraId="5FB09BF1" w14:textId="6ECAA34A" w:rsidR="008E1052" w:rsidRPr="008E1052" w:rsidRDefault="008E1052" w:rsidP="00295793">
            <w:pPr>
              <w:jc w:val="center"/>
              <w:rPr>
                <w:rFonts w:ascii="SimSun-ExtB" w:eastAsia="SimSun-ExtB" w:hAnsi="SimSun-ExtB"/>
                <w:b/>
                <w:sz w:val="28"/>
                <w:szCs w:val="28"/>
              </w:rPr>
            </w:pPr>
            <w:bookmarkStart w:id="0" w:name="_GoBack"/>
            <w:bookmarkEnd w:id="0"/>
            <w:r w:rsidRPr="008E1052">
              <w:rPr>
                <w:rFonts w:ascii="Calibri" w:eastAsia="SimSun-ExtB" w:hAnsi="Calibri" w:cs="Calibri"/>
                <w:b/>
                <w:sz w:val="28"/>
                <w:szCs w:val="28"/>
              </w:rPr>
              <w:t>ЕЖЕНЕДЕЛЬНЫЙ</w:t>
            </w:r>
            <w:r w:rsidRPr="008E1052">
              <w:rPr>
                <w:rFonts w:ascii="SimSun-ExtB" w:eastAsia="SimSun-ExtB" w:hAnsi="SimSun-ExtB"/>
                <w:b/>
                <w:sz w:val="28"/>
                <w:szCs w:val="28"/>
              </w:rPr>
              <w:t xml:space="preserve"> </w:t>
            </w:r>
            <w:r w:rsidRPr="008E1052">
              <w:rPr>
                <w:rFonts w:ascii="Calibri" w:eastAsia="SimSun-ExtB" w:hAnsi="Calibri" w:cs="Calibri"/>
                <w:b/>
                <w:sz w:val="28"/>
                <w:szCs w:val="28"/>
              </w:rPr>
              <w:t>ПЛАН</w:t>
            </w:r>
            <w:r w:rsidRPr="008E1052">
              <w:rPr>
                <w:rFonts w:ascii="SimSun-ExtB" w:eastAsia="SimSun-ExtB" w:hAnsi="SimSun-ExtB"/>
                <w:b/>
                <w:sz w:val="28"/>
                <w:szCs w:val="28"/>
              </w:rPr>
              <w:t>-</w:t>
            </w:r>
            <w:r w:rsidRPr="008E1052">
              <w:rPr>
                <w:rFonts w:ascii="Calibri" w:eastAsia="SimSun-ExtB" w:hAnsi="Calibri" w:cs="Calibri"/>
                <w:b/>
                <w:sz w:val="28"/>
                <w:szCs w:val="28"/>
              </w:rPr>
              <w:t>ОТЧЕТ</w:t>
            </w:r>
            <w:r w:rsidRPr="008E1052">
              <w:rPr>
                <w:rFonts w:ascii="SimSun-ExtB" w:eastAsia="SimSun-ExtB" w:hAnsi="SimSun-ExtB"/>
                <w:b/>
                <w:sz w:val="28"/>
                <w:szCs w:val="28"/>
              </w:rPr>
              <w:t xml:space="preserve"> </w:t>
            </w:r>
            <w:r w:rsidRPr="008E1052">
              <w:rPr>
                <w:rFonts w:ascii="Calibri" w:eastAsia="SimSun-ExtB" w:hAnsi="Calibri" w:cs="Calibri"/>
                <w:b/>
                <w:sz w:val="28"/>
                <w:szCs w:val="28"/>
              </w:rPr>
              <w:t>О</w:t>
            </w:r>
            <w:r w:rsidRPr="008E1052">
              <w:rPr>
                <w:rFonts w:ascii="SimSun-ExtB" w:eastAsia="SimSun-ExtB" w:hAnsi="SimSun-ExtB"/>
                <w:b/>
                <w:sz w:val="28"/>
                <w:szCs w:val="28"/>
              </w:rPr>
              <w:t xml:space="preserve"> </w:t>
            </w:r>
            <w:r w:rsidRPr="008E1052">
              <w:rPr>
                <w:rFonts w:ascii="Calibri" w:eastAsia="SimSun-ExtB" w:hAnsi="Calibri" w:cs="Calibri"/>
                <w:b/>
                <w:sz w:val="28"/>
                <w:szCs w:val="28"/>
              </w:rPr>
              <w:t>ТЕКУЩЕЙ</w:t>
            </w:r>
            <w:r w:rsidRPr="008E1052">
              <w:rPr>
                <w:rFonts w:ascii="SimSun-ExtB" w:eastAsia="SimSun-ExtB" w:hAnsi="SimSun-ExtB"/>
                <w:b/>
                <w:sz w:val="28"/>
                <w:szCs w:val="28"/>
              </w:rPr>
              <w:t xml:space="preserve"> </w:t>
            </w:r>
            <w:r w:rsidRPr="008E1052">
              <w:rPr>
                <w:rFonts w:ascii="Calibri" w:eastAsia="SimSun-ExtB" w:hAnsi="Calibri" w:cs="Calibri"/>
                <w:b/>
                <w:sz w:val="28"/>
                <w:szCs w:val="28"/>
              </w:rPr>
              <w:t>ДЕЯТЕЛЬНОСТИ</w:t>
            </w:r>
            <w:r w:rsidRPr="008E1052">
              <w:rPr>
                <w:rFonts w:ascii="SimSun-ExtB" w:eastAsia="SimSun-ExtB" w:hAnsi="SimSun-ExtB"/>
                <w:b/>
                <w:sz w:val="28"/>
                <w:szCs w:val="28"/>
              </w:rPr>
              <w:t xml:space="preserve"> </w:t>
            </w:r>
            <w:r w:rsidRPr="008E1052">
              <w:rPr>
                <w:rFonts w:ascii="Calibri" w:eastAsia="SimSun-ExtB" w:hAnsi="Calibri" w:cs="Calibri"/>
                <w:b/>
                <w:sz w:val="28"/>
                <w:szCs w:val="28"/>
              </w:rPr>
              <w:t>ООО</w:t>
            </w:r>
            <w:r w:rsidRPr="008E1052">
              <w:rPr>
                <w:rFonts w:ascii="SimSun-ExtB" w:eastAsia="SimSun-ExtB" w:hAnsi="SimSun-ExtB"/>
                <w:b/>
                <w:sz w:val="28"/>
                <w:szCs w:val="28"/>
              </w:rPr>
              <w:t xml:space="preserve"> </w:t>
            </w:r>
            <w:r w:rsidRPr="008E1052">
              <w:rPr>
                <w:rFonts w:ascii="Calibri" w:eastAsia="SimSun-ExtB" w:hAnsi="Calibri" w:cs="Calibri"/>
                <w:b/>
                <w:sz w:val="28"/>
                <w:szCs w:val="28"/>
              </w:rPr>
              <w:t>«ГАЗПРОМ</w:t>
            </w:r>
            <w:r w:rsidRPr="008E1052">
              <w:rPr>
                <w:rFonts w:ascii="SimSun-ExtB" w:eastAsia="SimSun-ExtB" w:hAnsi="SimSun-ExtB"/>
                <w:b/>
                <w:sz w:val="28"/>
                <w:szCs w:val="28"/>
              </w:rPr>
              <w:t xml:space="preserve"> </w:t>
            </w:r>
            <w:r w:rsidRPr="008E1052">
              <w:rPr>
                <w:rFonts w:ascii="Calibri" w:eastAsia="SimSun-ExtB" w:hAnsi="Calibri" w:cs="Calibri"/>
                <w:b/>
                <w:sz w:val="28"/>
                <w:szCs w:val="28"/>
              </w:rPr>
              <w:t>ПЕРЕРАБОТКА»</w:t>
            </w:r>
            <w:r w:rsidRPr="008E1052">
              <w:rPr>
                <w:rFonts w:ascii="SimSun-ExtB" w:eastAsia="SimSun-ExtB" w:hAnsi="SimSun-ExtB"/>
                <w:b/>
                <w:sz w:val="28"/>
                <w:szCs w:val="28"/>
              </w:rPr>
              <w:t xml:space="preserve"> 15.09.2025 - 21.09.2025</w:t>
            </w:r>
          </w:p>
        </w:tc>
      </w:tr>
      <w:tr w:rsidR="008E1052" w:rsidRPr="0014760D" w14:paraId="0AFE7218" w14:textId="77777777" w:rsidTr="00295793">
        <w:tc>
          <w:tcPr>
            <w:tcW w:w="15389" w:type="dxa"/>
            <w:gridSpan w:val="4"/>
            <w:shd w:val="clear" w:color="auto" w:fill="B69D8F"/>
          </w:tcPr>
          <w:p w14:paraId="6E1A88C9" w14:textId="3821D0F8" w:rsidR="008E1052" w:rsidRPr="008E1052" w:rsidRDefault="008E1052" w:rsidP="00295793">
            <w:pPr>
              <w:pStyle w:val="1"/>
              <w:outlineLvl w:val="0"/>
              <w:rPr>
                <w:lang w:val="ru-RU"/>
              </w:rPr>
            </w:pPr>
            <w:r w:rsidRPr="008E1052">
              <w:rPr>
                <w:rFonts w:ascii="Calibri" w:hAnsi="Calibri" w:cs="Calibri"/>
                <w:lang w:val="ru-RU"/>
              </w:rPr>
              <w:t>Клименко</w:t>
            </w:r>
            <w:r w:rsidRPr="008E1052">
              <w:rPr>
                <w:lang w:val="ru-RU"/>
              </w:rPr>
              <w:t xml:space="preserve"> </w:t>
            </w:r>
            <w:r w:rsidRPr="008E1052">
              <w:rPr>
                <w:rFonts w:ascii="Calibri" w:hAnsi="Calibri" w:cs="Calibri"/>
                <w:lang w:val="ru-RU"/>
              </w:rPr>
              <w:t>А</w:t>
            </w:r>
            <w:r w:rsidRPr="008E1052">
              <w:rPr>
                <w:lang w:val="ru-RU"/>
              </w:rPr>
              <w:t>.</w:t>
            </w:r>
            <w:r w:rsidRPr="008E1052">
              <w:rPr>
                <w:rFonts w:ascii="Calibri" w:hAnsi="Calibri" w:cs="Calibri"/>
                <w:lang w:val="ru-RU"/>
              </w:rPr>
              <w:t>С</w:t>
            </w:r>
            <w:r w:rsidRPr="008E1052">
              <w:rPr>
                <w:lang w:val="ru-RU"/>
              </w:rPr>
              <w:t xml:space="preserve">. </w:t>
            </w:r>
            <w:r w:rsidRPr="008E1052">
              <w:rPr>
                <w:rFonts w:ascii="Calibri" w:hAnsi="Calibri" w:cs="Calibri"/>
                <w:lang w:val="ru-RU"/>
              </w:rPr>
              <w:t>Заместитель</w:t>
            </w:r>
            <w:r w:rsidRPr="008E1052">
              <w:rPr>
                <w:lang w:val="ru-RU"/>
              </w:rPr>
              <w:t xml:space="preserve"> </w:t>
            </w:r>
            <w:r w:rsidRPr="008E1052">
              <w:rPr>
                <w:rFonts w:ascii="Calibri" w:hAnsi="Calibri" w:cs="Calibri"/>
                <w:lang w:val="ru-RU"/>
              </w:rPr>
              <w:t>генерального</w:t>
            </w:r>
            <w:r w:rsidRPr="008E1052">
              <w:rPr>
                <w:lang w:val="ru-RU"/>
              </w:rPr>
              <w:t xml:space="preserve"> </w:t>
            </w:r>
            <w:r w:rsidRPr="008E1052">
              <w:rPr>
                <w:rFonts w:ascii="Calibri" w:hAnsi="Calibri" w:cs="Calibri"/>
                <w:lang w:val="ru-RU"/>
              </w:rPr>
              <w:t>директора</w:t>
            </w:r>
            <w:r w:rsidRPr="008E1052">
              <w:rPr>
                <w:lang w:val="ru-RU"/>
              </w:rPr>
              <w:t xml:space="preserve"> </w:t>
            </w:r>
            <w:r w:rsidRPr="008E1052">
              <w:rPr>
                <w:rFonts w:ascii="Calibri" w:hAnsi="Calibri" w:cs="Calibri"/>
                <w:lang w:val="ru-RU"/>
              </w:rPr>
              <w:t>по</w:t>
            </w:r>
            <w:r w:rsidRPr="008E1052">
              <w:rPr>
                <w:lang w:val="ru-RU"/>
              </w:rPr>
              <w:t xml:space="preserve"> </w:t>
            </w:r>
            <w:r w:rsidRPr="008E1052">
              <w:rPr>
                <w:rFonts w:ascii="Calibri" w:hAnsi="Calibri" w:cs="Calibri"/>
                <w:lang w:val="ru-RU"/>
              </w:rPr>
              <w:t>информационным</w:t>
            </w:r>
            <w:r w:rsidRPr="008E1052">
              <w:rPr>
                <w:lang w:val="ru-RU"/>
              </w:rPr>
              <w:t xml:space="preserve"> </w:t>
            </w:r>
            <w:r w:rsidRPr="008E1052">
              <w:rPr>
                <w:rFonts w:ascii="Calibri" w:hAnsi="Calibri" w:cs="Calibri"/>
                <w:lang w:val="ru-RU"/>
              </w:rPr>
              <w:t>технологиям</w:t>
            </w:r>
          </w:p>
        </w:tc>
      </w:tr>
      <w:tr w:rsidR="008E1052" w:rsidRPr="004E6F0C" w14:paraId="1E062487" w14:textId="77777777" w:rsidTr="008E1052">
        <w:tc>
          <w:tcPr>
            <w:tcW w:w="3263" w:type="dxa"/>
            <w:shd w:val="clear" w:color="auto" w:fill="DEDEDE"/>
            <w:vAlign w:val="center"/>
          </w:tcPr>
          <w:p w14:paraId="5E6BCBEC" w14:textId="77777777" w:rsidR="008E1052" w:rsidRPr="004E6F0C" w:rsidRDefault="008E1052" w:rsidP="00295793">
            <w:pPr>
              <w:jc w:val="center"/>
              <w:rPr>
                <w:rFonts w:ascii="SimSun-ExtB" w:eastAsia="SimSun-ExtB" w:hAnsi="SimSun-ExtB"/>
                <w:b/>
                <w:sz w:val="24"/>
                <w:szCs w:val="24"/>
              </w:rPr>
            </w:pPr>
            <w:r w:rsidRPr="004E6F0C">
              <w:rPr>
                <w:rFonts w:ascii="MS Mincho" w:eastAsia="MS Mincho" w:hAnsi="MS Mincho" w:cs="MS Mincho" w:hint="eastAsia"/>
                <w:b/>
                <w:sz w:val="24"/>
                <w:szCs w:val="24"/>
              </w:rPr>
              <w:t>№</w:t>
            </w:r>
          </w:p>
        </w:tc>
        <w:tc>
          <w:tcPr>
            <w:tcW w:w="4008" w:type="dxa"/>
            <w:shd w:val="clear" w:color="auto" w:fill="DEDEDE"/>
            <w:vAlign w:val="center"/>
          </w:tcPr>
          <w:p w14:paraId="687B0854" w14:textId="77777777" w:rsidR="008E1052" w:rsidRPr="004E6F0C" w:rsidRDefault="008E1052" w:rsidP="00295793">
            <w:pPr>
              <w:jc w:val="center"/>
              <w:rPr>
                <w:rFonts w:ascii="SimSun-ExtB" w:eastAsia="SimSun-ExtB" w:hAnsi="SimSun-ExtB"/>
                <w:b/>
                <w:sz w:val="24"/>
                <w:szCs w:val="24"/>
              </w:rPr>
            </w:pPr>
            <w:r w:rsidRPr="004E6F0C">
              <w:rPr>
                <w:rFonts w:ascii="Calibri" w:eastAsia="SimSun-ExtB" w:hAnsi="Calibri" w:cs="Calibri"/>
                <w:b/>
                <w:sz w:val="24"/>
                <w:szCs w:val="24"/>
              </w:rPr>
              <w:t>Задача</w:t>
            </w:r>
          </w:p>
        </w:tc>
        <w:tc>
          <w:tcPr>
            <w:tcW w:w="4112" w:type="dxa"/>
            <w:shd w:val="clear" w:color="auto" w:fill="DEDEDE"/>
            <w:vAlign w:val="center"/>
          </w:tcPr>
          <w:p w14:paraId="52FB786C" w14:textId="77777777" w:rsidR="008E1052" w:rsidRPr="004E6F0C" w:rsidRDefault="008E1052" w:rsidP="00295793">
            <w:pPr>
              <w:jc w:val="center"/>
              <w:rPr>
                <w:rFonts w:ascii="SimSun-ExtB" w:eastAsia="SimSun-ExtB" w:hAnsi="SimSun-ExtB"/>
                <w:b/>
                <w:sz w:val="24"/>
                <w:szCs w:val="24"/>
              </w:rPr>
            </w:pPr>
            <w:r w:rsidRPr="004E6F0C">
              <w:rPr>
                <w:rFonts w:ascii="Calibri" w:eastAsia="SimSun-ExtB" w:hAnsi="Calibri" w:cs="Calibri"/>
                <w:b/>
                <w:sz w:val="24"/>
                <w:szCs w:val="24"/>
              </w:rPr>
              <w:t>Статус</w:t>
            </w:r>
          </w:p>
        </w:tc>
        <w:tc>
          <w:tcPr>
            <w:tcW w:w="4006" w:type="dxa"/>
            <w:shd w:val="clear" w:color="auto" w:fill="DEDEDE"/>
            <w:vAlign w:val="center"/>
          </w:tcPr>
          <w:p w14:paraId="1447B562" w14:textId="77777777" w:rsidR="008E1052" w:rsidRPr="004E6F0C" w:rsidRDefault="008E1052" w:rsidP="00295793">
            <w:pPr>
              <w:jc w:val="center"/>
              <w:rPr>
                <w:rFonts w:ascii="SimSun-ExtB" w:eastAsia="SimSun-ExtB" w:hAnsi="SimSun-ExtB"/>
                <w:b/>
                <w:sz w:val="24"/>
                <w:szCs w:val="24"/>
              </w:rPr>
            </w:pPr>
            <w:r w:rsidRPr="004E6F0C">
              <w:rPr>
                <w:rFonts w:ascii="Calibri" w:eastAsia="SimSun-ExtB" w:hAnsi="Calibri" w:cs="Calibri"/>
                <w:b/>
                <w:sz w:val="24"/>
                <w:szCs w:val="24"/>
              </w:rPr>
              <w:t>План</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на</w:t>
            </w:r>
            <w:r w:rsidRPr="004E6F0C">
              <w:rPr>
                <w:rFonts w:ascii="SimSun-ExtB" w:eastAsia="SimSun-ExtB" w:hAnsi="SimSun-ExtB"/>
                <w:b/>
                <w:sz w:val="24"/>
                <w:szCs w:val="24"/>
              </w:rPr>
              <w:t xml:space="preserve"> </w:t>
            </w:r>
            <w:r w:rsidRPr="004E6F0C">
              <w:rPr>
                <w:rFonts w:ascii="Calibri" w:eastAsia="SimSun-ExtB" w:hAnsi="Calibri" w:cs="Calibri"/>
                <w:b/>
                <w:sz w:val="24"/>
                <w:szCs w:val="24"/>
              </w:rPr>
              <w:t>следующую</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неделю</w:t>
            </w:r>
          </w:p>
        </w:tc>
      </w:tr>
      <w:tr w:rsidR="008E1052" w:rsidRPr="00E637FD" w14:paraId="65CE06FF" w14:textId="77777777" w:rsidTr="008E1052">
        <w:tc>
          <w:tcPr>
            <w:tcW w:w="3263" w:type="dxa"/>
          </w:tcPr>
          <w:p w14:paraId="6CB42429" w14:textId="1B99FA0E" w:rsidR="008E1052" w:rsidRPr="00E637FD" w:rsidRDefault="008E1052" w:rsidP="00295793">
            <w:pPr>
              <w:rPr>
                <w:szCs w:val="18"/>
              </w:rPr>
            </w:pPr>
            <w:r>
              <w:rPr>
                <w:szCs w:val="18"/>
              </w:rPr>
              <w:t>1</w:t>
            </w:r>
          </w:p>
        </w:tc>
        <w:tc>
          <w:tcPr>
            <w:tcW w:w="4008" w:type="dxa"/>
          </w:tcPr>
          <w:p w14:paraId="55DC1FEC" w14:textId="7D1A9CE9" w:rsidR="008E1052" w:rsidRPr="00E637FD" w:rsidRDefault="008E1052" w:rsidP="00295793">
            <w:pPr>
              <w:rPr>
                <w:szCs w:val="18"/>
              </w:rPr>
            </w:pPr>
            <w:r>
              <w:rPr>
                <w:szCs w:val="18"/>
              </w:rPr>
              <w:t>Миграция сервиса электронной почты с платформы Microsoft Exchange на платформу VK WorkMail</w:t>
            </w:r>
          </w:p>
        </w:tc>
        <w:tc>
          <w:tcPr>
            <w:tcW w:w="4112" w:type="dxa"/>
            <w:shd w:val="clear" w:color="auto" w:fill="auto"/>
          </w:tcPr>
          <w:p w14:paraId="5A2E4257" w14:textId="77777777" w:rsidR="008E1052" w:rsidRDefault="008E1052" w:rsidP="00295793">
            <w:pPr>
              <w:rPr>
                <w:szCs w:val="18"/>
              </w:rPr>
            </w:pPr>
            <w:r>
              <w:rPr>
                <w:szCs w:val="18"/>
              </w:rPr>
              <w:t>В рамках реализации сертификата на внедрение VK WorkMail проведено установочное совещание с представителями правообладателя и партнера, сформирована проектная команда и матрица коммуникаций.</w:t>
            </w:r>
          </w:p>
          <w:p w14:paraId="5A408C96" w14:textId="77777777" w:rsidR="008E1052" w:rsidRDefault="008E1052" w:rsidP="00295793">
            <w:pPr>
              <w:rPr>
                <w:szCs w:val="18"/>
              </w:rPr>
            </w:pPr>
            <w:r>
              <w:rPr>
                <w:szCs w:val="18"/>
              </w:rPr>
              <w:t>Выполнена подготовка инфраструктуры для начала установки VK WorkMail.</w:t>
            </w:r>
          </w:p>
          <w:p w14:paraId="3150BD66" w14:textId="77777777" w:rsidR="008E1052" w:rsidRDefault="008E1052" w:rsidP="00295793">
            <w:pPr>
              <w:rPr>
                <w:szCs w:val="18"/>
              </w:rPr>
            </w:pPr>
            <w:r>
              <w:rPr>
                <w:szCs w:val="18"/>
              </w:rPr>
              <w:t>Выполнена первичная установка и настройка VK WorkMail и базовая интеграция в части бесшовного сопряжения со службой каталога для почтового домена gpp.gazprom.ru.</w:t>
            </w:r>
          </w:p>
          <w:p w14:paraId="76C2F47C" w14:textId="77777777" w:rsidR="008E1052" w:rsidRDefault="008E1052" w:rsidP="00295793">
            <w:pPr>
              <w:rPr>
                <w:szCs w:val="18"/>
              </w:rPr>
            </w:pPr>
            <w:r>
              <w:rPr>
                <w:szCs w:val="18"/>
              </w:rPr>
              <w:t>Настроено сопряжение с глобальным каталогом в части импорта глобальной адресной книги.</w:t>
            </w:r>
          </w:p>
          <w:p w14:paraId="5BC40D7D" w14:textId="77777777" w:rsidR="008E1052" w:rsidRDefault="008E1052" w:rsidP="00295793">
            <w:pPr>
              <w:rPr>
                <w:szCs w:val="18"/>
              </w:rPr>
            </w:pPr>
            <w:r>
              <w:rPr>
                <w:szCs w:val="18"/>
              </w:rPr>
              <w:t>Выполнено тестирование доступности системы для пользователей филиалов.</w:t>
            </w:r>
          </w:p>
          <w:p w14:paraId="233D5E89" w14:textId="77777777" w:rsidR="008E1052" w:rsidRDefault="008E1052" w:rsidP="00295793">
            <w:pPr>
              <w:rPr>
                <w:szCs w:val="18"/>
              </w:rPr>
            </w:pPr>
            <w:r>
              <w:rPr>
                <w:szCs w:val="18"/>
              </w:rPr>
              <w:t>Завершено обучение администраторов.</w:t>
            </w:r>
          </w:p>
          <w:p w14:paraId="0453B376" w14:textId="77777777" w:rsidR="008E1052" w:rsidRDefault="008E1052" w:rsidP="00295793">
            <w:pPr>
              <w:rPr>
                <w:szCs w:val="18"/>
              </w:rPr>
            </w:pPr>
            <w:r>
              <w:rPr>
                <w:szCs w:val="18"/>
              </w:rPr>
              <w:t>Выполняются подготовительные мероприятия для начала опытной эксплуатации VK WorkMail в период с 24.07.2025 до 04.08.2025.</w:t>
            </w:r>
          </w:p>
          <w:p w14:paraId="3A095F6D" w14:textId="77777777" w:rsidR="008E1052" w:rsidRDefault="008E1052" w:rsidP="00295793">
            <w:pPr>
              <w:rPr>
                <w:szCs w:val="18"/>
              </w:rPr>
            </w:pPr>
            <w:r>
              <w:rPr>
                <w:szCs w:val="18"/>
              </w:rPr>
              <w:t>Выявлена критичная ошибка при выполнении синхронизации календаря, препятствующая началу опытной эксплуатации. Запрос в техническую поддержку VK оформлен, диагностическая информация предоставлена. По данному вопросу проведено рабочее совещание с подрядчиком с целью ускорения обратной связи от разработчика.</w:t>
            </w:r>
          </w:p>
          <w:p w14:paraId="263ECF3A" w14:textId="77777777" w:rsidR="008E1052" w:rsidRDefault="008E1052" w:rsidP="00295793">
            <w:pPr>
              <w:rPr>
                <w:szCs w:val="18"/>
              </w:rPr>
            </w:pPr>
            <w:r>
              <w:rPr>
                <w:szCs w:val="18"/>
              </w:rPr>
              <w:t>Сформирован реестр вопросов и замечаний, получаемых в процессе опытной эксплуатации VK WorkMail.</w:t>
            </w:r>
          </w:p>
          <w:p w14:paraId="28E86124" w14:textId="77777777" w:rsidR="008E1052" w:rsidRDefault="008E1052" w:rsidP="00295793">
            <w:pPr>
              <w:rPr>
                <w:szCs w:val="18"/>
              </w:rPr>
            </w:pPr>
            <w:r>
              <w:rPr>
                <w:szCs w:val="18"/>
              </w:rPr>
              <w:t>Оформлены запросы в техническую поддержку VK на темы: автоматическое формирование ФИО отправителя, автоматическое формирование подписи в новых сообщениях.</w:t>
            </w:r>
          </w:p>
          <w:p w14:paraId="31B14815" w14:textId="77777777" w:rsidR="008E1052" w:rsidRDefault="008E1052" w:rsidP="00295793">
            <w:pPr>
              <w:rPr>
                <w:szCs w:val="18"/>
              </w:rPr>
            </w:pPr>
            <w:r>
              <w:rPr>
                <w:szCs w:val="18"/>
              </w:rPr>
              <w:t>Выявлены следующие важные ограничения:</w:t>
            </w:r>
          </w:p>
          <w:p w14:paraId="6A2E25C9" w14:textId="77777777" w:rsidR="008E1052" w:rsidRDefault="008E1052" w:rsidP="00295793">
            <w:pPr>
              <w:rPr>
                <w:szCs w:val="18"/>
              </w:rPr>
            </w:pPr>
            <w:r>
              <w:rPr>
                <w:szCs w:val="18"/>
              </w:rPr>
              <w:t>1) архитектура системы не поддерживает децентрализованную реализацию (организация отдельных почтовых серверов в филиалах), на текущий момент возможна реализация только централизованной схемы;</w:t>
            </w:r>
          </w:p>
          <w:p w14:paraId="0D244071" w14:textId="77777777" w:rsidR="008E1052" w:rsidRDefault="008E1052" w:rsidP="00295793">
            <w:pPr>
              <w:rPr>
                <w:szCs w:val="18"/>
              </w:rPr>
            </w:pPr>
            <w:r>
              <w:rPr>
                <w:szCs w:val="18"/>
              </w:rPr>
              <w:t>2) единственный на текущий момент инструмент резервного копирования, позволяющий архивировать не только почтовые ящики, но и саму систему - Кибер Бэкап. Критично для начала промышленной эксплуатации. Приобретение Кибер Бэкап предусмотрено в бюджетной заявке 2026 года (на рассмотрении в Д651).</w:t>
            </w:r>
          </w:p>
          <w:p w14:paraId="601D5E5D" w14:textId="77777777" w:rsidR="008E1052" w:rsidRDefault="008E1052" w:rsidP="00295793">
            <w:pPr>
              <w:rPr>
                <w:szCs w:val="18"/>
              </w:rPr>
            </w:pPr>
            <w:r>
              <w:rPr>
                <w:szCs w:val="18"/>
              </w:rPr>
              <w:t>От технической поддержки VK получен пакет со скриптом и документацией, реализующий миграцию календарей из MS Exchange. Идет подготовка среды для запуска полученного скрипта. Результаты выполнения скрипта неудовлетворительны, в техническую поддержку направлены замечания и вопросы по исправлению ситуации.</w:t>
            </w:r>
          </w:p>
          <w:p w14:paraId="5019B8F7" w14:textId="77777777" w:rsidR="008E1052" w:rsidRDefault="008E1052" w:rsidP="00295793">
            <w:pPr>
              <w:rPr>
                <w:szCs w:val="18"/>
              </w:rPr>
            </w:pPr>
            <w:r>
              <w:rPr>
                <w:szCs w:val="18"/>
              </w:rPr>
              <w:t xml:space="preserve">От технической поддержки VK получен ответ по запросу об автоматическом формировании подписи в новых сообщениях: на текущий момент у производителя нет готовых инструментов для решения проблемы. Сформирован запрос на разработку </w:t>
            </w:r>
            <w:r>
              <w:rPr>
                <w:szCs w:val="18"/>
              </w:rPr>
              <w:lastRenderedPageBreak/>
              <w:t>функционала для автоматического добавления подписи в новых сообщениях.</w:t>
            </w:r>
          </w:p>
          <w:p w14:paraId="0EF192DE" w14:textId="77777777" w:rsidR="008E1052" w:rsidRDefault="008E1052" w:rsidP="00295793">
            <w:pPr>
              <w:rPr>
                <w:szCs w:val="18"/>
              </w:rPr>
            </w:pPr>
            <w:r>
              <w:rPr>
                <w:szCs w:val="18"/>
              </w:rPr>
              <w:t>Продолжается взаимодействие с технической поддержкой VK по открытым запросам.</w:t>
            </w:r>
          </w:p>
          <w:p w14:paraId="79F2A767" w14:textId="77777777" w:rsidR="008E1052" w:rsidRPr="008E1052" w:rsidRDefault="008E1052" w:rsidP="00295793">
            <w:pPr>
              <w:rPr>
                <w:b/>
                <w:color w:val="008000"/>
                <w:szCs w:val="18"/>
              </w:rPr>
            </w:pPr>
            <w:r>
              <w:rPr>
                <w:szCs w:val="18"/>
              </w:rPr>
              <w:t xml:space="preserve">По результатам совещания 04.09.2025 с подрядчиком для решения вопроса миграции календарей MS Exchange на VK WorkMail запланировано первое обновление системы (с версии 24.3 на 25.3). Ожидаемая дата выхода нового релиза - 22.09.2025. </w:t>
            </w:r>
            <w:r w:rsidRPr="008E1052">
              <w:rPr>
                <w:b/>
                <w:color w:val="008000"/>
                <w:szCs w:val="18"/>
              </w:rPr>
              <w:t>Завершены работы по настройке</w:t>
            </w:r>
            <w:r>
              <w:rPr>
                <w:szCs w:val="18"/>
              </w:rPr>
              <w:t xml:space="preserve"> сервиса автоматической настройки толстых клиентов (Thunderbird) почтовой системы VK WorkMail. </w:t>
            </w:r>
            <w:r w:rsidRPr="008E1052">
              <w:rPr>
                <w:b/>
                <w:color w:val="008000"/>
                <w:szCs w:val="18"/>
              </w:rPr>
              <w:t>В ходе тестирования работы Thunderbird выявлены несоответствия в работе компонентов глобальной адресной книги и календаря. Варианты решения в проработке.</w:t>
            </w:r>
          </w:p>
          <w:p w14:paraId="78C17147" w14:textId="2861B2ED" w:rsidR="008E1052" w:rsidRPr="00E637FD" w:rsidRDefault="008E1052" w:rsidP="00295793">
            <w:pPr>
              <w:rPr>
                <w:szCs w:val="18"/>
              </w:rPr>
            </w:pPr>
            <w:r w:rsidRPr="008E1052">
              <w:rPr>
                <w:b/>
                <w:color w:val="008000"/>
                <w:szCs w:val="18"/>
              </w:rPr>
              <w:t>От технической поддержки VK получен пакет со скриптом для формирования ФИО отправителя (по умолчанию в поле отправитель публикуются только фамилия и имя).</w:t>
            </w:r>
          </w:p>
        </w:tc>
        <w:tc>
          <w:tcPr>
            <w:tcW w:w="4006" w:type="dxa"/>
          </w:tcPr>
          <w:p w14:paraId="3023BB1D" w14:textId="77777777" w:rsidR="008E1052" w:rsidRPr="00E637FD" w:rsidRDefault="008E1052" w:rsidP="00295793">
            <w:pPr>
              <w:rPr>
                <w:szCs w:val="18"/>
              </w:rPr>
            </w:pPr>
          </w:p>
        </w:tc>
      </w:tr>
      <w:tr w:rsidR="008E1052" w:rsidRPr="00E637FD" w14:paraId="209552E6" w14:textId="77777777" w:rsidTr="008E1052">
        <w:tc>
          <w:tcPr>
            <w:tcW w:w="3263" w:type="dxa"/>
          </w:tcPr>
          <w:p w14:paraId="2FFEFFC3" w14:textId="30712EEC" w:rsidR="008E1052" w:rsidRPr="00E637FD" w:rsidRDefault="008E1052" w:rsidP="00295793">
            <w:pPr>
              <w:rPr>
                <w:szCs w:val="18"/>
              </w:rPr>
            </w:pPr>
            <w:r>
              <w:rPr>
                <w:szCs w:val="18"/>
              </w:rPr>
              <w:t>2</w:t>
            </w:r>
          </w:p>
        </w:tc>
        <w:tc>
          <w:tcPr>
            <w:tcW w:w="4008" w:type="dxa"/>
          </w:tcPr>
          <w:p w14:paraId="64A6B9A6" w14:textId="0121E303" w:rsidR="008E1052" w:rsidRPr="00E637FD" w:rsidRDefault="008E1052" w:rsidP="00295793">
            <w:pPr>
              <w:rPr>
                <w:szCs w:val="18"/>
              </w:rPr>
            </w:pPr>
            <w:r>
              <w:rPr>
                <w:szCs w:val="18"/>
              </w:rPr>
              <w:t>Импортозамещение программного обеспечения АРМ</w:t>
            </w:r>
          </w:p>
        </w:tc>
        <w:tc>
          <w:tcPr>
            <w:tcW w:w="4112" w:type="dxa"/>
            <w:shd w:val="clear" w:color="auto" w:fill="auto"/>
          </w:tcPr>
          <w:p w14:paraId="28C249B6" w14:textId="77777777" w:rsidR="008E1052" w:rsidRDefault="008E1052" w:rsidP="00295793">
            <w:pPr>
              <w:rPr>
                <w:szCs w:val="18"/>
              </w:rPr>
            </w:pPr>
            <w:r>
              <w:rPr>
                <w:szCs w:val="18"/>
              </w:rPr>
              <w:t xml:space="preserve">По состоянию на </w:t>
            </w:r>
            <w:r w:rsidRPr="008E1052">
              <w:rPr>
                <w:b/>
                <w:color w:val="008000"/>
                <w:szCs w:val="18"/>
              </w:rPr>
              <w:t>17.09.2025</w:t>
            </w:r>
            <w:r>
              <w:rPr>
                <w:szCs w:val="18"/>
              </w:rPr>
              <w:t xml:space="preserve"> на Ред ОС переведено </w:t>
            </w:r>
            <w:r w:rsidRPr="008E1052">
              <w:rPr>
                <w:b/>
                <w:color w:val="008000"/>
                <w:szCs w:val="18"/>
              </w:rPr>
              <w:t>4397 (+11),</w:t>
            </w:r>
            <w:r>
              <w:rPr>
                <w:szCs w:val="18"/>
              </w:rPr>
              <w:t xml:space="preserve"> что составляет 79% (+0%) из общего кол-ва АРМ Общества (5544).</w:t>
            </w:r>
          </w:p>
          <w:p w14:paraId="6B2CFF07" w14:textId="52A005D4" w:rsidR="008E1052" w:rsidRPr="00E637FD" w:rsidRDefault="008E1052" w:rsidP="00295793">
            <w:pPr>
              <w:rPr>
                <w:szCs w:val="18"/>
              </w:rPr>
            </w:pPr>
            <w:r>
              <w:rPr>
                <w:szCs w:val="18"/>
              </w:rPr>
              <w:t>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w:t>
            </w:r>
          </w:p>
        </w:tc>
        <w:tc>
          <w:tcPr>
            <w:tcW w:w="4006" w:type="dxa"/>
          </w:tcPr>
          <w:p w14:paraId="384094B2" w14:textId="77777777" w:rsidR="008E1052" w:rsidRPr="00E637FD" w:rsidRDefault="008E1052" w:rsidP="00295793">
            <w:pPr>
              <w:rPr>
                <w:szCs w:val="18"/>
              </w:rPr>
            </w:pPr>
          </w:p>
        </w:tc>
      </w:tr>
      <w:tr w:rsidR="008E1052" w:rsidRPr="00E637FD" w14:paraId="47AF703A" w14:textId="77777777" w:rsidTr="008E1052">
        <w:tc>
          <w:tcPr>
            <w:tcW w:w="3263" w:type="dxa"/>
          </w:tcPr>
          <w:p w14:paraId="622ECB4D" w14:textId="3CB0BB51" w:rsidR="008E1052" w:rsidRPr="00E637FD" w:rsidRDefault="008E1052" w:rsidP="00295793">
            <w:pPr>
              <w:rPr>
                <w:szCs w:val="18"/>
              </w:rPr>
            </w:pPr>
            <w:r>
              <w:rPr>
                <w:szCs w:val="18"/>
              </w:rPr>
              <w:t>3</w:t>
            </w:r>
          </w:p>
        </w:tc>
        <w:tc>
          <w:tcPr>
            <w:tcW w:w="4008" w:type="dxa"/>
          </w:tcPr>
          <w:p w14:paraId="383A3CE3" w14:textId="630ED8DB" w:rsidR="008E1052" w:rsidRPr="00E637FD" w:rsidRDefault="008E1052" w:rsidP="00295793">
            <w:pPr>
              <w:rPr>
                <w:szCs w:val="18"/>
              </w:rPr>
            </w:pPr>
            <w:r>
              <w:rPr>
                <w:szCs w:val="18"/>
              </w:rPr>
              <w:t>Создание раздела о техническом состоянии и результатах диагностических обследований объектов переработки УВС в ССД Инфотех</w:t>
            </w:r>
          </w:p>
        </w:tc>
        <w:tc>
          <w:tcPr>
            <w:tcW w:w="4112" w:type="dxa"/>
            <w:shd w:val="clear" w:color="auto" w:fill="auto"/>
          </w:tcPr>
          <w:p w14:paraId="2D3EAA3B" w14:textId="2A3697E7" w:rsidR="008E1052" w:rsidRPr="00E637FD" w:rsidRDefault="008E1052" w:rsidP="00295793">
            <w:pPr>
              <w:rPr>
                <w:szCs w:val="18"/>
              </w:rPr>
            </w:pPr>
            <w:r>
              <w:rPr>
                <w:szCs w:val="18"/>
              </w:rPr>
              <w:t xml:space="preserve">17.10.2024 получено письмо АО ГД от 17.10.2024 № 05/2691 о завершении работ по загрузке данных по объектам ремонта в «АРМ – ТО на ГПЗ» и о необходимости проведения проверки загруженных данных. В Обществе организована работа по проверке данных. По результатам проверки филиалами данных в "АРМ - ТО на ГПЗ" 09.04.2025 письмом №ГП/22/05136 в адрес АО "Газпром диагностика" направлен перечень существенных несоответствий и замечаний. Основные замечания связаны с выявленными несоответствиями в классификации технологических мест объектов переработки, загрузке исходных данных по технологическому оборудованию и формированию отчетных годовых форм. Получен ответ от АО «Газпром диагностика» № 06/1162 от 18.04.2025 «О работе «АРМ – ТО на ГПЗ» с рекомендациями провести актуализацию данных в «АРМ – ТО на ГПЗ» силами ООО «Газпром переработка». 16.05.2025 направлено ответное письмо с перечнем замечаний самостоятельно отработанных Обществом и списком замечаний, по которым требуется привлечение АО "Газпром диагностика" (с указанием обоснования). Согласно ответному письму от 16.06.2025 № 05/1665, АО «Газпром диагностика» проводит повторную верификацию и адаптацию данных в соответствии с полученными замечаниями. Замечания отрабатываются специалистами АО ГД с УГМ в рабочем порядке. </w:t>
            </w:r>
            <w:r w:rsidRPr="008E1052">
              <w:rPr>
                <w:b/>
                <w:color w:val="008000"/>
                <w:szCs w:val="18"/>
              </w:rPr>
              <w:t>Филиалы завершают проверку выполненной АО ГД верификации данных, по ОГПЗ замечаний нет, есть замечания по ЗСК, по остальным филиалам запланировано окончание проверки на следующей неделе, по завершению работ, УГМ планирует направить письмо в АО ГД с перечнем невыполненных работ и замечаний.</w:t>
            </w:r>
          </w:p>
        </w:tc>
        <w:tc>
          <w:tcPr>
            <w:tcW w:w="4006" w:type="dxa"/>
          </w:tcPr>
          <w:p w14:paraId="58156423" w14:textId="77777777" w:rsidR="008E1052" w:rsidRPr="00E637FD" w:rsidRDefault="008E1052" w:rsidP="00295793">
            <w:pPr>
              <w:rPr>
                <w:szCs w:val="18"/>
              </w:rPr>
            </w:pPr>
          </w:p>
        </w:tc>
      </w:tr>
      <w:tr w:rsidR="008E1052" w:rsidRPr="00E637FD" w14:paraId="4B23EFBB" w14:textId="77777777" w:rsidTr="008E1052">
        <w:tc>
          <w:tcPr>
            <w:tcW w:w="3263" w:type="dxa"/>
          </w:tcPr>
          <w:p w14:paraId="08E0CA73" w14:textId="63907CD3" w:rsidR="008E1052" w:rsidRPr="00E637FD" w:rsidRDefault="008E1052" w:rsidP="00295793">
            <w:pPr>
              <w:rPr>
                <w:szCs w:val="18"/>
              </w:rPr>
            </w:pPr>
            <w:r>
              <w:rPr>
                <w:szCs w:val="18"/>
              </w:rPr>
              <w:lastRenderedPageBreak/>
              <w:t>4</w:t>
            </w:r>
          </w:p>
        </w:tc>
        <w:tc>
          <w:tcPr>
            <w:tcW w:w="4008" w:type="dxa"/>
          </w:tcPr>
          <w:p w14:paraId="32C34D82" w14:textId="39118F48" w:rsidR="008E1052" w:rsidRPr="00E637FD" w:rsidRDefault="008E1052" w:rsidP="00295793">
            <w:pPr>
              <w:rPr>
                <w:szCs w:val="18"/>
              </w:rPr>
            </w:pPr>
            <w:r>
              <w:rPr>
                <w:szCs w:val="18"/>
              </w:rPr>
              <w:t>Участие в проекте создания Единой цифровой платформы диагностики, технического состояния и ремонта (ЕЦП ДТОиР)</w:t>
            </w:r>
          </w:p>
        </w:tc>
        <w:tc>
          <w:tcPr>
            <w:tcW w:w="4112" w:type="dxa"/>
            <w:shd w:val="clear" w:color="auto" w:fill="auto"/>
          </w:tcPr>
          <w:p w14:paraId="098142C1" w14:textId="756CBA7A" w:rsidR="008E1052" w:rsidRPr="00E637FD" w:rsidRDefault="008E1052" w:rsidP="00295793">
            <w:pPr>
              <w:rPr>
                <w:szCs w:val="18"/>
              </w:rPr>
            </w:pPr>
            <w:r>
              <w:rPr>
                <w:szCs w:val="18"/>
              </w:rPr>
              <w:t xml:space="preserve">Плановые сроки начала ОЭ - 01.04.2025. По вопросу подписания Обществом протокола с ГЦПС по иерархической структуре объектов ремонта в отношении пункта протокола с ГЦПС о привлечении проектной команды для приведения всех объектов ремонта Общества к иерархической структуре ЕЦП ДТОиР, необходимо выделение дополнительного финансирования на указанные работы (на рассмотрении в Д645). Письмом № 06-609 от 21.04.2025 от ПАО «Газпром» (О.Е. Аксютин) поручено обеспечить проведение в ГПП ОЭ МП-1, МП-2, МП-3 ЕЦП ДТОиР и назначить ответственных от Общества за выполнение задач ОЭ. СОВОФ направлено ответное письмо ГП/82/06395 от 29.04.2025 в Д645 о назначении П.А. Колоса, Д.Ю. Лутова, С.В. Кушнаренко, С.А. Старова ответственными за организацию работы по проведению ОЭ. 19.05.2025 состоялось очное совещание под руководством начальника Департамента С.В. Скрынникова, где был обсужден текущий статус проведения ОЭ, уточнены сроки ее завершения (29.09.2025, при этом срок устранения замечаний - 18.08.2025, остальное время необходимо для корректировки документации и доработки ПО). Письмом № 06/45/2-1234 от 06.06.2025 от ПАО «Газпром» получен протокол совещания по ОЭ ЕЦП ДТОиР (от 19.05.2025 № 06/45-38), в соответствии с которым продолжаем участие в ОЭ. 30.07.2025 состоялось совещание (участники: Д645, Д651 ДО, ГПИ, Газпром ЦПС) по текущему статусу проведения ОЭ ЕЦП ДТОиР (1 этап: МП1, МП2, МП3). К пройденным сценариям ОЭ специалистами ОГЗ и производственных подразделений Администрации вопросов/замечаний со стороны Д645 и Газпром ЦПС не было. По результатам рассмотрения замечаний, направленных с начала проведения ОЭ было принято решение направить на ОГЗ представителей Газпром ЦПС для обеспечения поддержки ОЭ и проведения консультаций по работе в ЕЦП ДТОиР на местах. Также Газпром ЦПС представили календарный план работ по второму этапу внедрения ЕЦП ДТОиР. По итогам визита специалистов Газпром ЦПС на ОГЗ, получены протоколы прохождения сценариев подсистем МП-3 (нормативно-справочная информация, включая справочники оборудования) и МП-1 (учет отказов и неисправностей) с приложением соответствующих отчетов и перечней открытых вопросов. </w:t>
            </w:r>
            <w:r w:rsidRPr="008E1052">
              <w:rPr>
                <w:b/>
                <w:color w:val="008000"/>
                <w:szCs w:val="18"/>
              </w:rPr>
              <w:t>Получено вх. письмо № 2025/1/2271 от 17.09.2025 от ГЦПС, "О запросе потенциальных пользователей модуля АКО «ФМ 4.1 Анализ критичности оборудования» для обучения ключевых и конечных пользователей, срок предоставления информации до 24.09.2025.</w:t>
            </w:r>
          </w:p>
        </w:tc>
        <w:tc>
          <w:tcPr>
            <w:tcW w:w="4006" w:type="dxa"/>
          </w:tcPr>
          <w:p w14:paraId="3EEAA760" w14:textId="77777777" w:rsidR="008E1052" w:rsidRPr="00E637FD" w:rsidRDefault="008E1052" w:rsidP="00295793">
            <w:pPr>
              <w:rPr>
                <w:szCs w:val="18"/>
              </w:rPr>
            </w:pPr>
          </w:p>
        </w:tc>
      </w:tr>
      <w:tr w:rsidR="008E1052" w:rsidRPr="00E637FD" w14:paraId="7749C17B" w14:textId="77777777" w:rsidTr="008E1052">
        <w:tc>
          <w:tcPr>
            <w:tcW w:w="3263" w:type="dxa"/>
          </w:tcPr>
          <w:p w14:paraId="6E23D7A7" w14:textId="3BF7EF3A" w:rsidR="008E1052" w:rsidRPr="00E637FD" w:rsidRDefault="008E1052" w:rsidP="00295793">
            <w:pPr>
              <w:rPr>
                <w:szCs w:val="18"/>
              </w:rPr>
            </w:pPr>
            <w:r>
              <w:rPr>
                <w:szCs w:val="18"/>
              </w:rPr>
              <w:t>5</w:t>
            </w:r>
          </w:p>
        </w:tc>
        <w:tc>
          <w:tcPr>
            <w:tcW w:w="4008" w:type="dxa"/>
          </w:tcPr>
          <w:p w14:paraId="70151415" w14:textId="31A14795" w:rsidR="008E1052" w:rsidRPr="00E637FD" w:rsidRDefault="008E1052" w:rsidP="00295793">
            <w:pPr>
              <w:rPr>
                <w:szCs w:val="18"/>
              </w:rPr>
            </w:pPr>
            <w:r>
              <w:rPr>
                <w:szCs w:val="18"/>
              </w:rPr>
              <w:t>Настройка интеграционного взаимодействия между имитационно-аналитическим комплексом (ИАК) и ДУ ИУС П Переработка</w:t>
            </w:r>
          </w:p>
        </w:tc>
        <w:tc>
          <w:tcPr>
            <w:tcW w:w="4112" w:type="dxa"/>
            <w:shd w:val="clear" w:color="auto" w:fill="auto"/>
          </w:tcPr>
          <w:p w14:paraId="5BE7BCBA" w14:textId="77777777" w:rsidR="008E1052" w:rsidRDefault="008E1052" w:rsidP="00295793">
            <w:pPr>
              <w:rPr>
                <w:szCs w:val="18"/>
              </w:rPr>
            </w:pPr>
            <w:r>
              <w:rPr>
                <w:szCs w:val="18"/>
              </w:rPr>
              <w:t>Получено письмо от НИИГЭ № 18/548 от 22.05.2025 "Об обучении ИАК", предварительные даты обучения 6-8 августа, место проведения - в офисе НИИГЭ в Москве. ПДУ формирует списки работников для обучения, от СИУС направлены предложениям по двум сотрудникам (Т.И. Дрокина, А.И. Шаповалов).</w:t>
            </w:r>
          </w:p>
          <w:p w14:paraId="73B0518D" w14:textId="13895E93" w:rsidR="008E1052" w:rsidRPr="00E637FD" w:rsidRDefault="008E1052" w:rsidP="00295793">
            <w:pPr>
              <w:rPr>
                <w:szCs w:val="18"/>
              </w:rPr>
            </w:pPr>
            <w:r>
              <w:rPr>
                <w:szCs w:val="18"/>
              </w:rPr>
              <w:t xml:space="preserve">19.06 проведено совещание с участием ПДУ, ЗПКТ, УТЖУ, НИИГЭ, по результатам расчета ИАК за май и июнь 2025 поручено: 1) ЗПКТ уточнить и направить в НИИГЭ перечни потерь УСК и УДК в рецептурах, 2) НИИГЭ исключить сырье </w:t>
            </w:r>
            <w:r>
              <w:rPr>
                <w:szCs w:val="18"/>
              </w:rPr>
              <w:lastRenderedPageBreak/>
              <w:t xml:space="preserve">Заполярья в потоке Ямбурга, скорректировать форму отчета в ИАК, учесть ограничения по загрузке УППБ, изменить схему потока ШФЛУ минуя резервуар ДК, учесть рецептуры в периоды низкого давления сырья – работы завершить до конца июня. Получено письмо № 26-2/626 от 25.06.2025 от НИИГЭ "О запросе информации для проведения сравнительного анализа фактических и расчетных значений удельных показателей эксплуатационных затрат в рамках НИОКР", срок в СЭД 02.07.2025. Данные по запросу предоставлены (исх. №ГП/36/09530 от 27.06.2025). НИИГЭ 19-20 августа провели обучение специалистов ПДУ, обучение специалистов СИУС предложено провести дистанционно. В офисе НИИГЭ в Москве проведено обучение специалистов ПДС ЗПКТ и дистанционно - специалистов ПДС УТЖУ. От НИИГЭ получено письмо от 10.09.2025 № 18/932 "О выполнении решений протокола ПАО "Газпром", СИУС </w:t>
            </w:r>
            <w:r w:rsidRPr="008E1052">
              <w:rPr>
                <w:b/>
                <w:color w:val="008000"/>
                <w:szCs w:val="18"/>
              </w:rPr>
              <w:t>направлена</w:t>
            </w:r>
            <w:r>
              <w:rPr>
                <w:szCs w:val="18"/>
              </w:rPr>
              <w:t xml:space="preserve"> СЗ в УКЗ о возможности использования разработанного НИИГЭ исполнительного файла </w:t>
            </w:r>
            <w:r w:rsidRPr="008E1052">
              <w:rPr>
                <w:b/>
                <w:color w:val="008000"/>
                <w:szCs w:val="18"/>
              </w:rPr>
              <w:t>программного комплекса</w:t>
            </w:r>
            <w:r>
              <w:rPr>
                <w:szCs w:val="18"/>
              </w:rPr>
              <w:t xml:space="preserve"> «КУрС». По результатам рассмотрения </w:t>
            </w:r>
            <w:r w:rsidRPr="008E1052">
              <w:rPr>
                <w:b/>
                <w:color w:val="008000"/>
                <w:szCs w:val="18"/>
              </w:rPr>
              <w:t>получена обратная связь</w:t>
            </w:r>
            <w:r>
              <w:rPr>
                <w:szCs w:val="18"/>
              </w:rPr>
              <w:t xml:space="preserve"> о </w:t>
            </w:r>
            <w:r w:rsidRPr="008E1052">
              <w:rPr>
                <w:b/>
                <w:color w:val="008000"/>
                <w:szCs w:val="18"/>
              </w:rPr>
              <w:t>необходимости предоставления со стороны НИИГЭ технического задания и технических требований на создание программного комплекса, включая решения по ИБ, а также позицию СКЗ ПАО «Газпром»</w:t>
            </w:r>
            <w:r>
              <w:rPr>
                <w:szCs w:val="18"/>
              </w:rPr>
              <w:t xml:space="preserve"> в </w:t>
            </w:r>
            <w:r w:rsidRPr="008E1052">
              <w:rPr>
                <w:b/>
                <w:color w:val="008000"/>
                <w:szCs w:val="18"/>
              </w:rPr>
              <w:t>части согласования использования соответствующих решений. Подготовка ответа (ПДУ, СИУС, УКЗ) до 24.09.2025.</w:t>
            </w:r>
          </w:p>
        </w:tc>
        <w:tc>
          <w:tcPr>
            <w:tcW w:w="4006" w:type="dxa"/>
          </w:tcPr>
          <w:p w14:paraId="4E358C07" w14:textId="77777777" w:rsidR="008E1052" w:rsidRPr="00E637FD" w:rsidRDefault="008E1052" w:rsidP="00295793">
            <w:pPr>
              <w:rPr>
                <w:szCs w:val="18"/>
              </w:rPr>
            </w:pPr>
          </w:p>
        </w:tc>
      </w:tr>
      <w:tr w:rsidR="008E1052" w:rsidRPr="00E637FD" w14:paraId="617E0E50" w14:textId="77777777" w:rsidTr="008E1052">
        <w:tc>
          <w:tcPr>
            <w:tcW w:w="3263" w:type="dxa"/>
            <w:tcBorders>
              <w:bottom w:val="single" w:sz="4" w:space="0" w:color="auto"/>
            </w:tcBorders>
          </w:tcPr>
          <w:p w14:paraId="77DC8D99" w14:textId="75E09733" w:rsidR="008E1052" w:rsidRPr="00E637FD" w:rsidRDefault="008E1052" w:rsidP="00295793">
            <w:pPr>
              <w:rPr>
                <w:szCs w:val="18"/>
              </w:rPr>
            </w:pPr>
            <w:r>
              <w:rPr>
                <w:szCs w:val="18"/>
              </w:rPr>
              <w:t>6</w:t>
            </w:r>
          </w:p>
        </w:tc>
        <w:tc>
          <w:tcPr>
            <w:tcW w:w="4008" w:type="dxa"/>
            <w:tcBorders>
              <w:bottom w:val="single" w:sz="4" w:space="0" w:color="auto"/>
            </w:tcBorders>
          </w:tcPr>
          <w:p w14:paraId="63311A7F" w14:textId="44157637" w:rsidR="008E1052" w:rsidRPr="00E637FD" w:rsidRDefault="008E1052" w:rsidP="00295793">
            <w:pPr>
              <w:rPr>
                <w:szCs w:val="18"/>
              </w:rPr>
            </w:pPr>
            <w:r>
              <w:rPr>
                <w:szCs w:val="18"/>
              </w:rPr>
              <w:t>Участие в эксперименте по внедрению системы дистанционного контроля промышленной безопасности</w:t>
            </w:r>
          </w:p>
        </w:tc>
        <w:tc>
          <w:tcPr>
            <w:tcW w:w="4112" w:type="dxa"/>
            <w:tcBorders>
              <w:bottom w:val="single" w:sz="4" w:space="0" w:color="auto"/>
            </w:tcBorders>
            <w:shd w:val="clear" w:color="auto" w:fill="auto"/>
          </w:tcPr>
          <w:p w14:paraId="6DD253F9" w14:textId="106F5803" w:rsidR="008E1052" w:rsidRPr="00E637FD" w:rsidRDefault="008E1052" w:rsidP="00295793">
            <w:pPr>
              <w:rPr>
                <w:szCs w:val="18"/>
              </w:rPr>
            </w:pPr>
            <w:r>
              <w:rPr>
                <w:szCs w:val="18"/>
              </w:rPr>
              <w:t xml:space="preserve">В период с 10 по 31 июля проведены предварительные испытания в соответствии с программой и методикой испытаний, с имитацией передачи данных из СДК ПБ с уровня Сургутского ЗСК на уровень Администрации ПАО «Газпром» и далее в Ростехнадзор. Подготовлены проекты акта и протокола проведения предварительных испытаний. 12.08.2025 проведен ВКС с Д353 по текущему статусу проекта и подготовке к приемочным испытаниям. В рабочем порядке получен проект протокола (участвовали: Д353 (С.Е. Шкуро), Д651 (гл.спец. Н.В. Макаров), СКЗ ПАО (начальник отдела А.Б. Нелюбин), Газпром информ (начальник управления разработки транзакционных систем уровня предприятия Д.В. Лежанкин), Газпром автоматизация (ГИ М.В. Гаврилов). Приказ о проведении предварительных испытаний подписан. Для завершения ПИ ожидаем согласование проектной документации на ПОИБ. 09.09.2025 состоялось совещание, инициированное Д353, по обсуждению статуса реализации СДК ПБ, результат: достигнута договоренность об ускоренном рассмотрения скорректированной проектной документации на ПОИБ со стороны СКЗ ПАО "Газпром" (с месяца до двух недель). </w:t>
            </w:r>
            <w:r w:rsidRPr="008E1052">
              <w:rPr>
                <w:b/>
                <w:color w:val="008000"/>
                <w:szCs w:val="18"/>
              </w:rPr>
              <w:t>Получено вх. письмо № 06/51-2521 от 16.09.2025 от ПАО «Газпром», Н.А. Кисленко "О согласовании дополнения к тех. заданию по процессам управления производственной безопасностью"</w:t>
            </w:r>
          </w:p>
        </w:tc>
        <w:tc>
          <w:tcPr>
            <w:tcW w:w="4006" w:type="dxa"/>
            <w:tcBorders>
              <w:bottom w:val="single" w:sz="4" w:space="0" w:color="auto"/>
            </w:tcBorders>
          </w:tcPr>
          <w:p w14:paraId="38EC6F7E" w14:textId="77777777" w:rsidR="008E1052" w:rsidRPr="00E637FD" w:rsidRDefault="008E1052" w:rsidP="00295793">
            <w:pPr>
              <w:rPr>
                <w:szCs w:val="18"/>
              </w:rPr>
            </w:pPr>
          </w:p>
        </w:tc>
      </w:tr>
      <w:tr w:rsidR="008E1052" w:rsidRPr="00E637FD" w14:paraId="289BA39D" w14:textId="77777777" w:rsidTr="008E1052">
        <w:tc>
          <w:tcPr>
            <w:tcW w:w="15389" w:type="dxa"/>
            <w:gridSpan w:val="4"/>
            <w:shd w:val="clear" w:color="auto" w:fill="DEDEDE"/>
            <w:vAlign w:val="center"/>
          </w:tcPr>
          <w:p w14:paraId="033F25D9" w14:textId="2F46762E" w:rsidR="008E1052" w:rsidRPr="008E1052" w:rsidRDefault="008E1052" w:rsidP="008E1052">
            <w:pPr>
              <w:jc w:val="center"/>
              <w:rPr>
                <w:rFonts w:ascii="Calibri" w:hAnsi="Calibri"/>
                <w:b/>
                <w:sz w:val="24"/>
                <w:szCs w:val="18"/>
              </w:rPr>
            </w:pPr>
            <w:r w:rsidRPr="008E1052">
              <w:rPr>
                <w:rFonts w:ascii="Calibri" w:hAnsi="Calibri"/>
                <w:b/>
                <w:sz w:val="24"/>
                <w:szCs w:val="18"/>
              </w:rPr>
              <w:t>Информация по совещаниям</w:t>
            </w:r>
          </w:p>
        </w:tc>
      </w:tr>
      <w:tr w:rsidR="008E1052" w:rsidRPr="00E637FD" w14:paraId="28FA273C" w14:textId="77777777" w:rsidTr="008E1052">
        <w:tc>
          <w:tcPr>
            <w:tcW w:w="3263" w:type="dxa"/>
            <w:shd w:val="clear" w:color="auto" w:fill="DEDEDE"/>
            <w:vAlign w:val="center"/>
          </w:tcPr>
          <w:p w14:paraId="49E2DF20" w14:textId="7213C416" w:rsidR="008E1052" w:rsidRPr="008E1052" w:rsidRDefault="008E1052" w:rsidP="008E1052">
            <w:pPr>
              <w:jc w:val="center"/>
              <w:rPr>
                <w:rFonts w:ascii="Calibri" w:hAnsi="Calibri"/>
                <w:b/>
                <w:sz w:val="24"/>
                <w:szCs w:val="18"/>
              </w:rPr>
            </w:pPr>
            <w:r w:rsidRPr="008E1052">
              <w:rPr>
                <w:rFonts w:ascii="Calibri" w:hAnsi="Calibri"/>
                <w:b/>
                <w:sz w:val="24"/>
                <w:szCs w:val="18"/>
              </w:rPr>
              <w:t>№</w:t>
            </w:r>
          </w:p>
        </w:tc>
        <w:tc>
          <w:tcPr>
            <w:tcW w:w="4008" w:type="dxa"/>
            <w:shd w:val="clear" w:color="auto" w:fill="DEDEDE"/>
            <w:vAlign w:val="center"/>
          </w:tcPr>
          <w:p w14:paraId="148173C6" w14:textId="77777777" w:rsidR="008E1052" w:rsidRPr="008E1052" w:rsidRDefault="008E1052" w:rsidP="008E1052">
            <w:pPr>
              <w:jc w:val="center"/>
              <w:rPr>
                <w:rFonts w:ascii="Calibri" w:hAnsi="Calibri"/>
                <w:b/>
                <w:sz w:val="24"/>
                <w:szCs w:val="18"/>
              </w:rPr>
            </w:pPr>
            <w:r w:rsidRPr="008E1052">
              <w:rPr>
                <w:rFonts w:ascii="Calibri" w:hAnsi="Calibri"/>
                <w:b/>
                <w:sz w:val="24"/>
                <w:szCs w:val="18"/>
              </w:rPr>
              <w:t>Даты проведения</w:t>
            </w:r>
          </w:p>
          <w:p w14:paraId="1F96A5FE" w14:textId="4543219C" w:rsidR="008E1052" w:rsidRPr="008E1052" w:rsidRDefault="008E1052" w:rsidP="008E1052">
            <w:pPr>
              <w:jc w:val="center"/>
              <w:rPr>
                <w:rFonts w:ascii="Calibri" w:hAnsi="Calibri"/>
                <w:b/>
                <w:sz w:val="24"/>
                <w:szCs w:val="18"/>
              </w:rPr>
            </w:pPr>
            <w:r w:rsidRPr="008E1052">
              <w:rPr>
                <w:rFonts w:ascii="Calibri" w:hAnsi="Calibri"/>
                <w:b/>
                <w:sz w:val="24"/>
                <w:szCs w:val="18"/>
              </w:rPr>
              <w:t>Участники</w:t>
            </w:r>
          </w:p>
        </w:tc>
        <w:tc>
          <w:tcPr>
            <w:tcW w:w="4112" w:type="dxa"/>
            <w:shd w:val="clear" w:color="auto" w:fill="DEDEDE"/>
            <w:vAlign w:val="center"/>
          </w:tcPr>
          <w:p w14:paraId="716AD32B" w14:textId="7292E50C" w:rsidR="008E1052" w:rsidRPr="008E1052" w:rsidRDefault="008E1052" w:rsidP="008E1052">
            <w:pPr>
              <w:jc w:val="center"/>
              <w:rPr>
                <w:rFonts w:ascii="Calibri" w:hAnsi="Calibri"/>
                <w:b/>
                <w:sz w:val="24"/>
                <w:szCs w:val="18"/>
              </w:rPr>
            </w:pPr>
            <w:r w:rsidRPr="008E1052">
              <w:rPr>
                <w:rFonts w:ascii="Calibri" w:hAnsi="Calibri"/>
                <w:b/>
                <w:sz w:val="24"/>
                <w:szCs w:val="18"/>
              </w:rPr>
              <w:t>Краткий итог</w:t>
            </w:r>
          </w:p>
        </w:tc>
        <w:tc>
          <w:tcPr>
            <w:tcW w:w="4006" w:type="dxa"/>
            <w:shd w:val="clear" w:color="auto" w:fill="DEDEDE"/>
            <w:vAlign w:val="center"/>
          </w:tcPr>
          <w:p w14:paraId="6BB7FDCF" w14:textId="77777777" w:rsidR="008E1052" w:rsidRPr="008E1052" w:rsidRDefault="008E1052" w:rsidP="008E1052">
            <w:pPr>
              <w:jc w:val="center"/>
              <w:rPr>
                <w:rFonts w:ascii="Calibri" w:hAnsi="Calibri"/>
                <w:b/>
                <w:sz w:val="24"/>
                <w:szCs w:val="18"/>
              </w:rPr>
            </w:pPr>
            <w:r w:rsidRPr="008E1052">
              <w:rPr>
                <w:rFonts w:ascii="Calibri" w:hAnsi="Calibri"/>
                <w:b/>
                <w:sz w:val="24"/>
                <w:szCs w:val="18"/>
              </w:rPr>
              <w:t>План на следующую неделю</w:t>
            </w:r>
          </w:p>
          <w:p w14:paraId="2BDADC6A" w14:textId="77777777" w:rsidR="008E1052" w:rsidRPr="008E1052" w:rsidRDefault="008E1052" w:rsidP="008E1052">
            <w:pPr>
              <w:jc w:val="center"/>
              <w:rPr>
                <w:rFonts w:ascii="Calibri" w:hAnsi="Calibri"/>
                <w:b/>
                <w:sz w:val="24"/>
                <w:szCs w:val="18"/>
              </w:rPr>
            </w:pPr>
            <w:r w:rsidRPr="008E1052">
              <w:rPr>
                <w:rFonts w:ascii="Calibri" w:hAnsi="Calibri"/>
                <w:b/>
                <w:sz w:val="24"/>
                <w:szCs w:val="18"/>
              </w:rPr>
              <w:t>Повестка</w:t>
            </w:r>
          </w:p>
          <w:p w14:paraId="2A3406EB" w14:textId="0646861C" w:rsidR="008E1052" w:rsidRPr="008E1052" w:rsidRDefault="008E1052" w:rsidP="008E1052">
            <w:pPr>
              <w:jc w:val="center"/>
              <w:rPr>
                <w:rFonts w:ascii="Calibri" w:hAnsi="Calibri"/>
                <w:b/>
                <w:sz w:val="24"/>
                <w:szCs w:val="18"/>
              </w:rPr>
            </w:pPr>
            <w:r w:rsidRPr="008E1052">
              <w:rPr>
                <w:rFonts w:ascii="Calibri" w:hAnsi="Calibri"/>
                <w:b/>
                <w:sz w:val="24"/>
                <w:szCs w:val="18"/>
              </w:rPr>
              <w:t>Участники</w:t>
            </w:r>
          </w:p>
        </w:tc>
      </w:tr>
      <w:tr w:rsidR="008E1052" w:rsidRPr="00E637FD" w14:paraId="0A54CB9C" w14:textId="77777777" w:rsidTr="008E1052">
        <w:tc>
          <w:tcPr>
            <w:tcW w:w="3263" w:type="dxa"/>
          </w:tcPr>
          <w:p w14:paraId="44FB8E8F" w14:textId="7966FC3E" w:rsidR="008E1052" w:rsidRPr="00E637FD" w:rsidRDefault="008E1052" w:rsidP="00295793">
            <w:pPr>
              <w:rPr>
                <w:szCs w:val="18"/>
              </w:rPr>
            </w:pPr>
            <w:r w:rsidRPr="008E1052">
              <w:rPr>
                <w:b/>
                <w:color w:val="008000"/>
                <w:szCs w:val="18"/>
              </w:rPr>
              <w:lastRenderedPageBreak/>
              <w:t>1</w:t>
            </w:r>
          </w:p>
        </w:tc>
        <w:tc>
          <w:tcPr>
            <w:tcW w:w="4008" w:type="dxa"/>
          </w:tcPr>
          <w:p w14:paraId="0198DDA4" w14:textId="77777777" w:rsidR="008E1052" w:rsidRPr="00E637FD" w:rsidRDefault="008E1052" w:rsidP="00295793">
            <w:pPr>
              <w:rPr>
                <w:szCs w:val="18"/>
              </w:rPr>
            </w:pPr>
          </w:p>
        </w:tc>
        <w:tc>
          <w:tcPr>
            <w:tcW w:w="4112" w:type="dxa"/>
            <w:shd w:val="clear" w:color="auto" w:fill="auto"/>
          </w:tcPr>
          <w:p w14:paraId="607BA050" w14:textId="77777777" w:rsidR="008E1052" w:rsidRPr="008E1052" w:rsidRDefault="008E1052" w:rsidP="00295793">
            <w:pPr>
              <w:rPr>
                <w:b/>
                <w:color w:val="008000"/>
                <w:szCs w:val="18"/>
              </w:rPr>
            </w:pPr>
          </w:p>
        </w:tc>
        <w:tc>
          <w:tcPr>
            <w:tcW w:w="4006" w:type="dxa"/>
          </w:tcPr>
          <w:p w14:paraId="1B513B7F" w14:textId="77777777" w:rsidR="008E1052" w:rsidRPr="008E1052" w:rsidRDefault="008E1052" w:rsidP="00295793">
            <w:pPr>
              <w:rPr>
                <w:b/>
                <w:color w:val="008000"/>
                <w:szCs w:val="18"/>
              </w:rPr>
            </w:pPr>
            <w:r w:rsidRPr="008E1052">
              <w:rPr>
                <w:b/>
                <w:color w:val="008000"/>
                <w:szCs w:val="18"/>
              </w:rPr>
              <w:t>23-24.09.2025 принимаем участие в Отраслевом совещании служб ИТ и АСУ ТП 2025 г., проводимом в г. Санкт-Петербург.</w:t>
            </w:r>
          </w:p>
          <w:p w14:paraId="1BAC9BBF" w14:textId="77777777" w:rsidR="008E1052" w:rsidRPr="008E1052" w:rsidRDefault="008E1052" w:rsidP="00295793">
            <w:pPr>
              <w:rPr>
                <w:b/>
                <w:color w:val="008000"/>
                <w:szCs w:val="18"/>
              </w:rPr>
            </w:pPr>
            <w:r w:rsidRPr="008E1052">
              <w:rPr>
                <w:b/>
                <w:color w:val="008000"/>
                <w:szCs w:val="18"/>
              </w:rPr>
              <w:t>В программе мероприятия запланированы выступления О.Е. Аксютина и руководителей Д651, а также круглые столы на следующие темы:</w:t>
            </w:r>
          </w:p>
          <w:p w14:paraId="5A5988EC" w14:textId="77777777" w:rsidR="008E1052" w:rsidRPr="008E1052" w:rsidRDefault="008E1052" w:rsidP="00295793">
            <w:pPr>
              <w:rPr>
                <w:b/>
                <w:color w:val="008000"/>
                <w:szCs w:val="18"/>
              </w:rPr>
            </w:pPr>
            <w:r w:rsidRPr="008E1052">
              <w:rPr>
                <w:b/>
                <w:color w:val="008000"/>
                <w:szCs w:val="18"/>
              </w:rPr>
              <w:t>- обеспечение технологической независимости и развития АСУ ТП и производственных ИУС в актуальных условиях;</w:t>
            </w:r>
          </w:p>
          <w:p w14:paraId="2525C058" w14:textId="77777777" w:rsidR="008E1052" w:rsidRPr="008E1052" w:rsidRDefault="008E1052" w:rsidP="00295793">
            <w:pPr>
              <w:rPr>
                <w:b/>
                <w:color w:val="008000"/>
                <w:szCs w:val="18"/>
              </w:rPr>
            </w:pPr>
            <w:r w:rsidRPr="008E1052">
              <w:rPr>
                <w:b/>
                <w:color w:val="008000"/>
                <w:szCs w:val="18"/>
              </w:rPr>
              <w:t>- ИТ-архитектура и Управление данными: повышение уровня зрелости, развитие и масштабирование практик;</w:t>
            </w:r>
          </w:p>
          <w:p w14:paraId="36F4F789" w14:textId="77777777" w:rsidR="008E1052" w:rsidRPr="008E1052" w:rsidRDefault="008E1052" w:rsidP="00295793">
            <w:pPr>
              <w:rPr>
                <w:b/>
                <w:color w:val="008000"/>
                <w:szCs w:val="18"/>
              </w:rPr>
            </w:pPr>
            <w:r w:rsidRPr="008E1052">
              <w:rPr>
                <w:b/>
                <w:color w:val="008000"/>
                <w:szCs w:val="18"/>
              </w:rPr>
              <w:t>- взаимодействие Департамента 651 с дочерними обществами в части новых ЛНА, вопросов бюджетирования и организации сервисов.</w:t>
            </w:r>
          </w:p>
          <w:p w14:paraId="01C1FEB3" w14:textId="6EC9042E" w:rsidR="008E1052" w:rsidRPr="008E1052" w:rsidRDefault="008E1052" w:rsidP="00295793">
            <w:pPr>
              <w:rPr>
                <w:b/>
                <w:color w:val="008000"/>
                <w:szCs w:val="18"/>
              </w:rPr>
            </w:pPr>
            <w:r w:rsidRPr="008E1052">
              <w:rPr>
                <w:b/>
                <w:color w:val="008000"/>
                <w:szCs w:val="18"/>
              </w:rPr>
              <w:t>От Общества участие примут А.С. Клименко, С.В. Кушнаренко, Э.Т. Рангулов.</w:t>
            </w:r>
          </w:p>
        </w:tc>
      </w:tr>
    </w:tbl>
    <w:p w14:paraId="27D518A3" w14:textId="43E64485" w:rsidR="00BE6249" w:rsidRPr="0044431E" w:rsidRDefault="00BE6249" w:rsidP="003E1432">
      <w:pPr>
        <w:spacing w:after="160" w:line="259" w:lineRule="auto"/>
        <w:jc w:val="left"/>
        <w:rPr>
          <w:sz w:val="2"/>
          <w:szCs w:val="2"/>
        </w:rPr>
      </w:pPr>
    </w:p>
    <w:sectPr w:rsidR="00BE6249" w:rsidRPr="0044431E" w:rsidSect="0014760D">
      <w:footerReference w:type="default" r:id="rId6"/>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CAE" w14:textId="77777777" w:rsidR="008F143F" w:rsidRDefault="008F143F" w:rsidP="009E45E1">
      <w:r>
        <w:separator/>
      </w:r>
    </w:p>
  </w:endnote>
  <w:endnote w:type="continuationSeparator" w:id="0">
    <w:p w14:paraId="6EE594D8" w14:textId="77777777" w:rsidR="008F143F" w:rsidRDefault="008F143F" w:rsidP="009E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04527"/>
      <w:docPartObj>
        <w:docPartGallery w:val="Page Numbers (Bottom of Page)"/>
        <w:docPartUnique/>
      </w:docPartObj>
    </w:sdtPr>
    <w:sdtEndPr>
      <w:rPr>
        <w:noProof/>
      </w:rPr>
    </w:sdtEndPr>
    <w:sdtContent>
      <w:p w14:paraId="6D3D955F" w14:textId="1D19C7EE" w:rsidR="003A5C90" w:rsidRDefault="003A5C90" w:rsidP="00E618CF">
        <w:pPr>
          <w:pStyle w:val="a6"/>
          <w:jc w:val="right"/>
        </w:pPr>
        <w:r>
          <w:fldChar w:fldCharType="begin"/>
        </w:r>
        <w:r>
          <w:instrText xml:space="preserve"> PAGE   \* MERGEFORMAT </w:instrText>
        </w:r>
        <w:r>
          <w:fldChar w:fldCharType="separate"/>
        </w:r>
        <w:r w:rsidR="00473A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26D98" w14:textId="77777777" w:rsidR="008F143F" w:rsidRDefault="008F143F" w:rsidP="009E45E1">
      <w:r>
        <w:separator/>
      </w:r>
    </w:p>
  </w:footnote>
  <w:footnote w:type="continuationSeparator" w:id="0">
    <w:p w14:paraId="2F656BC5" w14:textId="77777777" w:rsidR="008F143F" w:rsidRDefault="008F143F" w:rsidP="009E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8F"/>
    <w:rsid w:val="000206D8"/>
    <w:rsid w:val="00072089"/>
    <w:rsid w:val="00101B04"/>
    <w:rsid w:val="00117B87"/>
    <w:rsid w:val="0014760D"/>
    <w:rsid w:val="0016676B"/>
    <w:rsid w:val="001A309B"/>
    <w:rsid w:val="001C6EF6"/>
    <w:rsid w:val="002026B8"/>
    <w:rsid w:val="002028D7"/>
    <w:rsid w:val="00220E7C"/>
    <w:rsid w:val="00297A0D"/>
    <w:rsid w:val="003270D0"/>
    <w:rsid w:val="00354DAE"/>
    <w:rsid w:val="00366067"/>
    <w:rsid w:val="00372577"/>
    <w:rsid w:val="00373864"/>
    <w:rsid w:val="003A5C90"/>
    <w:rsid w:val="003B7889"/>
    <w:rsid w:val="003E1432"/>
    <w:rsid w:val="0040437A"/>
    <w:rsid w:val="0041653A"/>
    <w:rsid w:val="0044431E"/>
    <w:rsid w:val="00452039"/>
    <w:rsid w:val="004663A8"/>
    <w:rsid w:val="00473A45"/>
    <w:rsid w:val="00492736"/>
    <w:rsid w:val="004B3F39"/>
    <w:rsid w:val="004E3C12"/>
    <w:rsid w:val="004E6F0C"/>
    <w:rsid w:val="00512752"/>
    <w:rsid w:val="00513CD7"/>
    <w:rsid w:val="00514230"/>
    <w:rsid w:val="00516C0F"/>
    <w:rsid w:val="005722DA"/>
    <w:rsid w:val="00577B0E"/>
    <w:rsid w:val="005A5772"/>
    <w:rsid w:val="005E11DB"/>
    <w:rsid w:val="005F024D"/>
    <w:rsid w:val="006130CF"/>
    <w:rsid w:val="0064480C"/>
    <w:rsid w:val="006535C2"/>
    <w:rsid w:val="00687BD3"/>
    <w:rsid w:val="006C3EF6"/>
    <w:rsid w:val="006C53D2"/>
    <w:rsid w:val="007043A8"/>
    <w:rsid w:val="00735DB6"/>
    <w:rsid w:val="007368A5"/>
    <w:rsid w:val="0074268F"/>
    <w:rsid w:val="0075261A"/>
    <w:rsid w:val="00772DB8"/>
    <w:rsid w:val="00791F53"/>
    <w:rsid w:val="007C0BAC"/>
    <w:rsid w:val="007C2D7C"/>
    <w:rsid w:val="00825E46"/>
    <w:rsid w:val="00833110"/>
    <w:rsid w:val="00850255"/>
    <w:rsid w:val="008E1052"/>
    <w:rsid w:val="008F143F"/>
    <w:rsid w:val="00905E8B"/>
    <w:rsid w:val="00912193"/>
    <w:rsid w:val="009548E4"/>
    <w:rsid w:val="009A7C01"/>
    <w:rsid w:val="009C51A0"/>
    <w:rsid w:val="009D7BCE"/>
    <w:rsid w:val="009E45E1"/>
    <w:rsid w:val="009E5C32"/>
    <w:rsid w:val="00A10482"/>
    <w:rsid w:val="00A11682"/>
    <w:rsid w:val="00A31042"/>
    <w:rsid w:val="00A50C2E"/>
    <w:rsid w:val="00A53972"/>
    <w:rsid w:val="00A83410"/>
    <w:rsid w:val="00A8395D"/>
    <w:rsid w:val="00AA4615"/>
    <w:rsid w:val="00AA5CE5"/>
    <w:rsid w:val="00AC46C7"/>
    <w:rsid w:val="00AD69A2"/>
    <w:rsid w:val="00AF39B7"/>
    <w:rsid w:val="00B12F02"/>
    <w:rsid w:val="00B262DD"/>
    <w:rsid w:val="00B45A96"/>
    <w:rsid w:val="00B7676C"/>
    <w:rsid w:val="00B80871"/>
    <w:rsid w:val="00B854BE"/>
    <w:rsid w:val="00B92ED9"/>
    <w:rsid w:val="00BC1B5E"/>
    <w:rsid w:val="00BE6249"/>
    <w:rsid w:val="00C07430"/>
    <w:rsid w:val="00C334DF"/>
    <w:rsid w:val="00C43B95"/>
    <w:rsid w:val="00C640F3"/>
    <w:rsid w:val="00C903D3"/>
    <w:rsid w:val="00CA0E2B"/>
    <w:rsid w:val="00CD2009"/>
    <w:rsid w:val="00CE0B2A"/>
    <w:rsid w:val="00CE1CC0"/>
    <w:rsid w:val="00D154CF"/>
    <w:rsid w:val="00D92F25"/>
    <w:rsid w:val="00DA7753"/>
    <w:rsid w:val="00DB2606"/>
    <w:rsid w:val="00DB7AA7"/>
    <w:rsid w:val="00DF7EB0"/>
    <w:rsid w:val="00E12D7F"/>
    <w:rsid w:val="00E16E09"/>
    <w:rsid w:val="00E377BA"/>
    <w:rsid w:val="00E50E65"/>
    <w:rsid w:val="00E618CF"/>
    <w:rsid w:val="00E637FD"/>
    <w:rsid w:val="00E6691A"/>
    <w:rsid w:val="00EF7A86"/>
    <w:rsid w:val="00F40473"/>
    <w:rsid w:val="00F53492"/>
    <w:rsid w:val="00F74E8A"/>
    <w:rsid w:val="00F8240B"/>
    <w:rsid w:val="00F96E1F"/>
    <w:rsid w:val="00FF6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A626E"/>
  <w15:chartTrackingRefBased/>
  <w15:docId w15:val="{BD0D432E-3E35-412E-9788-0D1E3B36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0D"/>
    <w:pPr>
      <w:spacing w:after="0" w:line="240" w:lineRule="auto"/>
      <w:jc w:val="both"/>
    </w:pPr>
    <w:rPr>
      <w:rFonts w:ascii="Arial Narrow" w:hAnsi="Arial Narrow" w:cs="Times New Roman"/>
      <w:sz w:val="16"/>
    </w:rPr>
  </w:style>
  <w:style w:type="paragraph" w:styleId="1">
    <w:name w:val="heading 1"/>
    <w:basedOn w:val="a"/>
    <w:next w:val="a"/>
    <w:link w:val="10"/>
    <w:uiPriority w:val="9"/>
    <w:qFormat/>
    <w:rsid w:val="00E637FD"/>
    <w:pPr>
      <w:keepNext/>
      <w:keepLines/>
      <w:jc w:val="center"/>
      <w:outlineLvl w:val="0"/>
    </w:pPr>
    <w:rPr>
      <w:rFonts w:ascii="SimSun-ExtB" w:eastAsia="SimSun-ExtB" w:hAnsi="SimSun-ExtB" w:cstheme="majorBidi"/>
      <w:b/>
      <w:sz w:val="28"/>
      <w:szCs w:val="28"/>
      <w:lang w:val="en-US"/>
    </w:rPr>
  </w:style>
  <w:style w:type="paragraph" w:styleId="2">
    <w:name w:val="heading 2"/>
    <w:basedOn w:val="a"/>
    <w:next w:val="a"/>
    <w:link w:val="20"/>
    <w:uiPriority w:val="9"/>
    <w:unhideWhenUsed/>
    <w:qFormat/>
    <w:rsid w:val="00A50C2E"/>
    <w:pPr>
      <w:keepNext/>
      <w:keepLines/>
      <w:spacing w:before="40"/>
      <w:jc w:val="center"/>
      <w:outlineLvl w:val="1"/>
    </w:pPr>
    <w:rPr>
      <w:rFonts w:eastAsiaTheme="majorEastAsia"/>
      <w:b/>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637FD"/>
    <w:rPr>
      <w:rFonts w:ascii="SimSun-ExtB" w:eastAsia="SimSun-ExtB" w:hAnsi="SimSun-ExtB" w:cstheme="majorBidi"/>
      <w:b/>
      <w:sz w:val="28"/>
      <w:szCs w:val="28"/>
      <w:lang w:val="en-US"/>
    </w:rPr>
  </w:style>
  <w:style w:type="character" w:customStyle="1" w:styleId="20">
    <w:name w:val="Заголовок 2 Знак"/>
    <w:basedOn w:val="a0"/>
    <w:link w:val="2"/>
    <w:uiPriority w:val="9"/>
    <w:rsid w:val="00A50C2E"/>
    <w:rPr>
      <w:rFonts w:ascii="Times New Roman" w:eastAsiaTheme="majorEastAsia" w:hAnsi="Times New Roman" w:cs="Times New Roman"/>
      <w:b/>
      <w:sz w:val="28"/>
      <w:szCs w:val="24"/>
      <w:lang w:val="en-US"/>
    </w:rPr>
  </w:style>
  <w:style w:type="paragraph" w:styleId="a4">
    <w:name w:val="header"/>
    <w:basedOn w:val="a"/>
    <w:link w:val="a5"/>
    <w:uiPriority w:val="99"/>
    <w:unhideWhenUsed/>
    <w:rsid w:val="009E45E1"/>
    <w:pPr>
      <w:tabs>
        <w:tab w:val="center" w:pos="4677"/>
        <w:tab w:val="right" w:pos="9355"/>
      </w:tabs>
    </w:pPr>
  </w:style>
  <w:style w:type="character" w:customStyle="1" w:styleId="a5">
    <w:name w:val="Верхний колонтитул Знак"/>
    <w:basedOn w:val="a0"/>
    <w:link w:val="a4"/>
    <w:uiPriority w:val="99"/>
    <w:rsid w:val="009E45E1"/>
    <w:rPr>
      <w:rFonts w:ascii="Times New Roman" w:hAnsi="Times New Roman" w:cs="Times New Roman"/>
      <w:sz w:val="24"/>
    </w:rPr>
  </w:style>
  <w:style w:type="paragraph" w:styleId="a6">
    <w:name w:val="footer"/>
    <w:basedOn w:val="a"/>
    <w:link w:val="a7"/>
    <w:uiPriority w:val="99"/>
    <w:unhideWhenUsed/>
    <w:rsid w:val="009E45E1"/>
    <w:pPr>
      <w:tabs>
        <w:tab w:val="center" w:pos="4677"/>
        <w:tab w:val="right" w:pos="9355"/>
      </w:tabs>
    </w:pPr>
  </w:style>
  <w:style w:type="character" w:customStyle="1" w:styleId="a7">
    <w:name w:val="Нижний колонтитул Знак"/>
    <w:basedOn w:val="a0"/>
    <w:link w:val="a6"/>
    <w:uiPriority w:val="99"/>
    <w:rsid w:val="009E45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1809</Words>
  <Characters>10313</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Павел Олегович</dc:creator>
  <cp:keywords/>
  <dc:description/>
  <cp:lastModifiedBy>Воронянский Евгений Владимирович</cp:lastModifiedBy>
  <cp:revision>2</cp:revision>
  <dcterms:created xsi:type="dcterms:W3CDTF">2025-10-06T05:37:00Z</dcterms:created>
  <dcterms:modified xsi:type="dcterms:W3CDTF">2025-10-06T05:37:00Z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17378</vt:lpwstr>
  </property>
</Properties>
</file>