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16:15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Краткое резюме основных различий: изменения в показателе эффективности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Схожие структура и форматирование документа</w:t>
      </w:r>
    </w:p>
    <w:p>
      <w:pPr>
        <w:pStyle w:val="ListBullet"/>
      </w:pPr>
      <w:r>
        <w:t>• Общие темы, такие как качество работы и планы на будущее</w:t>
      </w:r>
    </w:p>
    <w:p>
      <w:pPr>
        <w:pStyle w:val="Heading2"/>
      </w:pPr>
      <w:r>
        <w:t>Различия</w:t>
      </w:r>
    </w:p>
    <w:p>
      <w:r>
        <w:t>1. Показатель эффективности изменен с 30% до 3%</w:t>
      </w:r>
    </w:p>
    <w:p>
      <w:pPr>
        <w:pStyle w:val="ListBullet"/>
      </w:pPr>
      <w:r>
        <w:t xml:space="preserve">   Место: Секция 3. Анализ результатов</w:t>
      </w:r>
    </w:p>
    <w:p>
      <w:pPr>
        <w:pStyle w:val="ListBullet"/>
      </w:pPr>
      <w:r>
        <w:t xml:space="preserve">   Важность: high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Обсудить процесс анализа данных, чтобы определить причину изменения показателя эффективности</w:t>
      </w:r>
    </w:p>
    <w:p>
      <w:pPr>
        <w:pStyle w:val="ListBullet"/>
      </w:pPr>
      <w:r>
        <w:t>• Провести более подробное объяснение изменений в показателе эффективности для обеспечения прозрачности и точности</w:t>
      </w:r>
    </w:p>
    <w:p>
      <w:pPr>
        <w:pStyle w:val="ListBullet"/>
      </w:pPr>
      <w:r>
        <w:t>• Обновить планы на будущее в соответствии с новым показателем эффективности</w:t>
      </w:r>
    </w:p>
    <w:p>
      <w:pPr>
        <w:pStyle w:val="Heading2"/>
      </w:pPr>
      <w:r>
        <w:t>Общая оценка</w:t>
      </w:r>
    </w:p>
    <w:p>
      <w:r>
        <w:t>Общая оценка изменений: изменения в показателе эффективности могут требовать объяснения и обновления планов, но не имеют значительного влияния на структуру документа.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