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Анализ тональности: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16:45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тональности документов</w:t>
      </w:r>
    </w:p>
    <w:p>
      <w:pPr>
        <w:pStyle w:val="Heading2"/>
      </w:pPr>
      <w:r>
        <w:t>Общая оценка</w:t>
      </w:r>
    </w:p>
    <w:p>
      <w:r>
        <w:t>Сравнение тональности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