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(v1.0) vs UI тест генерации ключевых моментов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 (v2.1)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UI тест генерации ключевых моментов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19:32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имеют разные цели и содержание, но оба связаны с тестированием системы версионирования документов.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Обе документы имеют разделы «Введение», «Заключение» и описывают работу системы версионирования документов.</w:t>
      </w:r>
    </w:p>
    <w:p>
      <w:pPr>
        <w:pStyle w:val="Heading2"/>
      </w:pPr>
      <w:r>
        <w:t>Различия</w:t>
      </w:r>
    </w:p>
    <w:p>
      <w:r>
        <w:t>1. Цель и содержание документов различны.</w:t>
      </w:r>
    </w:p>
    <w:p>
      <w:pPr>
        <w:pStyle w:val="ListBullet"/>
      </w:pPr>
      <w:r>
        <w:t xml:space="preserve">   Место: Всяя структура документа</w:t>
      </w:r>
    </w:p>
    <w:p>
      <w:pPr>
        <w:pStyle w:val="ListBullet"/>
      </w:pPr>
      <w:r>
        <w:t xml:space="preserve">   Важность: высокий</w:t>
      </w:r>
    </w:p>
    <w:p>
      <w:r>
        <w:t>2. Содержание раздела «Основные разделы» различно.</w:t>
      </w:r>
    </w:p>
    <w:p>
      <w:pPr>
        <w:pStyle w:val="ListBullet"/>
      </w:pPr>
      <w:r>
        <w:t xml:space="preserve">   Место: Раздел 2 документа</w:t>
      </w:r>
    </w:p>
    <w:p>
      <w:pPr>
        <w:pStyle w:val="ListBullet"/>
      </w:pPr>
      <w:r>
        <w:t xml:space="preserve">   Важность: высокий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создать отдельные документы для описания целей и содержания каждого типа тестирования.</w:t>
      </w:r>
    </w:p>
    <w:p>
      <w:pPr>
        <w:pStyle w:val="Heading2"/>
      </w:pPr>
      <w:r>
        <w:t>Общая оценка</w:t>
      </w:r>
    </w:p>
    <w:p>
      <w:r>
        <w:t>Изменения значительны, поскольку документы имеют разные цели и содержание, но оба связаны с тестированием системы версионирования документов.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