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71E" w:rsidRDefault="00B11B8C">
      <w:pPr>
        <w:rPr>
          <w:rFonts w:ascii="Arial" w:hAnsi="Arial"/>
          <w:lang w:val="hy-AM"/>
        </w:rPr>
      </w:pPr>
      <w:bookmarkStart w:id="0" w:name="_Hlk501887988"/>
      <w:bookmarkStart w:id="1" w:name="_GoBack"/>
      <w:r>
        <w:rPr>
          <w:rFonts w:ascii="Arial" w:hAnsi="Arial"/>
          <w:lang w:val="hy-AM"/>
        </w:rPr>
        <w:t xml:space="preserve">Չափելով Հոլլի հաստատունը, կարելի է գտնել լիցկակիրների  </w:t>
      </w:r>
      <w:r w:rsidRPr="00B11B8C">
        <w:rPr>
          <w:rFonts w:ascii="Arial" w:hAnsi="Arial"/>
          <w:color w:val="FF0000"/>
          <w:lang w:val="hy-AM"/>
        </w:rPr>
        <w:t>ռ</w:t>
      </w:r>
      <w:r>
        <w:rPr>
          <w:rFonts w:ascii="Arial" w:hAnsi="Arial"/>
          <w:lang w:val="hy-AM"/>
        </w:rPr>
        <w:t xml:space="preserve"> կոնցենտրացիան։ Իսկ գիտենալով ռ էլեկտրահաղորդականությունը, կարելի է գտնել  ռ արտադրյալը և հետևաբար որոշել ռ կոնցենտրացիան ու ռ շարժունությունն առանձին-առանձին։</w:t>
      </w:r>
    </w:p>
    <w:p w:rsidR="00B11B8C" w:rsidRDefault="00B11B8C">
      <w:pPr>
        <w:rPr>
          <w:rFonts w:ascii="Arial" w:hAnsi="Arial"/>
          <w:lang w:val="hy-AM"/>
        </w:rPr>
      </w:pPr>
      <w:r>
        <w:rPr>
          <w:rFonts w:ascii="Arial" w:hAnsi="Arial"/>
          <w:lang w:val="hy-AM"/>
        </w:rPr>
        <w:t>Նման չափումները իրականում շատ բարդ են, քան այդ կարող է թվալ առաջին հայացքից։ բարդությունների պատճառն այն է,որ Հոլլի երևույթի պարզ տեսությունը հիմնված է դասական էլեկտրոնային տեսության վրա, որը մետաղների դեպքում ունի սահմանափակ կիրառություն։</w:t>
      </w:r>
    </w:p>
    <w:p w:rsidR="00B11B8C" w:rsidRDefault="00B11B8C">
      <w:pPr>
        <w:rPr>
          <w:rFonts w:ascii="Sylfaen" w:hAnsi="Sylfaen"/>
          <w:lang w:val="hy-AM"/>
        </w:rPr>
      </w:pPr>
      <w:r>
        <w:rPr>
          <w:rFonts w:ascii="Arial" w:hAnsi="Arial"/>
          <w:lang w:val="hy-AM"/>
        </w:rPr>
        <w:t xml:space="preserve"> </w:t>
      </w:r>
      <w:r w:rsidR="00141949">
        <w:rPr>
          <w:rFonts w:ascii="Arial" w:hAnsi="Arial"/>
          <w:lang w:val="hy-AM"/>
        </w:rPr>
        <w:t>Դրա հետևանքով մետաղների համար բանաձևը ճիշտ է միայն մոտավորապես։ Ավելին որոշ մետաղների համար դիտվում է Հոլլի երևույթի հակառակ նշան,այսինքը դրական լիցքակիրների շարժմանը համապատասխանող նշան, այն դեպքում, երբ այդ մետաղներում իրականում լիցկակիրներ են հանդիսանում բացասական էլեկտրոնները։ Այս երևույթը բացատրվում է՝ պինդ մարմինների ժամանակակից քվանտային տեսությամբ և կապված է այսպես կոչված դրական խոռոչների գոյության հետ։ Համենայդեպս Հոլլի հաստատունի և էլեկտրահազորդականության չափումները օգնում են գտնել կոն</w:t>
      </w:r>
      <w:r w:rsidR="0022456F">
        <w:rPr>
          <w:rFonts w:ascii="Arial" w:hAnsi="Arial"/>
          <w:lang w:val="hy-AM"/>
        </w:rPr>
        <w:t>ցենտրացիայի և շարժունության մեծությունների կարգը, որն արդեն հնարավորություն տալիս կարևոր եզրակացություններ անել էլեկտրահաղորդականության բնույթի մասին; Մետաղներում Հոլլի հաստատունի արժեքներից որոշված հաղորդականության էլեկտրոնների կոնցենտրացիայի մեծությունը ռ կարգի է և մոտ է ստացվում ատոմների կոնցենտրացիային</w:t>
      </w:r>
    </w:p>
    <w:p w:rsidR="00A85A92" w:rsidRPr="00A85A92" w:rsidRDefault="00A85A92">
      <w:pPr>
        <w:rPr>
          <w:rFonts w:ascii="Sylfaen" w:hAnsi="Sylfaen"/>
          <w:lang w:val="hy-AM"/>
        </w:rPr>
      </w:pP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738"/>
        <w:gridCol w:w="720"/>
        <w:gridCol w:w="810"/>
        <w:gridCol w:w="720"/>
        <w:gridCol w:w="720"/>
        <w:gridCol w:w="645"/>
        <w:gridCol w:w="810"/>
      </w:tblGrid>
      <w:tr w:rsidR="001A583E" w:rsidTr="001A583E">
        <w:tblPrEx>
          <w:tblCellMar>
            <w:top w:w="0" w:type="dxa"/>
            <w:bottom w:w="0" w:type="dxa"/>
          </w:tblCellMar>
        </w:tblPrEx>
        <w:trPr>
          <w:trHeight w:val="899"/>
        </w:trPr>
        <w:tc>
          <w:tcPr>
            <w:tcW w:w="2742" w:type="dxa"/>
          </w:tcPr>
          <w:p w:rsidR="0022456F" w:rsidRDefault="001A583E" w:rsidP="001A583E">
            <w:pPr>
              <w:spacing w:before="240" w:line="276" w:lineRule="auto"/>
              <w:jc w:val="center"/>
              <w:rPr>
                <w:rFonts w:ascii="Arial" w:hAnsi="Arial"/>
                <w:lang w:val="hy-AM"/>
              </w:rPr>
            </w:pPr>
            <w:r>
              <w:rPr>
                <w:rFonts w:ascii="Arial" w:hAnsi="Arial"/>
                <w:lang w:val="hy-AM"/>
              </w:rPr>
              <w:t>Մետաղ</w:t>
            </w:r>
          </w:p>
        </w:tc>
        <w:tc>
          <w:tcPr>
            <w:tcW w:w="738" w:type="dxa"/>
            <w:shd w:val="clear" w:color="auto" w:fill="auto"/>
          </w:tcPr>
          <w:p w:rsidR="0022456F" w:rsidRPr="001A583E" w:rsidRDefault="001A583E" w:rsidP="001A583E">
            <w:pPr>
              <w:spacing w:before="240"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Ag</w:t>
            </w:r>
          </w:p>
        </w:tc>
        <w:tc>
          <w:tcPr>
            <w:tcW w:w="720" w:type="dxa"/>
            <w:shd w:val="clear" w:color="auto" w:fill="auto"/>
          </w:tcPr>
          <w:p w:rsidR="0022456F" w:rsidRPr="001A583E" w:rsidRDefault="001A583E" w:rsidP="001A583E">
            <w:pPr>
              <w:spacing w:before="240"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</w:t>
            </w:r>
          </w:p>
        </w:tc>
        <w:tc>
          <w:tcPr>
            <w:tcW w:w="810" w:type="dxa"/>
            <w:shd w:val="clear" w:color="auto" w:fill="auto"/>
          </w:tcPr>
          <w:p w:rsidR="0022456F" w:rsidRPr="001A583E" w:rsidRDefault="001A583E" w:rsidP="001A583E">
            <w:pPr>
              <w:spacing w:before="240"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</w:t>
            </w:r>
          </w:p>
        </w:tc>
        <w:tc>
          <w:tcPr>
            <w:tcW w:w="720" w:type="dxa"/>
            <w:shd w:val="clear" w:color="auto" w:fill="auto"/>
          </w:tcPr>
          <w:p w:rsidR="0022456F" w:rsidRPr="001A583E" w:rsidRDefault="001A583E" w:rsidP="001A583E">
            <w:pPr>
              <w:spacing w:before="240"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Au</w:t>
            </w:r>
          </w:p>
        </w:tc>
        <w:tc>
          <w:tcPr>
            <w:tcW w:w="720" w:type="dxa"/>
            <w:shd w:val="clear" w:color="auto" w:fill="auto"/>
          </w:tcPr>
          <w:p w:rsidR="0022456F" w:rsidRPr="001A583E" w:rsidRDefault="001A583E" w:rsidP="001A583E">
            <w:pPr>
              <w:spacing w:before="240"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</w:t>
            </w:r>
          </w:p>
        </w:tc>
        <w:tc>
          <w:tcPr>
            <w:tcW w:w="630" w:type="dxa"/>
            <w:shd w:val="clear" w:color="auto" w:fill="auto"/>
          </w:tcPr>
          <w:p w:rsidR="0022456F" w:rsidRPr="001A583E" w:rsidRDefault="001A583E" w:rsidP="001A583E">
            <w:pPr>
              <w:spacing w:before="240"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Li</w:t>
            </w:r>
          </w:p>
        </w:tc>
        <w:tc>
          <w:tcPr>
            <w:tcW w:w="810" w:type="dxa"/>
            <w:shd w:val="clear" w:color="auto" w:fill="auto"/>
          </w:tcPr>
          <w:p w:rsidR="0022456F" w:rsidRPr="001A583E" w:rsidRDefault="001A583E" w:rsidP="001A583E">
            <w:pPr>
              <w:spacing w:before="240"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1A583E" w:rsidTr="001A583E">
        <w:tblPrEx>
          <w:tblCellMar>
            <w:top w:w="0" w:type="dxa"/>
            <w:bottom w:w="0" w:type="dxa"/>
          </w:tblCellMar>
        </w:tblPrEx>
        <w:trPr>
          <w:trHeight w:val="1772"/>
        </w:trPr>
        <w:tc>
          <w:tcPr>
            <w:tcW w:w="2742" w:type="dxa"/>
          </w:tcPr>
          <w:p w:rsidR="0022456F" w:rsidRPr="001A583E" w:rsidRDefault="001A583E" w:rsidP="001A583E">
            <w:pPr>
              <w:spacing w:before="240"/>
              <w:rPr>
                <w:rFonts w:ascii="Arial" w:hAnsi="Arial"/>
                <w:lang w:val="hy-AM"/>
              </w:rPr>
            </w:pPr>
            <w:r>
              <w:rPr>
                <w:rFonts w:ascii="Arial" w:hAnsi="Arial"/>
                <w:lang w:val="hy-AM"/>
              </w:rPr>
              <w:t>Մետաղի մեկ ատոմին համապատասխանող հաղորդականության էլեկտրոնների թիվը</w:t>
            </w:r>
          </w:p>
        </w:tc>
        <w:tc>
          <w:tcPr>
            <w:tcW w:w="738" w:type="dxa"/>
            <w:shd w:val="clear" w:color="auto" w:fill="auto"/>
          </w:tcPr>
          <w:p w:rsidR="0022456F" w:rsidRDefault="001A583E" w:rsidP="001A583E">
            <w:pPr>
              <w:spacing w:before="240"/>
              <w:rPr>
                <w:rFonts w:ascii="Arial" w:hAnsi="Arial"/>
                <w:lang w:val="hy-AM"/>
              </w:rPr>
            </w:pPr>
            <w:r>
              <w:rPr>
                <w:rFonts w:ascii="Arial" w:hAnsi="Arial"/>
                <w:lang w:val="hy-AM"/>
              </w:rPr>
              <w:t>0,75</w:t>
            </w:r>
          </w:p>
        </w:tc>
        <w:tc>
          <w:tcPr>
            <w:tcW w:w="720" w:type="dxa"/>
            <w:shd w:val="clear" w:color="auto" w:fill="auto"/>
          </w:tcPr>
          <w:p w:rsidR="0022456F" w:rsidRDefault="001A583E" w:rsidP="001A583E">
            <w:pPr>
              <w:spacing w:before="240"/>
              <w:rPr>
                <w:rFonts w:ascii="Arial" w:hAnsi="Arial"/>
                <w:lang w:val="hy-AM"/>
              </w:rPr>
            </w:pPr>
            <w:r>
              <w:rPr>
                <w:rFonts w:ascii="Arial" w:hAnsi="Arial"/>
                <w:lang w:val="hy-AM"/>
              </w:rPr>
              <w:t>0,8</w:t>
            </w:r>
          </w:p>
        </w:tc>
        <w:tc>
          <w:tcPr>
            <w:tcW w:w="810" w:type="dxa"/>
            <w:shd w:val="clear" w:color="auto" w:fill="auto"/>
          </w:tcPr>
          <w:p w:rsidR="0022456F" w:rsidRDefault="001A583E" w:rsidP="001A583E">
            <w:pPr>
              <w:spacing w:before="240"/>
              <w:rPr>
                <w:rFonts w:ascii="Arial" w:hAnsi="Arial"/>
                <w:lang w:val="hy-AM"/>
              </w:rPr>
            </w:pPr>
            <w:r>
              <w:rPr>
                <w:rFonts w:ascii="Arial" w:hAnsi="Arial"/>
                <w:lang w:val="hy-AM"/>
              </w:rPr>
              <w:t>2,0</w:t>
            </w:r>
          </w:p>
        </w:tc>
        <w:tc>
          <w:tcPr>
            <w:tcW w:w="720" w:type="dxa"/>
            <w:shd w:val="clear" w:color="auto" w:fill="auto"/>
          </w:tcPr>
          <w:p w:rsidR="0022456F" w:rsidRDefault="001A583E" w:rsidP="001A583E">
            <w:pPr>
              <w:spacing w:before="240"/>
              <w:rPr>
                <w:rFonts w:ascii="Arial" w:hAnsi="Arial"/>
                <w:lang w:val="hy-AM"/>
              </w:rPr>
            </w:pPr>
            <w:r>
              <w:rPr>
                <w:rFonts w:ascii="Arial" w:hAnsi="Arial"/>
                <w:lang w:val="hy-AM"/>
              </w:rPr>
              <w:t>0,9</w:t>
            </w:r>
          </w:p>
        </w:tc>
        <w:tc>
          <w:tcPr>
            <w:tcW w:w="720" w:type="dxa"/>
            <w:shd w:val="clear" w:color="auto" w:fill="auto"/>
          </w:tcPr>
          <w:p w:rsidR="0022456F" w:rsidRDefault="001A583E" w:rsidP="001A583E">
            <w:pPr>
              <w:spacing w:before="240"/>
              <w:rPr>
                <w:rFonts w:ascii="Arial" w:hAnsi="Arial"/>
                <w:lang w:val="hy-AM"/>
              </w:rPr>
            </w:pPr>
            <w:r>
              <w:rPr>
                <w:rFonts w:ascii="Arial" w:hAnsi="Arial"/>
                <w:lang w:val="hy-AM"/>
              </w:rPr>
              <w:t>2,7</w:t>
            </w:r>
          </w:p>
        </w:tc>
        <w:tc>
          <w:tcPr>
            <w:tcW w:w="630" w:type="dxa"/>
            <w:shd w:val="clear" w:color="auto" w:fill="auto"/>
          </w:tcPr>
          <w:p w:rsidR="0022456F" w:rsidRDefault="001A583E" w:rsidP="001A583E">
            <w:pPr>
              <w:spacing w:before="240"/>
              <w:rPr>
                <w:rFonts w:ascii="Arial" w:hAnsi="Arial"/>
                <w:lang w:val="hy-AM"/>
              </w:rPr>
            </w:pPr>
            <w:r>
              <w:rPr>
                <w:rFonts w:ascii="Arial" w:hAnsi="Arial"/>
                <w:lang w:val="hy-AM"/>
              </w:rPr>
              <w:t>0,53</w:t>
            </w:r>
          </w:p>
        </w:tc>
        <w:tc>
          <w:tcPr>
            <w:tcW w:w="810" w:type="dxa"/>
            <w:shd w:val="clear" w:color="auto" w:fill="auto"/>
          </w:tcPr>
          <w:p w:rsidR="0022456F" w:rsidRDefault="001A583E" w:rsidP="001A583E">
            <w:pPr>
              <w:spacing w:before="240"/>
              <w:rPr>
                <w:rFonts w:ascii="Arial" w:hAnsi="Arial"/>
                <w:lang w:val="hy-AM"/>
              </w:rPr>
            </w:pPr>
            <w:r>
              <w:rPr>
                <w:rFonts w:ascii="Arial" w:hAnsi="Arial"/>
                <w:lang w:val="hy-AM"/>
              </w:rPr>
              <w:t>0,65</w:t>
            </w:r>
          </w:p>
        </w:tc>
      </w:tr>
    </w:tbl>
    <w:p w:rsidR="0022456F" w:rsidRDefault="0022456F">
      <w:pPr>
        <w:rPr>
          <w:rFonts w:ascii="Sylfaen" w:hAnsi="Sylfaen"/>
          <w:lang w:val="hy-AM"/>
        </w:rPr>
      </w:pPr>
    </w:p>
    <w:p w:rsidR="00A85A92" w:rsidRDefault="00A85A92">
      <w:pPr>
        <w:rPr>
          <w:rFonts w:ascii="Sylfaen" w:hAnsi="Sylfaen"/>
          <w:lang w:val="hy-AM"/>
        </w:rPr>
      </w:pPr>
    </w:p>
    <w:p w:rsidR="001A583E" w:rsidRDefault="001A583E">
      <w:pPr>
        <w:rPr>
          <w:rFonts w:ascii="Sylfaen" w:hAnsi="Sylfaen"/>
          <w:lang w:val="hy-AM"/>
        </w:rPr>
      </w:pPr>
      <w:r w:rsidRPr="001A583E">
        <w:rPr>
          <w:rFonts w:ascii="Arial" w:hAnsi="Arial"/>
          <w:lang w:val="hy-AM"/>
        </w:rPr>
        <w:t>Հակառակ մետաղներում</w:t>
      </w:r>
      <w:r>
        <w:rPr>
          <w:rFonts w:ascii="Sylfaen" w:hAnsi="Sylfaen"/>
          <w:lang w:val="hy-AM"/>
        </w:rPr>
        <w:t xml:space="preserve"> </w:t>
      </w:r>
      <w:r w:rsidRPr="00A85A92">
        <w:rPr>
          <w:rFonts w:ascii="Arial" w:hAnsi="Arial"/>
          <w:lang w:val="hy-AM"/>
        </w:rPr>
        <w:t>էլեկտրոնների շարժունությունները շատ փոքր են։ Արտահայտելով այն ռ  միավորներով շարժունությունների համար ստանում ենք ռ կարգի մեծություններ։</w:t>
      </w:r>
    </w:p>
    <w:p w:rsidR="00A85A92" w:rsidRDefault="00A85A92">
      <w:pPr>
        <w:rPr>
          <w:rFonts w:ascii="Sylfaen" w:hAnsi="Sylfaen"/>
          <w:lang w:val="hy-AM"/>
        </w:rPr>
      </w:pPr>
    </w:p>
    <w:p w:rsidR="00A85A92" w:rsidRDefault="00A85A92">
      <w:pPr>
        <w:rPr>
          <w:rFonts w:ascii="Sylfaen" w:hAnsi="Sylfaen"/>
          <w:lang w:val="hy-AM"/>
        </w:rPr>
      </w:pPr>
    </w:p>
    <w:p w:rsidR="00A85A92" w:rsidRDefault="00A85A92">
      <w:pPr>
        <w:rPr>
          <w:rFonts w:ascii="Sylfaen" w:hAnsi="Sylfaen"/>
          <w:lang w:val="hy-AM"/>
        </w:rPr>
      </w:pPr>
    </w:p>
    <w:p w:rsidR="00A85A92" w:rsidRPr="00A85A92" w:rsidRDefault="00A85A92">
      <w:pPr>
        <w:rPr>
          <w:rFonts w:ascii="Sylfaen" w:hAnsi="Sylfaen"/>
          <w:lang w:val="hy-AM"/>
        </w:rPr>
      </w:pPr>
    </w:p>
    <w:tbl>
      <w:tblPr>
        <w:tblW w:w="9525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738"/>
        <w:gridCol w:w="720"/>
        <w:gridCol w:w="810"/>
        <w:gridCol w:w="720"/>
        <w:gridCol w:w="720"/>
        <w:gridCol w:w="645"/>
        <w:gridCol w:w="810"/>
        <w:gridCol w:w="810"/>
        <w:gridCol w:w="810"/>
      </w:tblGrid>
      <w:tr w:rsidR="00A85A92" w:rsidTr="00A85A92">
        <w:tblPrEx>
          <w:tblCellMar>
            <w:top w:w="0" w:type="dxa"/>
            <w:bottom w:w="0" w:type="dxa"/>
          </w:tblCellMar>
        </w:tblPrEx>
        <w:trPr>
          <w:trHeight w:val="899"/>
        </w:trPr>
        <w:tc>
          <w:tcPr>
            <w:tcW w:w="2742" w:type="dxa"/>
          </w:tcPr>
          <w:p w:rsidR="00A85A92" w:rsidRDefault="00A85A92" w:rsidP="00A85A92">
            <w:pPr>
              <w:spacing w:before="240" w:line="276" w:lineRule="auto"/>
              <w:jc w:val="center"/>
              <w:rPr>
                <w:rFonts w:ascii="Arial" w:hAnsi="Arial"/>
                <w:lang w:val="hy-AM"/>
              </w:rPr>
            </w:pPr>
            <w:r>
              <w:rPr>
                <w:rFonts w:ascii="Arial" w:hAnsi="Arial"/>
                <w:lang w:val="hy-AM"/>
              </w:rPr>
              <w:lastRenderedPageBreak/>
              <w:t>Մետաղ</w:t>
            </w:r>
          </w:p>
        </w:tc>
        <w:tc>
          <w:tcPr>
            <w:tcW w:w="738" w:type="dxa"/>
            <w:shd w:val="clear" w:color="auto" w:fill="auto"/>
          </w:tcPr>
          <w:p w:rsidR="00A85A92" w:rsidRPr="001A583E" w:rsidRDefault="00A85A92" w:rsidP="00A85A92">
            <w:pPr>
              <w:spacing w:before="240"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Ag</w:t>
            </w:r>
          </w:p>
        </w:tc>
        <w:tc>
          <w:tcPr>
            <w:tcW w:w="720" w:type="dxa"/>
            <w:shd w:val="clear" w:color="auto" w:fill="auto"/>
          </w:tcPr>
          <w:p w:rsidR="00A85A92" w:rsidRPr="001A583E" w:rsidRDefault="00A85A92" w:rsidP="00A85A92">
            <w:pPr>
              <w:spacing w:before="240"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  <w:tc>
          <w:tcPr>
            <w:tcW w:w="810" w:type="dxa"/>
            <w:shd w:val="clear" w:color="auto" w:fill="auto"/>
          </w:tcPr>
          <w:p w:rsidR="00A85A92" w:rsidRPr="00A85A92" w:rsidRDefault="00A85A92" w:rsidP="00A85A92">
            <w:pPr>
              <w:spacing w:before="240" w:line="276" w:lineRule="auto"/>
              <w:jc w:val="center"/>
              <w:rPr>
                <w:rFonts w:ascii="Sylfaen" w:hAnsi="Sylfaen"/>
                <w:lang w:val="hy-AM"/>
              </w:rPr>
            </w:pPr>
            <w:r>
              <w:rPr>
                <w:rFonts w:ascii="Arial" w:hAnsi="Arial"/>
              </w:rPr>
              <w:t>Be</w:t>
            </w:r>
          </w:p>
        </w:tc>
        <w:tc>
          <w:tcPr>
            <w:tcW w:w="720" w:type="dxa"/>
            <w:shd w:val="clear" w:color="auto" w:fill="auto"/>
          </w:tcPr>
          <w:p w:rsidR="00A85A92" w:rsidRPr="001A583E" w:rsidRDefault="00A85A92" w:rsidP="00A85A92">
            <w:pPr>
              <w:spacing w:before="240"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</w:t>
            </w:r>
          </w:p>
        </w:tc>
        <w:tc>
          <w:tcPr>
            <w:tcW w:w="720" w:type="dxa"/>
            <w:shd w:val="clear" w:color="auto" w:fill="auto"/>
          </w:tcPr>
          <w:p w:rsidR="00A85A92" w:rsidRPr="001A583E" w:rsidRDefault="00A85A92" w:rsidP="00A85A92">
            <w:pPr>
              <w:spacing w:before="240"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Au</w:t>
            </w:r>
          </w:p>
        </w:tc>
        <w:tc>
          <w:tcPr>
            <w:tcW w:w="645" w:type="dxa"/>
            <w:shd w:val="clear" w:color="auto" w:fill="auto"/>
          </w:tcPr>
          <w:p w:rsidR="00A85A92" w:rsidRPr="001A583E" w:rsidRDefault="00A85A92" w:rsidP="00A85A92">
            <w:pPr>
              <w:spacing w:before="240"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Li</w:t>
            </w:r>
          </w:p>
        </w:tc>
        <w:tc>
          <w:tcPr>
            <w:tcW w:w="810" w:type="dxa"/>
            <w:shd w:val="clear" w:color="auto" w:fill="auto"/>
          </w:tcPr>
          <w:p w:rsidR="00A85A92" w:rsidRPr="001A583E" w:rsidRDefault="00A85A92" w:rsidP="00A85A92">
            <w:pPr>
              <w:spacing w:before="240"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</w:t>
            </w:r>
          </w:p>
        </w:tc>
        <w:tc>
          <w:tcPr>
            <w:tcW w:w="810" w:type="dxa"/>
          </w:tcPr>
          <w:p w:rsidR="00A85A92" w:rsidRPr="001A583E" w:rsidRDefault="00A85A92" w:rsidP="00A85A92">
            <w:pPr>
              <w:spacing w:before="240"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Cl</w:t>
            </w:r>
          </w:p>
        </w:tc>
        <w:tc>
          <w:tcPr>
            <w:tcW w:w="810" w:type="dxa"/>
          </w:tcPr>
          <w:p w:rsidR="00A85A92" w:rsidRPr="001A583E" w:rsidRDefault="00A85A92" w:rsidP="00A85A92">
            <w:pPr>
              <w:spacing w:before="240"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Zn</w:t>
            </w:r>
          </w:p>
        </w:tc>
      </w:tr>
      <w:tr w:rsidR="00A85A92" w:rsidTr="00A85A92">
        <w:tblPrEx>
          <w:tblCellMar>
            <w:top w:w="0" w:type="dxa"/>
            <w:bottom w:w="0" w:type="dxa"/>
          </w:tblCellMar>
        </w:tblPrEx>
        <w:trPr>
          <w:trHeight w:val="1772"/>
        </w:trPr>
        <w:tc>
          <w:tcPr>
            <w:tcW w:w="2742" w:type="dxa"/>
          </w:tcPr>
          <w:p w:rsidR="00A85A92" w:rsidRPr="001A583E" w:rsidRDefault="00A85A92" w:rsidP="00A85A92">
            <w:pPr>
              <w:spacing w:before="240"/>
              <w:rPr>
                <w:rFonts w:ascii="Arial" w:hAnsi="Arial"/>
                <w:lang w:val="hy-AM"/>
              </w:rPr>
            </w:pPr>
          </w:p>
        </w:tc>
        <w:tc>
          <w:tcPr>
            <w:tcW w:w="738" w:type="dxa"/>
            <w:shd w:val="clear" w:color="auto" w:fill="auto"/>
          </w:tcPr>
          <w:p w:rsidR="00A85A92" w:rsidRPr="00A85A92" w:rsidRDefault="00A85A92" w:rsidP="00A85A92">
            <w:pPr>
              <w:spacing w:before="240"/>
              <w:rPr>
                <w:rFonts w:ascii="Arial" w:hAnsi="Arial"/>
              </w:rPr>
            </w:pPr>
            <w:r>
              <w:rPr>
                <w:rFonts w:ascii="Arial" w:hAnsi="Arial"/>
              </w:rPr>
              <w:t>56</w:t>
            </w:r>
          </w:p>
        </w:tc>
        <w:tc>
          <w:tcPr>
            <w:tcW w:w="720" w:type="dxa"/>
            <w:shd w:val="clear" w:color="auto" w:fill="auto"/>
          </w:tcPr>
          <w:p w:rsidR="00A85A92" w:rsidRPr="00A85A92" w:rsidRDefault="00A85A92" w:rsidP="00A85A92">
            <w:pPr>
              <w:spacing w:before="240"/>
              <w:rPr>
                <w:rFonts w:ascii="Arial" w:hAnsi="Arial"/>
              </w:rPr>
            </w:pPr>
            <w:r>
              <w:rPr>
                <w:rFonts w:ascii="Arial" w:hAnsi="Arial"/>
              </w:rPr>
              <w:t>48</w:t>
            </w:r>
          </w:p>
        </w:tc>
        <w:tc>
          <w:tcPr>
            <w:tcW w:w="810" w:type="dxa"/>
            <w:shd w:val="clear" w:color="auto" w:fill="auto"/>
          </w:tcPr>
          <w:p w:rsidR="00A85A92" w:rsidRPr="00A85A92" w:rsidRDefault="00A85A92" w:rsidP="00A85A92">
            <w:pPr>
              <w:spacing w:before="240"/>
              <w:rPr>
                <w:rFonts w:ascii="Arial" w:hAnsi="Arial"/>
              </w:rPr>
            </w:pPr>
            <w:r>
              <w:rPr>
                <w:rFonts w:ascii="Arial" w:hAnsi="Arial"/>
              </w:rPr>
              <w:t>44</w:t>
            </w:r>
          </w:p>
        </w:tc>
        <w:tc>
          <w:tcPr>
            <w:tcW w:w="720" w:type="dxa"/>
            <w:shd w:val="clear" w:color="auto" w:fill="auto"/>
          </w:tcPr>
          <w:p w:rsidR="00A85A92" w:rsidRPr="00A85A92" w:rsidRDefault="00A85A92" w:rsidP="00A85A92">
            <w:pPr>
              <w:spacing w:before="240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  <w:tc>
          <w:tcPr>
            <w:tcW w:w="720" w:type="dxa"/>
            <w:shd w:val="clear" w:color="auto" w:fill="auto"/>
          </w:tcPr>
          <w:p w:rsidR="00A85A92" w:rsidRPr="00A85A92" w:rsidRDefault="00A85A92" w:rsidP="00A85A92">
            <w:pPr>
              <w:spacing w:before="240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645" w:type="dxa"/>
            <w:shd w:val="clear" w:color="auto" w:fill="auto"/>
          </w:tcPr>
          <w:p w:rsidR="00A85A92" w:rsidRPr="00A85A92" w:rsidRDefault="00A85A92" w:rsidP="00A85A92">
            <w:pPr>
              <w:spacing w:before="240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810" w:type="dxa"/>
            <w:shd w:val="clear" w:color="auto" w:fill="auto"/>
          </w:tcPr>
          <w:p w:rsidR="00A85A92" w:rsidRPr="00A85A92" w:rsidRDefault="00A85A92" w:rsidP="00A85A92">
            <w:pPr>
              <w:spacing w:before="24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810" w:type="dxa"/>
          </w:tcPr>
          <w:p w:rsidR="00A85A92" w:rsidRPr="00A85A92" w:rsidRDefault="00A85A92" w:rsidP="00A85A92">
            <w:pPr>
              <w:spacing w:before="240"/>
              <w:rPr>
                <w:rFonts w:ascii="Arial" w:hAnsi="Arial"/>
              </w:rPr>
            </w:pPr>
            <w:r>
              <w:rPr>
                <w:rFonts w:ascii="Arial" w:hAnsi="Arial"/>
              </w:rPr>
              <w:t>7.9</w:t>
            </w:r>
          </w:p>
        </w:tc>
        <w:tc>
          <w:tcPr>
            <w:tcW w:w="810" w:type="dxa"/>
          </w:tcPr>
          <w:p w:rsidR="00A85A92" w:rsidRPr="00A85A92" w:rsidRDefault="00A85A92" w:rsidP="00A85A92">
            <w:pPr>
              <w:spacing w:before="240"/>
              <w:rPr>
                <w:rFonts w:ascii="Arial" w:hAnsi="Arial"/>
              </w:rPr>
            </w:pPr>
            <w:r>
              <w:rPr>
                <w:rFonts w:ascii="Arial" w:hAnsi="Arial"/>
              </w:rPr>
              <w:t>5.8</w:t>
            </w:r>
          </w:p>
        </w:tc>
      </w:tr>
      <w:bookmarkEnd w:id="0"/>
      <w:bookmarkEnd w:id="1"/>
    </w:tbl>
    <w:p w:rsidR="001A583E" w:rsidRPr="001A583E" w:rsidRDefault="001A583E">
      <w:pPr>
        <w:rPr>
          <w:rFonts w:ascii="Sylfaen" w:hAnsi="Sylfaen"/>
          <w:lang w:val="hy-AM"/>
        </w:rPr>
      </w:pPr>
    </w:p>
    <w:sectPr w:rsidR="001A583E" w:rsidRPr="001A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6E"/>
    <w:rsid w:val="00141949"/>
    <w:rsid w:val="001A583E"/>
    <w:rsid w:val="0022456F"/>
    <w:rsid w:val="00513A6E"/>
    <w:rsid w:val="00A85A92"/>
    <w:rsid w:val="00B11B8C"/>
    <w:rsid w:val="00C7371E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BED3"/>
  <w15:chartTrackingRefBased/>
  <w15:docId w15:val="{261AF0FB-1F14-4EE2-9CF6-B9ED2989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09302-7EAA-4E34-80B6-8D3162D42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Harutyunyan</dc:creator>
  <cp:keywords/>
  <dc:description/>
  <cp:lastModifiedBy>Davit Harutyunyan</cp:lastModifiedBy>
  <cp:revision>2</cp:revision>
  <dcterms:created xsi:type="dcterms:W3CDTF">2017-12-24T09:21:00Z</dcterms:created>
  <dcterms:modified xsi:type="dcterms:W3CDTF">2017-12-24T10:18:00Z</dcterms:modified>
</cp:coreProperties>
</file>