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44"/>
          <w:szCs w:val="44"/>
        </w:rPr>
        <w:t xml:space="preserve">FINANCIAL MODEL REVIEW</w:t>
      </w:r>
    </w:p>
    <w:p>
      <w:pPr>
        <w:spacing w:after="100"/>
        <w:jc w:val="center"/>
      </w:pPr>
      <w:r>
        <w:rPr>
          <w:rFonts w:ascii="Arial" w:cs="Arial" w:eastAsia="Arial" w:hAnsi="Arial"/>
          <w:color w:val="555555"/>
          <w:sz w:val="28"/>
          <w:szCs w:val="28"/>
        </w:rPr>
        <w:t xml:space="preserve">Tobe Energy — Seed Round Financial Model v8.5.2</w:t>
      </w:r>
    </w:p>
    <w:p>
      <w:pPr>
        <w:spacing w:after="400"/>
        <w:jc w:val="center"/>
      </w:pPr>
      <w:r>
        <w:rPr>
          <w:rFonts w:ascii="Arial" w:cs="Arial" w:eastAsia="Arial" w:hAnsi="Arial"/>
          <w:color w:val="888888"/>
          <w:sz w:val="22"/>
          <w:szCs w:val="22"/>
        </w:rPr>
        <w:t xml:space="preserve">March 2026</w:t>
      </w:r>
    </w:p>
    <w:p>
      <w:pPr>
        <w:pBdr>
          <w:top w:val="single" w:color="CCCCCC" w:sz="2" w:space="8"/>
        </w:pBdr>
        <w:spacing w:after="100"/>
        <w:jc w:val="center"/>
      </w:pPr>
      <w:r>
        <w:rPr>
          <w:rFonts w:ascii="Arial" w:cs="Arial" w:eastAsia="Arial" w:hAnsi="Arial"/>
          <w:color w:val="555555"/>
          <w:sz w:val="20"/>
          <w:szCs w:val="20"/>
        </w:rPr>
        <w:t xml:space="preserve">Prepared for: Colby Payne, CEO &amp; Founder</w:t>
      </w:r>
    </w:p>
    <w:p>
      <w:pPr>
        <w:spacing w:after="600"/>
        <w:jc w:val="center"/>
      </w:pPr>
      <w:r>
        <w:rPr>
          <w:rFonts w:ascii="Arial" w:cs="Arial" w:eastAsia="Arial" w:hAnsi="Arial"/>
          <w:color w:val="555555"/>
          <w:sz w:val="20"/>
          <w:szCs w:val="20"/>
        </w:rPr>
        <w:t xml:space="preserve">Investor-Grade Diligence Review — 10 Dimensions</w:t>
      </w:r>
    </w:p>
    <w:p>
      <w:pPr>
        <w:jc w:val="center"/>
      </w:pPr>
      <w:r>
        <w:rPr>
          <w:rFonts w:ascii="Arial" w:cs="Arial" w:eastAsia="Arial" w:hAnsi="Arial"/>
          <w:b/>
          <w:bCs/>
          <w:color w:val="CC0000"/>
          <w:sz w:val="18"/>
          <w:szCs w:val="18"/>
        </w:rPr>
        <w:t xml:space="preserve">CONFIDENTIAL</w:t>
      </w:r>
    </w:p>
    <w:p>
      <w:r>
        <w:br w:type="page"/>
      </w:r>
    </w:p>
    <w:p>
      <w:pPr>
        <w:pStyle w:val="Heading1"/>
        <w:spacing w:after="200" w:before="360"/>
      </w:pPr>
      <w:r>
        <w:rPr>
          <w:rFonts w:ascii="Arial" w:cs="Arial" w:eastAsia="Arial" w:hAnsi="Arial"/>
          <w:b/>
          <w:bCs/>
          <w:color w:val="1a1a2e"/>
          <w:sz w:val="32"/>
          <w:szCs w:val="32"/>
        </w:rPr>
        <w:t xml:space="preserve">A. Executive Summary</w:t>
      </w:r>
    </w:p>
    <w:p>
      <w:pPr>
        <w:spacing w:after="120"/>
      </w:pPr>
      <w:r>
        <w:rPr>
          <w:rFonts w:ascii="Arial" w:cs="Arial" w:eastAsia="Arial" w:hAnsi="Arial"/>
          <w:b w:val="false"/>
          <w:bCs w:val="false"/>
          <w:i w:val="false"/>
          <w:iCs w:val="false"/>
          <w:color w:val="333333"/>
          <w:sz w:val="20"/>
          <w:szCs w:val="20"/>
        </w:rPr>
        <w:t xml:space="preserve">This is an exceptionally well-constructed seed-stage financial model. The 84-month, monthly-granularity engine with 15,400+ formulas, a centralized Base Case Inputs tab, integrated balance sheet with 84/84 monthly balance checks passing, depreciation cross-checks, and a functioning error dashboard puts it in the top 5% of seed models I have reviewed. The architecture reflects serious financial modeling discipline and genuine engineering rigor.</w:t>
      </w:r>
    </w:p>
    <w:p>
      <w:pPr>
        <w:spacing w:after="120"/>
      </w:pPr>
      <w:r>
        <w:rPr>
          <w:rFonts w:ascii="Arial" w:cs="Arial" w:eastAsia="Arial" w:hAnsi="Arial"/>
          <w:b w:val="false"/>
          <w:bCs w:val="false"/>
          <w:i w:val="false"/>
          <w:iCs w:val="false"/>
          <w:color w:val="333333"/>
          <w:sz w:val="20"/>
          <w:szCs w:val="20"/>
        </w:rPr>
        <w:t xml:space="preserve">That said, the model tells a story that requires near-perfect execution across multiple simultaneous fronts: technology commercialization, facility construction, equipment manufacturing scale-up, regulatory qualification, and serial fundraising. Several core assumptions are aggressive enough that an experienced investor will immediately probe them, and a few structural issues could materially change the economic narrative if challenged successfully.</w:t>
      </w:r>
    </w:p>
    <w:p>
      <w:pPr>
        <w:pStyle w:val="Heading3"/>
        <w:spacing w:after="120" w:before="200"/>
      </w:pPr>
      <w:r>
        <w:rPr>
          <w:rFonts w:ascii="Arial" w:cs="Arial" w:eastAsia="Arial" w:hAnsi="Arial"/>
          <w:b/>
          <w:bCs/>
          <w:color w:val="2d3436"/>
          <w:sz w:val="22"/>
          <w:szCs w:val="22"/>
        </w:rPr>
        <w:t xml:space="preserve">Biggest Strengths</w:t>
      </w:r>
    </w:p>
    <w:p>
      <w:pPr>
        <w:pStyle w:val="ListParagraph"/>
        <w:numPr>
          <w:ilvl w:val="0"/>
          <w:numId w:val="2"/>
        </w:numPr>
        <w:spacing w:after="80"/>
      </w:pPr>
      <w:r>
        <w:rPr>
          <w:rFonts w:ascii="Arial" w:cs="Arial" w:eastAsia="Arial" w:hAnsi="Arial"/>
          <w:color w:val="333333"/>
          <w:sz w:val="20"/>
          <w:szCs w:val="20"/>
        </w:rPr>
        <w:t xml:space="preserve">Model architecture is genuinely best-in-class for seed stage: single source of truth, formula-driven, centralized inputs, monthly granularity, integrated three-statement model with balance check.</w:t>
      </w:r>
    </w:p>
    <w:p>
      <w:pPr>
        <w:pStyle w:val="ListParagraph"/>
        <w:numPr>
          <w:ilvl w:val="0"/>
          <w:numId w:val="2"/>
        </w:numPr>
        <w:spacing w:after="80"/>
      </w:pPr>
      <w:r>
        <w:rPr>
          <w:rFonts w:ascii="Arial" w:cs="Arial" w:eastAsia="Arial" w:hAnsi="Arial"/>
          <w:color w:val="333333"/>
          <w:sz w:val="20"/>
          <w:szCs w:val="20"/>
        </w:rPr>
        <w:t xml:space="preserve">Learning curve analysis and cost-down decomposition are unusually detailed and credible. Materials inflation is honestly modeled (most startups ignore this). Wright’s Law application is conservative at 85%.</w:t>
      </w:r>
    </w:p>
    <w:p>
      <w:pPr>
        <w:pStyle w:val="ListParagraph"/>
        <w:numPr>
          <w:ilvl w:val="0"/>
          <w:numId w:val="2"/>
        </w:numPr>
        <w:spacing w:after="80"/>
      </w:pPr>
      <w:r>
        <w:rPr>
          <w:rFonts w:ascii="Arial" w:cs="Arial" w:eastAsia="Arial" w:hAnsi="Arial"/>
          <w:color w:val="333333"/>
          <w:sz w:val="20"/>
          <w:szCs w:val="20"/>
        </w:rPr>
        <w:t xml:space="preserve">Three-engine revenue model (H₂ production + equipment sales + services) provides genuine diversification and multiple paths to value.</w:t>
      </w:r>
    </w:p>
    <w:p>
      <w:pPr>
        <w:pStyle w:val="ListParagraph"/>
        <w:numPr>
          <w:ilvl w:val="0"/>
          <w:numId w:val="2"/>
        </w:numPr>
        <w:spacing w:after="80"/>
      </w:pPr>
      <w:r>
        <w:rPr>
          <w:rFonts w:ascii="Arial" w:cs="Arial" w:eastAsia="Arial" w:hAnsi="Arial"/>
          <w:color w:val="333333"/>
          <w:sz w:val="20"/>
          <w:szCs w:val="20"/>
        </w:rPr>
        <w:t xml:space="preserve">45V PTC toggle, sensitivity tables across price/ramp/deployment dimensions, and detailed Use of Funds show investor-awareness.</w:t>
      </w:r>
    </w:p>
    <w:p>
      <w:pPr>
        <w:pStyle w:val="ListParagraph"/>
        <w:numPr>
          <w:ilvl w:val="0"/>
          <w:numId w:val="2"/>
        </w:numPr>
        <w:spacing w:after="80"/>
      </w:pPr>
      <w:r>
        <w:rPr>
          <w:rFonts w:ascii="Arial" w:cs="Arial" w:eastAsia="Arial" w:hAnsi="Arial"/>
          <w:color w:val="333333"/>
          <w:sz w:val="20"/>
          <w:szCs w:val="20"/>
        </w:rPr>
        <w:t xml:space="preserve">Self-auditing infrastructure (Error Dashboard, Text Audit, T-2500 Gap Register, Notes with known limitations) demonstrates intellectual honesty.</w:t>
      </w:r>
    </w:p>
    <w:p>
      <w:pPr>
        <w:pStyle w:val="Heading3"/>
        <w:spacing w:after="120" w:before="200"/>
      </w:pPr>
      <w:r>
        <w:rPr>
          <w:rFonts w:ascii="Arial" w:cs="Arial" w:eastAsia="Arial" w:hAnsi="Arial"/>
          <w:b/>
          <w:bCs/>
          <w:color w:val="2d3436"/>
          <w:sz w:val="22"/>
          <w:szCs w:val="22"/>
        </w:rPr>
        <w:t xml:space="preserve">Biggest Diligence Concerns</w:t>
      </w:r>
    </w:p>
    <w:p>
      <w:pPr>
        <w:pStyle w:val="ListParagraph"/>
        <w:numPr>
          <w:ilvl w:val="0"/>
          <w:numId w:val="2"/>
        </w:numPr>
        <w:spacing w:after="80"/>
      </w:pPr>
      <w:r>
        <w:rPr>
          <w:rFonts w:ascii="Arial" w:cs="Arial" w:eastAsia="Arial" w:hAnsi="Arial"/>
          <w:color w:val="333333"/>
          <w:sz w:val="20"/>
          <w:szCs w:val="20"/>
        </w:rPr>
        <w:t xml:space="preserve">$25/kg hydrogen sale price is the single most consequential assumption in the model and is aggressive for sustained, scaled volumes. The model’s entire margin structure depends on maintaining specialty/small-volume pricing ($15–$36/kg) while scaling to 10.8M kg/yr across 12 facilities, which represents a fundamental volume-price tension.</w:t>
      </w:r>
    </w:p>
    <w:p>
      <w:pPr>
        <w:pStyle w:val="ListParagraph"/>
        <w:numPr>
          <w:ilvl w:val="0"/>
          <w:numId w:val="2"/>
        </w:numPr>
        <w:spacing w:after="80"/>
      </w:pPr>
      <w:r>
        <w:rPr>
          <w:rFonts w:ascii="Arial" w:cs="Arial" w:eastAsia="Arial" w:hAnsi="Arial"/>
          <w:color w:val="333333"/>
          <w:sz w:val="20"/>
          <w:szCs w:val="20"/>
        </w:rPr>
        <w:t xml:space="preserve">42 kWh/kg system efficiency claim (“92% system efficiency”) is lab-validated at stack level only. No commercial system has demonstrated this. The gap between stack and system performance is typically 15–25%, which would move kWh/kg to 48–53 and fundamentally change unit economics.</w:t>
      </w:r>
    </w:p>
    <w:p>
      <w:pPr>
        <w:pStyle w:val="ListParagraph"/>
        <w:numPr>
          <w:ilvl w:val="0"/>
          <w:numId w:val="2"/>
        </w:numPr>
        <w:spacing w:after="80"/>
      </w:pPr>
      <w:r>
        <w:rPr>
          <w:rFonts w:ascii="Arial" w:cs="Arial" w:eastAsia="Arial" w:hAnsi="Arial"/>
          <w:color w:val="333333"/>
          <w:sz w:val="20"/>
          <w:szCs w:val="20"/>
        </w:rPr>
        <w:t xml:space="preserve">Revenue reaches $467M by FY7 from a standing start with pre-revenue technology — this is a ~1000x scale-up in 7 years requiring flawless serial execution across fundraising, permitting, construction, commissioning, manufacturing, and sales.</w:t>
      </w:r>
    </w:p>
    <w:p>
      <w:pPr>
        <w:pStyle w:val="ListParagraph"/>
        <w:numPr>
          <w:ilvl w:val="0"/>
          <w:numId w:val="2"/>
        </w:numPr>
        <w:spacing w:after="80"/>
      </w:pPr>
      <w:r>
        <w:rPr>
          <w:rFonts w:ascii="Arial" w:cs="Arial" w:eastAsia="Arial" w:hAnsi="Arial"/>
          <w:color w:val="333333"/>
          <w:sz w:val="20"/>
          <w:szCs w:val="20"/>
        </w:rPr>
        <w:t xml:space="preserve">The model is functionally deterministic: there is no probabilistic scenario engine, no Monte Carlo, no distribution around key inputs. Every path shown is a single point estimate.</w:t>
      </w:r>
    </w:p>
    <w:p>
      <w:r>
        <w:br w:type="page"/>
      </w:r>
    </w:p>
    <w:p>
      <w:pPr>
        <w:pStyle w:val="Heading1"/>
        <w:spacing w:after="200" w:before="360"/>
      </w:pPr>
      <w:r>
        <w:rPr>
          <w:rFonts w:ascii="Arial" w:cs="Arial" w:eastAsia="Arial" w:hAnsi="Arial"/>
          <w:b/>
          <w:bCs/>
          <w:color w:val="1a1a2e"/>
          <w:sz w:val="32"/>
          <w:szCs w:val="32"/>
        </w:rPr>
        <w:t xml:space="preserve">B. Red Flags</w:t>
      </w:r>
    </w:p>
    <w:p>
      <w:pPr>
        <w:spacing w:after="120"/>
      </w:pPr>
      <w:r>
        <w:rPr>
          <w:rFonts w:ascii="Arial" w:cs="Arial" w:eastAsia="Arial" w:hAnsi="Arial"/>
          <w:b w:val="false"/>
          <w:bCs w:val="false"/>
          <w:i/>
          <w:iCs/>
          <w:color w:val="333333"/>
          <w:sz w:val="20"/>
          <w:szCs w:val="20"/>
        </w:rPr>
        <w:t xml:space="preserve">Issues that could materially change the conclusions of the model if they prove wrong or are challenged in diligence.</w:t>
      </w:r>
    </w:p>
    <w:p>
      <w:pPr>
        <w:pStyle w:val="ListParagraph"/>
        <w:numPr>
          <w:ilvl w:val="0"/>
          <w:numId w:val="3"/>
        </w:numPr>
        <w:spacing w:after="60"/>
      </w:pPr>
      <w:r>
        <w:rPr>
          <w:rFonts w:ascii="Arial" w:cs="Arial" w:eastAsia="Arial" w:hAnsi="Arial"/>
          <w:b/>
          <w:bCs/>
          <w:sz w:val="20"/>
          <w:szCs w:val="20"/>
        </w:rPr>
        <w:t xml:space="preserve">$25/kg H₂ price at scale is internally contradictory. </w:t>
      </w:r>
      <w:r>
        <w:rPr>
          <w:rFonts w:ascii="Arial" w:cs="Arial" w:eastAsia="Arial" w:hAnsi="Arial"/>
          <w:sz w:val="20"/>
          <w:szCs w:val="20"/>
        </w:rPr>
        <w:t xml:space="preserve">The model uses Airgas cylinder pricing ($121/kg) and Platts specialty data ($15–$36/kg delivered) to validate a $25/kg base case. But these are small-volume, high-purity, cylinder-delivery prices. By FY7, Tobe produces 10.8M kg/yr across 12 facilities and serves customers within 50 miles via tube trailer. At that volume and delivery mode, you are competing in the industrial merchant market, not the specialty cylinder market. Industrial merchant hydrogen is $5–10/kg delivered. The model assumes you can maintain specialty pricing at industrial volume — this is the single most important assumption to stress-test. The $15/kg bear case is more realistic as a base case for scaled volumes.</w:t>
      </w:r>
    </w:p>
    <w:p>
      <w:pPr>
        <w:pStyle w:val="ListParagraph"/>
        <w:numPr>
          <w:ilvl w:val="0"/>
          <w:numId w:val="3"/>
        </w:numPr>
        <w:spacing w:after="60"/>
      </w:pPr>
      <w:r>
        <w:rPr>
          <w:rFonts w:ascii="Arial" w:cs="Arial" w:eastAsia="Arial" w:hAnsi="Arial"/>
          <w:b/>
          <w:bCs/>
          <w:sz w:val="20"/>
          <w:szCs w:val="20"/>
        </w:rPr>
        <w:t xml:space="preserve">42 kWh/kg is a stack-level number, not a system-level number. </w:t>
      </w:r>
      <w:r>
        <w:rPr>
          <w:rFonts w:ascii="Arial" w:cs="Arial" w:eastAsia="Arial" w:hAnsi="Arial"/>
          <w:sz w:val="20"/>
          <w:szCs w:val="20"/>
        </w:rPr>
        <w:t xml:space="preserve">The BCI note says “Lab-validated at stack level; commercial system TBD.” System-level kWh/kg includes BOP parasitics (pumps, controls, thermal management, power conversion losses). The model does apply a 95% BOP efficiency factor in the electricity cost calculation (row B90), yielding an effective 44.2 kWh/kg for electricity costing. But compression is modeled separately at 3.5 kWh/kg. The real question is whether total system-level energy consumption will be 42 or closer to 50–55 kWh/kg. PEM commercial systems today run 50–60 kWh/kg. Alkaline runs 50–55. If total system kWh/kg is 52 instead of 42, direct OpEx rises from $2.62/kg to $2.97/kg — a 13% increase that compounds across all 12 facilities.</w:t>
      </w:r>
    </w:p>
    <w:p>
      <w:pPr>
        <w:pStyle w:val="ListParagraph"/>
        <w:numPr>
          <w:ilvl w:val="0"/>
          <w:numId w:val="3"/>
        </w:numPr>
        <w:spacing w:after="60"/>
      </w:pPr>
      <w:r>
        <w:rPr>
          <w:rFonts w:ascii="Arial" w:cs="Arial" w:eastAsia="Arial" w:hAnsi="Arial"/>
          <w:b/>
          <w:bCs/>
          <w:sz w:val="20"/>
          <w:szCs w:val="20"/>
        </w:rPr>
        <w:t xml:space="preserve">100% utilization assumed at nameplate from ramp completion onward. </w:t>
      </w:r>
      <w:r>
        <w:rPr>
          <w:rFonts w:ascii="Arial" w:cs="Arial" w:eastAsia="Arial" w:hAnsi="Arial"/>
          <w:sz w:val="20"/>
          <w:szCs w:val="20"/>
        </w:rPr>
        <w:t xml:space="preserve">Once facilities reach “nameplate” in the ramp profile, they produce 75,000 kg/month (900K kg/yr) every month forever. There is no maintenance downtime, no seasonal demand variation, no equipment degradation, no unplanned outages. Real electrolyzer operations see 85–92% capacity factors at best. At 90% utilization, FY7 H₂ revenue drops by $27M and total revenue drops by ~6%.</w:t>
      </w:r>
    </w:p>
    <w:p>
      <w:pPr>
        <w:pStyle w:val="ListParagraph"/>
        <w:numPr>
          <w:ilvl w:val="0"/>
          <w:numId w:val="3"/>
        </w:numPr>
        <w:spacing w:after="60"/>
      </w:pPr>
      <w:r>
        <w:rPr>
          <w:rFonts w:ascii="Arial" w:cs="Arial" w:eastAsia="Arial" w:hAnsi="Arial"/>
          <w:b/>
          <w:bCs/>
          <w:sz w:val="20"/>
          <w:szCs w:val="20"/>
        </w:rPr>
        <w:t xml:space="preserve">$3.3M facility CapEx appears significantly low. </w:t>
      </w:r>
      <w:r>
        <w:rPr>
          <w:rFonts w:ascii="Arial" w:cs="Arial" w:eastAsia="Arial" w:hAnsi="Arial"/>
          <w:sz w:val="20"/>
          <w:szCs w:val="20"/>
        </w:rPr>
        <w:t xml:space="preserve">A 900,000 kg/yr (2,500 kg/day) green hydrogen production facility for $3.3M implies ~$1.32/kg-yr of installed capacity. Industry benchmarks for electrolyzer-based facilities are $800–$1,500/kW installed, and at 5 MW+ scale, typical total installed costs (including BOP, site prep, interconnection, compression, storage, safety systems) are $8–20M. Even if the electrolyzer itself is very cheap, the balance of plant, electrical infrastructure, compression systems, safety systems, site work, and permitting represent substantial costs. The Facility AFE needs to reconcile against third-party EPC quotes.</w:t>
      </w:r>
    </w:p>
    <w:p>
      <w:pPr>
        <w:pStyle w:val="ListParagraph"/>
        <w:numPr>
          <w:ilvl w:val="0"/>
          <w:numId w:val="3"/>
        </w:numPr>
        <w:spacing w:after="60"/>
      </w:pPr>
      <w:r>
        <w:rPr>
          <w:rFonts w:ascii="Arial" w:cs="Arial" w:eastAsia="Arial" w:hAnsi="Arial"/>
          <w:b/>
          <w:bCs/>
          <w:sz w:val="20"/>
          <w:szCs w:val="20"/>
        </w:rPr>
        <w:t xml:space="preserve">Facilities 7–12 are bundled as a single line item. </w:t>
      </w:r>
      <w:r>
        <w:rPr>
          <w:rFonts w:ascii="Arial" w:cs="Arial" w:eastAsia="Arial" w:hAnsi="Arial"/>
          <w:sz w:val="20"/>
          <w:szCs w:val="20"/>
        </w:rPr>
        <w:t xml:space="preserve">Six facilities are modeled as one aggregated block (“GH2x7-12”) with a single construction start, in-service date, and production ramp. In reality, each facility requires its own permitting, site selection, construction, commissioning, and ramp. This simplification masks the capital timing, operational complexity, and execution risk of deploying 6 facilities in parallel. It also makes it impossible to model staggered deployment delays.</w:t>
      </w:r>
    </w:p>
    <w:p>
      <w:pPr>
        <w:pStyle w:val="ListParagraph"/>
        <w:numPr>
          <w:ilvl w:val="0"/>
          <w:numId w:val="3"/>
        </w:numPr>
        <w:spacing w:after="60"/>
      </w:pPr>
      <w:r>
        <w:rPr>
          <w:rFonts w:ascii="Arial" w:cs="Arial" w:eastAsia="Arial" w:hAnsi="Arial"/>
          <w:b/>
          <w:bCs/>
          <w:sz w:val="20"/>
          <w:szCs w:val="20"/>
        </w:rPr>
        <w:t xml:space="preserve">T-2500 product line is largely unmodeled. </w:t>
      </w:r>
      <w:r>
        <w:rPr>
          <w:rFonts w:ascii="Arial" w:cs="Arial" w:eastAsia="Arial" w:hAnsi="Arial"/>
          <w:sz w:val="20"/>
          <w:szCs w:val="20"/>
        </w:rPr>
        <w:t xml:space="preserve">The T-2500 Gap Register identifies 9 CRITICAL and 13 HIGH severity gaps. T-2500 sales represent $135M of equipment revenue in FY6–FY7 (34% of total equipment revenue in those years). Yet the product doesn’t exist, R&amp;D isn’t complete until end of Y3, and many of the financial model inputs are placeholders. Selling 45 units of a $3M product that doesn’t exist yet over a 3-year window starting in Y4 is a very aggressive assumption for what is currently a pre-revenue company.</w:t>
      </w:r>
    </w:p>
    <w:p>
      <w:pPr>
        <w:pStyle w:val="ListParagraph"/>
        <w:numPr>
          <w:ilvl w:val="0"/>
          <w:numId w:val="3"/>
        </w:numPr>
        <w:spacing w:after="60"/>
      </w:pPr>
      <w:r>
        <w:rPr>
          <w:rFonts w:ascii="Arial" w:cs="Arial" w:eastAsia="Arial" w:hAnsi="Arial"/>
          <w:b/>
          <w:bCs/>
          <w:sz w:val="20"/>
          <w:szCs w:val="20"/>
        </w:rPr>
        <w:t xml:space="preserve">No offtake agreements, LOIs, or binding customer commitments are referenced. </w:t>
      </w:r>
      <w:r>
        <w:rPr>
          <w:rFonts w:ascii="Arial" w:cs="Arial" w:eastAsia="Arial" w:hAnsi="Arial"/>
          <w:sz w:val="20"/>
          <w:szCs w:val="20"/>
        </w:rPr>
        <w:t xml:space="preserve">Revenue of $16M in FY2 and $88M in FY3 requires real customers buying real hydrogen at $25/kg and real equipment at $35K–$167K. The model references “initial channel partner commitments (nexAir, Norco)” for T-25 sales but doesn’t quantify them. For H₂ production, no customer pipeline, LOIs, or contracts are referenced. An investor will want to see a demand-side validation that matches the supply-side buildout.</w:t>
      </w:r>
    </w:p>
    <w:p>
      <w:r>
        <w:br w:type="page"/>
      </w:r>
    </w:p>
    <w:p>
      <w:pPr>
        <w:pStyle w:val="Heading1"/>
        <w:spacing w:after="200" w:before="360"/>
      </w:pPr>
      <w:r>
        <w:rPr>
          <w:rFonts w:ascii="Arial" w:cs="Arial" w:eastAsia="Arial" w:hAnsi="Arial"/>
          <w:b/>
          <w:bCs/>
          <w:color w:val="1a1a2e"/>
          <w:sz w:val="32"/>
          <w:szCs w:val="32"/>
        </w:rPr>
        <w:t xml:space="preserve">C. Key Assumption Challenges</w:t>
      </w:r>
    </w:p>
    <w:p>
      <w:pPr>
        <w:spacing w:after="120"/>
      </w:pPr>
      <w:r>
        <w:rPr>
          <w:rFonts w:ascii="Arial" w:cs="Arial" w:eastAsia="Arial" w:hAnsi="Arial"/>
          <w:b w:val="false"/>
          <w:bCs w:val="false"/>
          <w:i/>
          <w:iCs/>
          <w:color w:val="333333"/>
          <w:sz w:val="20"/>
          <w:szCs w:val="20"/>
        </w:rPr>
        <w:t xml:space="preserve">Assumptions that deserve immediate scrutiny, with explanation of why each one matters.</w:t>
      </w:r>
    </w:p>
    <w:p>
      <w:pPr>
        <w:pStyle w:val="ListParagraph"/>
        <w:numPr>
          <w:ilvl w:val="0"/>
          <w:numId w:val="4"/>
        </w:numPr>
        <w:spacing w:after="60"/>
      </w:pPr>
      <w:r>
        <w:rPr>
          <w:rFonts w:ascii="Arial" w:cs="Arial" w:eastAsia="Arial" w:hAnsi="Arial"/>
          <w:b/>
          <w:bCs/>
          <w:sz w:val="20"/>
          <w:szCs w:val="20"/>
        </w:rPr>
        <w:t xml:space="preserve">H₂ Sale Price ($25/kg flat for 7 years). </w:t>
      </w:r>
      <w:r>
        <w:rPr>
          <w:rFonts w:ascii="Arial" w:cs="Arial" w:eastAsia="Arial" w:hAnsi="Arial"/>
          <w:sz w:val="20"/>
          <w:szCs w:val="20"/>
        </w:rPr>
        <w:t xml:space="preserve">No price escalator, no price degradation, no volume discount. The model describes this as “conservative vs. cost inflation at 2.5%/yr” but the real question is whether $25/kg is achievable at scale volumes at all. At 10.8M kg/yr, you’re not a specialty gas supplier — you’re a merchant producer. The entire unit economics story depends on this assumption. If realized ASP is $15/kg (the model’s own bear case), FY7 EBITDA drops from $278M to roughly $120M. Recommend: model a price curve that declines as volume increases, reflecting the real-world tension between volume growth and pricing power.</w:t>
      </w:r>
    </w:p>
    <w:p>
      <w:pPr>
        <w:pStyle w:val="ListParagraph"/>
        <w:numPr>
          <w:ilvl w:val="0"/>
          <w:numId w:val="4"/>
        </w:numPr>
        <w:spacing w:after="60"/>
      </w:pPr>
      <w:r>
        <w:rPr>
          <w:rFonts w:ascii="Arial" w:cs="Arial" w:eastAsia="Arial" w:hAnsi="Arial"/>
          <w:b/>
          <w:bCs/>
          <w:sz w:val="20"/>
          <w:szCs w:val="20"/>
        </w:rPr>
        <w:t xml:space="preserve">Equipment sales volumes (1,900 T-25 + 520 T-125 + 95 T-2500 over 7 years). </w:t>
      </w:r>
      <w:r>
        <w:rPr>
          <w:rFonts w:ascii="Arial" w:cs="Arial" w:eastAsia="Arial" w:hAnsi="Arial"/>
          <w:sz w:val="20"/>
          <w:szCs w:val="20"/>
        </w:rPr>
        <w:t xml:space="preserve">These are 2,515 total units sold to third-party operators in a market that barely exists today. For context, the entire global electrolyzer market shipped roughly 1–2 GW of capacity in 2024. Tobe’s T-25 at 50 kW and T-125 at 250 kW implies 95 MW of T-25 + 130 MW of T-125 + 475 MW of T-2500 = ~700 MW cumulative. This is a meaningful share of global installed capacity. The sales ramp (25 units in Y1, 600+ in Y7) needs bottom-up justification: who are the customers, what’s their buying cycle, what’s the competitive landscape?</w:t>
      </w:r>
    </w:p>
    <w:p>
      <w:pPr>
        <w:pStyle w:val="ListParagraph"/>
        <w:numPr>
          <w:ilvl w:val="0"/>
          <w:numId w:val="4"/>
        </w:numPr>
        <w:spacing w:after="60"/>
      </w:pPr>
      <w:r>
        <w:rPr>
          <w:rFonts w:ascii="Arial" w:cs="Arial" w:eastAsia="Arial" w:hAnsi="Arial"/>
          <w:b/>
          <w:bCs/>
          <w:sz w:val="20"/>
          <w:szCs w:val="20"/>
        </w:rPr>
        <w:t xml:space="preserve">Facility ramp tiers (Pilot 24mo, Early 18mo, Mature 15mo, Mastered 13mo). </w:t>
      </w:r>
      <w:r>
        <w:rPr>
          <w:rFonts w:ascii="Arial" w:cs="Arial" w:eastAsia="Arial" w:hAnsi="Arial"/>
          <w:sz w:val="20"/>
          <w:szCs w:val="20"/>
        </w:rPr>
        <w:t xml:space="preserve">The tiered ramp model is conceptually sound — later facilities should deploy faster. However, the timeline compression is aggressive. Facility 1 (Tulsa) goes from construction start to nameplate production in 24 months. Facility 4 (Spokane) does it in 15 months. The model assumes zero permitting delays, no supply chain disruptions, no commissioning problems, and perfect GC execution from the start. For a first-of-its-kind technology, the pilot facility timeline is already optimistic. For subsequent facilities in new jurisdictions (Seattle, Spokane, Albuquerque, Des Moines), each new geography introduces new permitting regimes, utility interconnections, and local requirements.</w:t>
      </w:r>
    </w:p>
    <w:p>
      <w:pPr>
        <w:pStyle w:val="ListParagraph"/>
        <w:numPr>
          <w:ilvl w:val="0"/>
          <w:numId w:val="4"/>
        </w:numPr>
        <w:spacing w:after="60"/>
      </w:pPr>
      <w:r>
        <w:rPr>
          <w:rFonts w:ascii="Arial" w:cs="Arial" w:eastAsia="Arial" w:hAnsi="Arial"/>
          <w:b/>
          <w:bCs/>
          <w:sz w:val="20"/>
          <w:szCs w:val="20"/>
        </w:rPr>
        <w:t xml:space="preserve">45V PTC qualification for facilities 1–4 only. </w:t>
      </w:r>
      <w:r>
        <w:rPr>
          <w:rFonts w:ascii="Arial" w:cs="Arial" w:eastAsia="Arial" w:hAnsi="Arial"/>
          <w:sz w:val="20"/>
          <w:szCs w:val="20"/>
        </w:rPr>
        <w:t xml:space="preserve">The model correctly limits 45V eligibility to facilities that begin construction by Dec 2027. But “begin construction” has specific IRS safe harbor requirements (5% of total project cost, continuous construction). The model doesn’t account for the lifecycle emissions threshold (&lt; 0.45 kg CO₂e per kg H₂), which requires clean electricity sourcing with temporal and geographic matching. Oklahoma’s grid is ~60% fossil-fueled. Unless Tobe secures dedicated renewable PPAs or RECs with hourly matching, 45V qualification at the $3/kg tier is not guaranteed.</w:t>
      </w:r>
    </w:p>
    <w:p>
      <w:pPr>
        <w:pStyle w:val="ListParagraph"/>
        <w:numPr>
          <w:ilvl w:val="0"/>
          <w:numId w:val="4"/>
        </w:numPr>
        <w:spacing w:after="60"/>
      </w:pPr>
      <w:r>
        <w:rPr>
          <w:rFonts w:ascii="Arial" w:cs="Arial" w:eastAsia="Arial" w:hAnsi="Arial"/>
          <w:b/>
          <w:bCs/>
          <w:sz w:val="20"/>
          <w:szCs w:val="20"/>
        </w:rPr>
        <w:t xml:space="preserve">Electricity price of $0.035/kWh assumed for Oklahoma facilities. </w:t>
      </w:r>
      <w:r>
        <w:rPr>
          <w:rFonts w:ascii="Arial" w:cs="Arial" w:eastAsia="Arial" w:hAnsi="Arial"/>
          <w:sz w:val="20"/>
          <w:szCs w:val="20"/>
        </w:rPr>
        <w:t xml:space="preserve">This is a published industrial rate, but industrial rates have been volatile. Natural gas price spikes, grid congestion, demand charges, and transmission fees can push effective rates to $0.05–$0.08/kWh. The model uses per-facility rates ($0.035–$0.0595) but assumes these are constant in real terms (only 2.5% annual inflation applied). A 50% electricity price increase to $0.0525/kWh would increase direct OpEx by ~$0.74/kg for Oklahoma facilities.</w:t>
      </w:r>
    </w:p>
    <w:p>
      <w:pPr>
        <w:pStyle w:val="ListParagraph"/>
        <w:numPr>
          <w:ilvl w:val="0"/>
          <w:numId w:val="4"/>
        </w:numPr>
        <w:spacing w:after="60"/>
      </w:pPr>
      <w:r>
        <w:rPr>
          <w:rFonts w:ascii="Arial" w:cs="Arial" w:eastAsia="Arial" w:hAnsi="Arial"/>
          <w:b/>
          <w:bCs/>
          <w:sz w:val="20"/>
          <w:szCs w:val="20"/>
        </w:rPr>
        <w:t xml:space="preserve">Services attach rate of 75% starting 12 months post-sale. </w:t>
      </w:r>
      <w:r>
        <w:rPr>
          <w:rFonts w:ascii="Arial" w:cs="Arial" w:eastAsia="Arial" w:hAnsi="Arial"/>
          <w:sz w:val="20"/>
          <w:szCs w:val="20"/>
        </w:rPr>
        <w:t xml:space="preserve">Industry benchmarks for OEM service attach rates on new product categories are typically 40–60% at launch, rising to 70–80% only after the installed base is large and the service track record is proven. Starting at 75% for a product that doesn’t exist yet is optimistic. Services revenue is relatively small ($10.9M by FY7), so this isn’t a model-breaking assumption, but it’s directionally too generous.</w:t>
      </w:r>
    </w:p>
    <w:p>
      <w:pPr>
        <w:pStyle w:val="ListParagraph"/>
        <w:numPr>
          <w:ilvl w:val="0"/>
          <w:numId w:val="4"/>
        </w:numPr>
        <w:spacing w:after="60"/>
      </w:pPr>
      <w:r>
        <w:rPr>
          <w:rFonts w:ascii="Arial" w:cs="Arial" w:eastAsia="Arial" w:hAnsi="Arial"/>
          <w:b/>
          <w:bCs/>
          <w:sz w:val="20"/>
          <w:szCs w:val="20"/>
        </w:rPr>
        <w:t xml:space="preserve">Series A at $210M pre-money in June 2027 (4.4x step-up from Seed). </w:t>
      </w:r>
      <w:r>
        <w:rPr>
          <w:rFonts w:ascii="Arial" w:cs="Arial" w:eastAsia="Arial" w:hAnsi="Arial"/>
          <w:sz w:val="20"/>
          <w:szCs w:val="20"/>
        </w:rPr>
        <w:t xml:space="preserve">This requires demonstrating commercial H₂ production and equipment sales within 13 months of seed close. By June 2027, Facility 1 (Tulsa) will still be in the early ramp phase (10–25% utilization based on Tier 1 ramp schedule), and T-25 equipment sales will total approximately 25 units. A $210M pre-money valuation for a company with ~$875K in cumulative revenue and a partially operational pilot facility is at the upper end of what Series A investors would accept, even for deep-tech.</w:t>
      </w:r>
    </w:p>
    <w:p>
      <w:pPr>
        <w:pStyle w:val="ListParagraph"/>
        <w:numPr>
          <w:ilvl w:val="0"/>
          <w:numId w:val="4"/>
        </w:numPr>
        <w:spacing w:after="60"/>
      </w:pPr>
      <w:r>
        <w:rPr>
          <w:rFonts w:ascii="Arial" w:cs="Arial" w:eastAsia="Arial" w:hAnsi="Arial"/>
          <w:b/>
          <w:bCs/>
          <w:sz w:val="20"/>
          <w:szCs w:val="20"/>
        </w:rPr>
        <w:t xml:space="preserve">Direct-to-indirect labor ratio of 4:1. </w:t>
      </w:r>
      <w:r>
        <w:rPr>
          <w:rFonts w:ascii="Arial" w:cs="Arial" w:eastAsia="Arial" w:hAnsi="Arial"/>
          <w:sz w:val="20"/>
          <w:szCs w:val="20"/>
        </w:rPr>
        <w:t xml:space="preserve">The model uses a 4:1 ratio of direct (Ops + Manufacturing) to indirect (HQ/Corporate) headcount, with a floor of 15 HQ staff. This produces 54 HQ headcount by FY7 for a company with $467M revenue and 269 total FTEs. For comparison, Bloom Energy at similar revenue had ~200+ corporate/G&amp;A headcount. The model may be understaffing corporate functions (finance, legal, HR, IT, sales, marketing, customer success) needed to support 12 production facilities and 2,500+ equipment customers.</w:t>
      </w:r>
    </w:p>
    <w:p>
      <w:r>
        <w:br w:type="page"/>
      </w:r>
    </w:p>
    <w:p>
      <w:pPr>
        <w:pStyle w:val="Heading1"/>
        <w:spacing w:after="200" w:before="360"/>
      </w:pPr>
      <w:r>
        <w:rPr>
          <w:rFonts w:ascii="Arial" w:cs="Arial" w:eastAsia="Arial" w:hAnsi="Arial"/>
          <w:b/>
          <w:bCs/>
          <w:color w:val="1a1a2e"/>
          <w:sz w:val="32"/>
          <w:szCs w:val="32"/>
        </w:rPr>
        <w:t xml:space="preserve">D. Logic / Modeling Issues</w:t>
      </w:r>
    </w:p>
    <w:p>
      <w:pPr>
        <w:spacing w:after="120"/>
      </w:pPr>
      <w:r>
        <w:rPr>
          <w:rFonts w:ascii="Arial" w:cs="Arial" w:eastAsia="Arial" w:hAnsi="Arial"/>
          <w:b w:val="false"/>
          <w:bCs w:val="false"/>
          <w:i/>
          <w:iCs/>
          <w:color w:val="333333"/>
          <w:sz w:val="20"/>
          <w:szCs w:val="20"/>
        </w:rPr>
        <w:t xml:space="preserve">Specific model construction issues, inconsistency risks, formula concerns, or structural weaknesses.</w:t>
      </w:r>
    </w:p>
    <w:p>
      <w:pPr>
        <w:pStyle w:val="ListParagraph"/>
        <w:numPr>
          <w:ilvl w:val="0"/>
          <w:numId w:val="5"/>
        </w:numPr>
        <w:spacing w:after="60"/>
      </w:pPr>
      <w:r>
        <w:rPr>
          <w:rFonts w:ascii="Arial" w:cs="Arial" w:eastAsia="Arial" w:hAnsi="Arial"/>
          <w:b/>
          <w:bCs/>
          <w:sz w:val="20"/>
          <w:szCs w:val="20"/>
        </w:rPr>
        <w:t xml:space="preserve">Tax calculation uses a simple income-based approach with NOL carryforward. </w:t>
      </w:r>
      <w:r>
        <w:rPr>
          <w:rFonts w:ascii="Arial" w:cs="Arial" w:eastAsia="Arial" w:hAnsi="Arial"/>
          <w:sz w:val="20"/>
          <w:szCs w:val="20"/>
        </w:rPr>
        <w:t xml:space="preserve">The formula is IF(EBT &lt;= 0, 0, (EBT - MIN(EBT*0.8, prior NOL)) * 27%). This correctly implements the 80% NOL limitation from TCJA. However, the 45V PTC is modeled as an above-the-line credit added to EBIT, not as an actual tax credit that reduces tax liability. This overstates taxable income and tax expense. In reality, PTCs reduce federal tax liability dollar-for-dollar. For a company with $10.8M/yr in PTCs and $75M+ in tax liability, the accounting treatment matters. If PTCs are instead applied as a tax credit, net income increases and the narrative around when the company becomes tax-paying changes.</w:t>
      </w:r>
    </w:p>
    <w:p>
      <w:pPr>
        <w:pStyle w:val="ListParagraph"/>
        <w:numPr>
          <w:ilvl w:val="0"/>
          <w:numId w:val="5"/>
        </w:numPr>
        <w:spacing w:after="60"/>
      </w:pPr>
      <w:r>
        <w:rPr>
          <w:rFonts w:ascii="Arial" w:cs="Arial" w:eastAsia="Arial" w:hAnsi="Arial"/>
          <w:b/>
          <w:bCs/>
          <w:sz w:val="20"/>
          <w:szCs w:val="20"/>
        </w:rPr>
        <w:t xml:space="preserve">Equipment COGS uses nested IF statements keyed to year, not cumulative production volume. </w:t>
      </w:r>
      <w:r>
        <w:rPr>
          <w:rFonts w:ascii="Arial" w:cs="Arial" w:eastAsia="Arial" w:hAnsi="Arial"/>
          <w:sz w:val="20"/>
          <w:szCs w:val="20"/>
        </w:rPr>
        <w:t xml:space="preserve">The Learning Curve tab provides BOM costs per year (e.g., T-125: $100K Y2, $96K Y3, $92.5K Y4). But Wright’s Law cost reductions are properly driven by cumulative production volume, not calendar time. If production volume is delayed (e.g., fewer units sold in Y2–Y3), the cost-down shouldn’t proceed on schedule. The current implementation effectively gives you the cost-down regardless of whether you hit the volume targets. This is a structural mismatch between the theory (Wright’s Law) and the implementation (time-based step function).</w:t>
      </w:r>
    </w:p>
    <w:p>
      <w:pPr>
        <w:pStyle w:val="ListParagraph"/>
        <w:numPr>
          <w:ilvl w:val="0"/>
          <w:numId w:val="5"/>
        </w:numPr>
        <w:spacing w:after="60"/>
      </w:pPr>
      <w:r>
        <w:rPr>
          <w:rFonts w:ascii="Arial" w:cs="Arial" w:eastAsia="Arial" w:hAnsi="Arial"/>
          <w:b/>
          <w:bCs/>
          <w:sz w:val="20"/>
          <w:szCs w:val="20"/>
        </w:rPr>
        <w:t xml:space="preserve">New debt draw timing logic has a potential mismatch. </w:t>
      </w:r>
      <w:r>
        <w:rPr>
          <w:rFonts w:ascii="Arial" w:cs="Arial" w:eastAsia="Arial" w:hAnsi="Arial"/>
          <w:sz w:val="20"/>
          <w:szCs w:val="20"/>
        </w:rPr>
        <w:t xml:space="preserve">The formula for New Debt (row 86) triggers when the month equals EDATE(Seed Close Date, 2) — meaning debt is drawn 2 months after close. But the $2.5M seed debt is described as drawn “at seed close.” The model shows $2.5M appearing in month 4 (July 2026) for a May 2026 close. Verify this is intentional. If capital is needed from day one for construction (which starts in month 1 per the facility schedule), a 2-month delay in debt availability could create a cash gap that isn’t visible in the model.</w:t>
      </w:r>
    </w:p>
    <w:p>
      <w:pPr>
        <w:pStyle w:val="ListParagraph"/>
        <w:numPr>
          <w:ilvl w:val="0"/>
          <w:numId w:val="5"/>
        </w:numPr>
        <w:spacing w:after="60"/>
      </w:pPr>
      <w:r>
        <w:rPr>
          <w:rFonts w:ascii="Arial" w:cs="Arial" w:eastAsia="Arial" w:hAnsi="Arial"/>
          <w:b/>
          <w:bCs/>
          <w:sz w:val="20"/>
          <w:szCs w:val="20"/>
        </w:rPr>
        <w:t xml:space="preserve">Project financing payment uses a fixed monthly payment factor, not proper amortization. </w:t>
      </w:r>
      <w:r>
        <w:rPr>
          <w:rFonts w:ascii="Arial" w:cs="Arial" w:eastAsia="Arial" w:hAnsi="Arial"/>
          <w:sz w:val="20"/>
          <w:szCs w:val="20"/>
        </w:rPr>
        <w:t xml:space="preserve">Row 91 calculates PF payment as -(outstanding + new draws) * monthly payment factor. The payment factor (0.0309) is fixed and sourced from “CSC Leasing Lease Schedule Terms.” This approach doesn’t properly separate interest and principal over the life of each tranche. It also doesn’t account for multiple tranches with different origination dates. For a model that will be shown to lenders, proper amortization schedules per tranche are expected.</w:t>
      </w:r>
    </w:p>
    <w:p>
      <w:pPr>
        <w:pStyle w:val="ListParagraph"/>
        <w:numPr>
          <w:ilvl w:val="0"/>
          <w:numId w:val="5"/>
        </w:numPr>
        <w:spacing w:after="60"/>
      </w:pPr>
      <w:r>
        <w:rPr>
          <w:rFonts w:ascii="Arial" w:cs="Arial" w:eastAsia="Arial" w:hAnsi="Arial"/>
          <w:b/>
          <w:bCs/>
          <w:sz w:val="20"/>
          <w:szCs w:val="20"/>
        </w:rPr>
        <w:t xml:space="preserve">Depreciation is straight-line over 9 years for all asset classes. </w:t>
      </w:r>
      <w:r>
        <w:rPr>
          <w:rFonts w:ascii="Arial" w:cs="Arial" w:eastAsia="Arial" w:hAnsi="Arial"/>
          <w:sz w:val="20"/>
          <w:szCs w:val="20"/>
        </w:rPr>
        <w:t xml:space="preserve">No MACRS, no bonus depreciation, no distinction between facility assets (likely 15–20 year class) and equipment/manufacturing assets (likely 5–7 year class). For tax planning and cash flow, MACRS with bonus depreciation could significantly accelerate tax shield benefits. This is a simplification that understates near-term cash flow from depreciation tax shields.</w:t>
      </w:r>
    </w:p>
    <w:p>
      <w:pPr>
        <w:pStyle w:val="ListParagraph"/>
        <w:numPr>
          <w:ilvl w:val="0"/>
          <w:numId w:val="5"/>
        </w:numPr>
        <w:spacing w:after="60"/>
      </w:pPr>
      <w:r>
        <w:rPr>
          <w:rFonts w:ascii="Arial" w:cs="Arial" w:eastAsia="Arial" w:hAnsi="Arial"/>
          <w:b/>
          <w:bCs/>
          <w:sz w:val="20"/>
          <w:szCs w:val="20"/>
        </w:rPr>
        <w:t xml:space="preserve">Working capital is overly simplified. </w:t>
      </w:r>
      <w:r>
        <w:rPr>
          <w:rFonts w:ascii="Arial" w:cs="Arial" w:eastAsia="Arial" w:hAnsi="Arial"/>
          <w:sz w:val="20"/>
          <w:szCs w:val="20"/>
        </w:rPr>
        <w:t xml:space="preserve">AR = 15 days of revenue, AP = 15 days of COGS. No inventory is modeled. For a manufacturing company that carries raw materials (stainless steel, copper, power electronics), WIP (partially assembled electrolyzers), and finished goods, the absence of inventory is a material omission. Equipment manufacturing with $89M+ in annual COGS should carry 30–60 days of inventory. At 45 days of $89M COGS, that’s ~$11M in inventory by FY7 that isn’t on the balance sheet.</w:t>
      </w:r>
    </w:p>
    <w:p>
      <w:pPr>
        <w:pStyle w:val="ListParagraph"/>
        <w:numPr>
          <w:ilvl w:val="0"/>
          <w:numId w:val="5"/>
        </w:numPr>
        <w:spacing w:after="60"/>
      </w:pPr>
      <w:r>
        <w:rPr>
          <w:rFonts w:ascii="Arial" w:cs="Arial" w:eastAsia="Arial" w:hAnsi="Arial"/>
          <w:b/>
          <w:bCs/>
          <w:sz w:val="20"/>
          <w:szCs w:val="20"/>
        </w:rPr>
        <w:t xml:space="preserve">Facilities 7–12 use the same electricity rate as Des Moines ($0.0429/kWh). </w:t>
      </w:r>
      <w:r>
        <w:rPr>
          <w:rFonts w:ascii="Arial" w:cs="Arial" w:eastAsia="Arial" w:hAnsi="Arial"/>
          <w:sz w:val="20"/>
          <w:szCs w:val="20"/>
        </w:rPr>
        <w:t xml:space="preserve">The BCI note says this is used “as proxy value.” These 6 facilities represent half the total production capacity by FY7. Using a single proxy rate for 6 unidentified locations adds meaningful cost uncertainty. If these facilities end up in higher-cost markets (California, Northeast), direct OpEx could increase by $0.50–$1.00/kg.</w:t>
      </w:r>
    </w:p>
    <w:p>
      <w:r>
        <w:br w:type="page"/>
      </w:r>
    </w:p>
    <w:p>
      <w:pPr>
        <w:pStyle w:val="Heading1"/>
        <w:spacing w:after="200" w:before="360"/>
      </w:pPr>
      <w:r>
        <w:rPr>
          <w:rFonts w:ascii="Arial" w:cs="Arial" w:eastAsia="Arial" w:hAnsi="Arial"/>
          <w:b/>
          <w:bCs/>
          <w:color w:val="1a1a2e"/>
          <w:sz w:val="32"/>
          <w:szCs w:val="32"/>
        </w:rPr>
        <w:t xml:space="preserve">E. Missing Items</w:t>
      </w:r>
    </w:p>
    <w:p>
      <w:pPr>
        <w:spacing w:after="120"/>
      </w:pPr>
      <w:r>
        <w:rPr>
          <w:rFonts w:ascii="Arial" w:cs="Arial" w:eastAsia="Arial" w:hAnsi="Arial"/>
          <w:b w:val="false"/>
          <w:bCs w:val="false"/>
          <w:i/>
          <w:iCs/>
          <w:color w:val="333333"/>
          <w:sz w:val="20"/>
          <w:szCs w:val="20"/>
        </w:rPr>
        <w:t xml:space="preserve">Important real-world costs, risks, schedules, or financing needs that may be absent or understated.</w:t>
      </w:r>
    </w:p>
    <w:p>
      <w:pPr>
        <w:pStyle w:val="ListParagraph"/>
        <w:numPr>
          <w:ilvl w:val="0"/>
          <w:numId w:val="6"/>
        </w:numPr>
        <w:spacing w:after="60"/>
      </w:pPr>
      <w:r>
        <w:rPr>
          <w:rFonts w:ascii="Arial" w:cs="Arial" w:eastAsia="Arial" w:hAnsi="Arial"/>
          <w:b/>
          <w:bCs/>
          <w:sz w:val="20"/>
          <w:szCs w:val="20"/>
        </w:rPr>
        <w:t xml:space="preserve">No inventory on the balance sheet. </w:t>
      </w:r>
      <w:r>
        <w:rPr>
          <w:rFonts w:ascii="Arial" w:cs="Arial" w:eastAsia="Arial" w:hAnsi="Arial"/>
          <w:sz w:val="20"/>
          <w:szCs w:val="20"/>
        </w:rPr>
        <w:t xml:space="preserve">A manufacturing company selling 825 units/yr of equipment with $89M in equipment COGS should carry $5–15M in inventory (raw materials, WIP, finished goods). This is a material balance sheet and working capital omission that understates capital requirements.</w:t>
      </w:r>
    </w:p>
    <w:p>
      <w:pPr>
        <w:pStyle w:val="ListParagraph"/>
        <w:numPr>
          <w:ilvl w:val="0"/>
          <w:numId w:val="6"/>
        </w:numPr>
        <w:spacing w:after="60"/>
      </w:pPr>
      <w:r>
        <w:rPr>
          <w:rFonts w:ascii="Arial" w:cs="Arial" w:eastAsia="Arial" w:hAnsi="Arial"/>
          <w:b/>
          <w:bCs/>
          <w:sz w:val="20"/>
          <w:szCs w:val="20"/>
        </w:rPr>
        <w:t xml:space="preserve">No hydrogen storage or buffer costs. </w:t>
      </w:r>
      <w:r>
        <w:rPr>
          <w:rFonts w:ascii="Arial" w:cs="Arial" w:eastAsia="Arial" w:hAnsi="Arial"/>
          <w:sz w:val="20"/>
          <w:szCs w:val="20"/>
        </w:rPr>
        <w:t xml:space="preserve">Production is continuous but demand is lumpy. Each facility needs compressed gas storage (tube banks or tanks) to buffer between production and delivery. Storage vessels, compression equipment beyond the modeled 200-bar compression, and associated safety infrastructure represent $500K–$2M per facility that appear to be absent from facility CapEx.</w:t>
      </w:r>
    </w:p>
    <w:p>
      <w:pPr>
        <w:pStyle w:val="ListParagraph"/>
        <w:numPr>
          <w:ilvl w:val="0"/>
          <w:numId w:val="6"/>
        </w:numPr>
        <w:spacing w:after="60"/>
      </w:pPr>
      <w:r>
        <w:rPr>
          <w:rFonts w:ascii="Arial" w:cs="Arial" w:eastAsia="Arial" w:hAnsi="Arial"/>
          <w:b/>
          <w:bCs/>
          <w:sz w:val="20"/>
          <w:szCs w:val="20"/>
        </w:rPr>
        <w:t xml:space="preserve">No transportation fleet or logistics costs beyond $0.90/kg. </w:t>
      </w:r>
      <w:r>
        <w:rPr>
          <w:rFonts w:ascii="Arial" w:cs="Arial" w:eastAsia="Arial" w:hAnsi="Arial"/>
          <w:sz w:val="20"/>
          <w:szCs w:val="20"/>
        </w:rPr>
        <w:t xml:space="preserve">The $0.90/kg transport cost assumes 50-mile tube trailer delivery. But who owns the tube trailers? If Tobe, that’s a capital expense ($300K–$500K per trailer) and fleet maintenance cost. If third-party, that’s likely higher than $0.90/kg. As production scales to 12 facilities producing 10.8M kg/yr, the delivery logistics become a significant operational and capital requirement.</w:t>
      </w:r>
    </w:p>
    <w:p>
      <w:pPr>
        <w:pStyle w:val="ListParagraph"/>
        <w:numPr>
          <w:ilvl w:val="0"/>
          <w:numId w:val="6"/>
        </w:numPr>
        <w:spacing w:after="60"/>
      </w:pPr>
      <w:r>
        <w:rPr>
          <w:rFonts w:ascii="Arial" w:cs="Arial" w:eastAsia="Arial" w:hAnsi="Arial"/>
          <w:b/>
          <w:bCs/>
          <w:sz w:val="20"/>
          <w:szCs w:val="20"/>
        </w:rPr>
        <w:t xml:space="preserve">No insurance costs in the operating model beyond the seed period. </w:t>
      </w:r>
      <w:r>
        <w:rPr>
          <w:rFonts w:ascii="Arial" w:cs="Arial" w:eastAsia="Arial" w:hAnsi="Arial"/>
          <w:sz w:val="20"/>
          <w:szCs w:val="20"/>
        </w:rPr>
        <w:t xml:space="preserve">The Use of Funds shows $150K for seed-period insurance. But hydrogen production facilities require substantial ongoing insurance: general liability, product liability (for equipment sold), property insurance on $3.3M+ assets per facility, environmental liability, business interruption, workers’ comp for facility staff, and D&amp;O. For 12 facilities plus a manufacturing operation, annual insurance premiums could be $2–5M. This appears to be captured nowhere in the operating model beyond the seed period.</w:t>
      </w:r>
    </w:p>
    <w:p>
      <w:pPr>
        <w:pStyle w:val="ListParagraph"/>
        <w:numPr>
          <w:ilvl w:val="0"/>
          <w:numId w:val="6"/>
        </w:numPr>
        <w:spacing w:after="60"/>
      </w:pPr>
      <w:r>
        <w:rPr>
          <w:rFonts w:ascii="Arial" w:cs="Arial" w:eastAsia="Arial" w:hAnsi="Arial"/>
          <w:b/>
          <w:bCs/>
          <w:sz w:val="20"/>
          <w:szCs w:val="20"/>
        </w:rPr>
        <w:t xml:space="preserve">No customer acquisition cost or sales cycle modeling. </w:t>
      </w:r>
      <w:r>
        <w:rPr>
          <w:rFonts w:ascii="Arial" w:cs="Arial" w:eastAsia="Arial" w:hAnsi="Arial"/>
          <w:sz w:val="20"/>
          <w:szCs w:val="20"/>
        </w:rPr>
        <w:t xml:space="preserve">Equipment sales of 2,515 units over 7 years requires a sales engine. Professional Fees + Sales &amp; Marketing is modeled as 3% of revenue ($14M by FY7). For a company selling $3M capital equipment to industrial customers, the sales cycle is 6–12 months with technical evaluation, site assessment, and procurement processes. 3% of revenue may be inadequate, and there’s no modeling of sales pipeline, conversion rates, or customer concentration.</w:t>
      </w:r>
    </w:p>
    <w:p>
      <w:pPr>
        <w:pStyle w:val="ListParagraph"/>
        <w:numPr>
          <w:ilvl w:val="0"/>
          <w:numId w:val="6"/>
        </w:numPr>
        <w:spacing w:after="60"/>
      </w:pPr>
      <w:r>
        <w:rPr>
          <w:rFonts w:ascii="Arial" w:cs="Arial" w:eastAsia="Arial" w:hAnsi="Arial"/>
          <w:b/>
          <w:bCs/>
          <w:sz w:val="20"/>
          <w:szCs w:val="20"/>
        </w:rPr>
        <w:t xml:space="preserve">No warranty reserve or product recall contingency. </w:t>
      </w:r>
      <w:r>
        <w:rPr>
          <w:rFonts w:ascii="Arial" w:cs="Arial" w:eastAsia="Arial" w:hAnsi="Arial"/>
          <w:sz w:val="20"/>
          <w:szCs w:val="20"/>
        </w:rPr>
        <w:t xml:space="preserve">Selling 2,515 electrolyzers into the field with no warranty accrual modeled. Industry standard is 1–3% of equipment revenue as warranty reserve. At $438M cumulative equipment revenue, that’s $4–13M in unmodeled liability.</w:t>
      </w:r>
    </w:p>
    <w:p>
      <w:pPr>
        <w:pStyle w:val="ListParagraph"/>
        <w:numPr>
          <w:ilvl w:val="0"/>
          <w:numId w:val="6"/>
        </w:numPr>
        <w:spacing w:after="60"/>
      </w:pPr>
      <w:r>
        <w:rPr>
          <w:rFonts w:ascii="Arial" w:cs="Arial" w:eastAsia="Arial" w:hAnsi="Arial"/>
          <w:b/>
          <w:bCs/>
          <w:sz w:val="20"/>
          <w:szCs w:val="20"/>
        </w:rPr>
        <w:t xml:space="preserve">No permitting risk or regulatory delay contingency. </w:t>
      </w:r>
      <w:r>
        <w:rPr>
          <w:rFonts w:ascii="Arial" w:cs="Arial" w:eastAsia="Arial" w:hAnsi="Arial"/>
          <w:sz w:val="20"/>
          <w:szCs w:val="20"/>
        </w:rPr>
        <w:t xml:space="preserve">Hydrogen production facilities require air quality permits, fire marshal approval, zoning compliance, utility interconnection agreements, and potentially NEPA review. The model assumes all permitting happens within the construction timeline with zero delays. In reality, permitting alone can take 6–18 months for hydrogen facilities, especially in new jurisdictions.</w:t>
      </w:r>
    </w:p>
    <w:p>
      <w:pPr>
        <w:pStyle w:val="ListParagraph"/>
        <w:numPr>
          <w:ilvl w:val="0"/>
          <w:numId w:val="6"/>
        </w:numPr>
        <w:spacing w:after="60"/>
      </w:pPr>
      <w:r>
        <w:rPr>
          <w:rFonts w:ascii="Arial" w:cs="Arial" w:eastAsia="Arial" w:hAnsi="Arial"/>
          <w:b/>
          <w:bCs/>
          <w:sz w:val="20"/>
          <w:szCs w:val="20"/>
        </w:rPr>
        <w:t xml:space="preserve">No equity dilution table or cap table projection. </w:t>
      </w:r>
      <w:r>
        <w:rPr>
          <w:rFonts w:ascii="Arial" w:cs="Arial" w:eastAsia="Arial" w:hAnsi="Arial"/>
          <w:sz w:val="20"/>
          <w:szCs w:val="20"/>
        </w:rPr>
        <w:t xml:space="preserve">The fundraising waterfall shows pre-money/post-money valuations but doesn’t model founder dilution, option pool reserves, liquidation preferences, or the actual ownership percentages through each round. The single mention of seed investor ownership (“~10.8% post-Series C”) should be a full waterfall with assumptions about option pool expansion at each round.</w:t>
      </w:r>
    </w:p>
    <w:p>
      <w:r>
        <w:br w:type="page"/>
      </w:r>
    </w:p>
    <w:p>
      <w:pPr>
        <w:pStyle w:val="Heading1"/>
        <w:spacing w:after="200" w:before="360"/>
      </w:pPr>
      <w:r>
        <w:rPr>
          <w:rFonts w:ascii="Arial" w:cs="Arial" w:eastAsia="Arial" w:hAnsi="Arial"/>
          <w:b/>
          <w:bCs/>
          <w:color w:val="1a1a2e"/>
          <w:sz w:val="32"/>
          <w:szCs w:val="32"/>
        </w:rPr>
        <w:t xml:space="preserve">F. Sensitivities to Run Next</w:t>
      </w:r>
    </w:p>
    <w:p>
      <w:pPr>
        <w:spacing w:after="120"/>
      </w:pPr>
      <w:r>
        <w:rPr>
          <w:rFonts w:ascii="Arial" w:cs="Arial" w:eastAsia="Arial" w:hAnsi="Arial"/>
          <w:b w:val="false"/>
          <w:bCs w:val="false"/>
          <w:i/>
          <w:iCs/>
          <w:color w:val="333333"/>
          <w:sz w:val="20"/>
          <w:szCs w:val="20"/>
        </w:rPr>
        <w:t xml:space="preserve">The most useful scenario analyses and what questions each one would answer.</w:t>
      </w:r>
    </w:p>
    <w:p>
      <w:pPr>
        <w:pStyle w:val="ListParagraph"/>
        <w:numPr>
          <w:ilvl w:val="0"/>
          <w:numId w:val="7"/>
        </w:numPr>
        <w:spacing w:after="60"/>
      </w:pPr>
      <w:r>
        <w:rPr>
          <w:rFonts w:ascii="Arial" w:cs="Arial" w:eastAsia="Arial" w:hAnsi="Arial"/>
          <w:b/>
          <w:bCs/>
          <w:sz w:val="20"/>
          <w:szCs w:val="20"/>
        </w:rPr>
        <w:t xml:space="preserve">H₂ price degradation curve: $25 → $18 → $12/kg as volume scales. </w:t>
      </w:r>
      <w:r>
        <w:rPr>
          <w:rFonts w:ascii="Arial" w:cs="Arial" w:eastAsia="Arial" w:hAnsi="Arial"/>
          <w:sz w:val="20"/>
          <w:szCs w:val="20"/>
        </w:rPr>
        <w:t xml:space="preserve">Question answered: Is the business viable if pricing follows the historical pattern of premium-to-commodity as supply scales? This is the most decision-useful sensitivity because it tests whether the model’s margin story survives the transition from specialty to merchant volumes.</w:t>
      </w:r>
    </w:p>
    <w:p>
      <w:pPr>
        <w:pStyle w:val="ListParagraph"/>
        <w:numPr>
          <w:ilvl w:val="0"/>
          <w:numId w:val="7"/>
        </w:numPr>
        <w:spacing w:after="60"/>
      </w:pPr>
      <w:r>
        <w:rPr>
          <w:rFonts w:ascii="Arial" w:cs="Arial" w:eastAsia="Arial" w:hAnsi="Arial"/>
          <w:b/>
          <w:bCs/>
          <w:sz w:val="20"/>
          <w:szCs w:val="20"/>
        </w:rPr>
        <w:t xml:space="preserve">System kWh/kg: 42 vs. 48 vs. 55. </w:t>
      </w:r>
      <w:r>
        <w:rPr>
          <w:rFonts w:ascii="Arial" w:cs="Arial" w:eastAsia="Arial" w:hAnsi="Arial"/>
          <w:sz w:val="20"/>
          <w:szCs w:val="20"/>
        </w:rPr>
        <w:t xml:space="preserve">Question answered: How sensitive is the all-in cost structure to the gap between lab stack performance and commercial system performance? At 55 kWh/kg with $0.035 electricity, production electricity cost rises from $1.55/kg to $2.03/kg.</w:t>
      </w:r>
    </w:p>
    <w:p>
      <w:pPr>
        <w:pStyle w:val="ListParagraph"/>
        <w:numPr>
          <w:ilvl w:val="0"/>
          <w:numId w:val="7"/>
        </w:numPr>
        <w:spacing w:after="60"/>
      </w:pPr>
      <w:r>
        <w:rPr>
          <w:rFonts w:ascii="Arial" w:cs="Arial" w:eastAsia="Arial" w:hAnsi="Arial"/>
          <w:b/>
          <w:bCs/>
          <w:sz w:val="20"/>
          <w:szCs w:val="20"/>
        </w:rPr>
        <w:t xml:space="preserve">Facility deployment delay: +6 months per facility. </w:t>
      </w:r>
      <w:r>
        <w:rPr>
          <w:rFonts w:ascii="Arial" w:cs="Arial" w:eastAsia="Arial" w:hAnsi="Arial"/>
          <w:sz w:val="20"/>
          <w:szCs w:val="20"/>
        </w:rPr>
        <w:t xml:space="preserve">Question answered: What happens to revenue trajectory and cash position if every facility takes 6 months longer than planned? This tests whether the financing schedule still works when deployment slips.</w:t>
      </w:r>
    </w:p>
    <w:p>
      <w:pPr>
        <w:pStyle w:val="ListParagraph"/>
        <w:numPr>
          <w:ilvl w:val="0"/>
          <w:numId w:val="7"/>
        </w:numPr>
        <w:spacing w:after="60"/>
      </w:pPr>
      <w:r>
        <w:rPr>
          <w:rFonts w:ascii="Arial" w:cs="Arial" w:eastAsia="Arial" w:hAnsi="Arial"/>
          <w:b/>
          <w:bCs/>
          <w:sz w:val="20"/>
          <w:szCs w:val="20"/>
        </w:rPr>
        <w:t xml:space="preserve">Utilization cap: 85% and 90% nameplate. </w:t>
      </w:r>
      <w:r>
        <w:rPr>
          <w:rFonts w:ascii="Arial" w:cs="Arial" w:eastAsia="Arial" w:hAnsi="Arial"/>
          <w:sz w:val="20"/>
          <w:szCs w:val="20"/>
        </w:rPr>
        <w:t xml:space="preserve">Question answered: What’s the impact of realistic capacity factors on revenue, unit economics, and breakeven timing? This is a simple toggle that immediately reveals how much margin of safety exists.</w:t>
      </w:r>
    </w:p>
    <w:p>
      <w:pPr>
        <w:pStyle w:val="ListParagraph"/>
        <w:numPr>
          <w:ilvl w:val="0"/>
          <w:numId w:val="7"/>
        </w:numPr>
        <w:spacing w:after="60"/>
      </w:pPr>
      <w:r>
        <w:rPr>
          <w:rFonts w:ascii="Arial" w:cs="Arial" w:eastAsia="Arial" w:hAnsi="Arial"/>
          <w:b/>
          <w:bCs/>
          <w:sz w:val="20"/>
          <w:szCs w:val="20"/>
        </w:rPr>
        <w:t xml:space="preserve">Facility CapEx: $3.3M vs. $8M vs. $15M. </w:t>
      </w:r>
      <w:r>
        <w:rPr>
          <w:rFonts w:ascii="Arial" w:cs="Arial" w:eastAsia="Arial" w:hAnsi="Arial"/>
          <w:sz w:val="20"/>
          <w:szCs w:val="20"/>
        </w:rPr>
        <w:t xml:space="preserve">Question answered: If facility costs are 2–4x the current assumption, does the business still generate acceptable returns? This tests the CapEx assumption that is most likely to be wrong.</w:t>
      </w:r>
    </w:p>
    <w:p>
      <w:pPr>
        <w:pStyle w:val="ListParagraph"/>
        <w:numPr>
          <w:ilvl w:val="0"/>
          <w:numId w:val="7"/>
        </w:numPr>
        <w:spacing w:after="60"/>
      </w:pPr>
      <w:r>
        <w:rPr>
          <w:rFonts w:ascii="Arial" w:cs="Arial" w:eastAsia="Arial" w:hAnsi="Arial"/>
          <w:b/>
          <w:bCs/>
          <w:sz w:val="20"/>
          <w:szCs w:val="20"/>
        </w:rPr>
        <w:t xml:space="preserve">Equipment sales at 50% of plan. </w:t>
      </w:r>
      <w:r>
        <w:rPr>
          <w:rFonts w:ascii="Arial" w:cs="Arial" w:eastAsia="Arial" w:hAnsi="Arial"/>
          <w:sz w:val="20"/>
          <w:szCs w:val="20"/>
        </w:rPr>
        <w:t xml:space="preserve">Question answered: If the equipment business is harder to scale than expected, is the hydrogen production business alone sufficient to justify the investment? This isolates the hydrogen production engine.</w:t>
      </w:r>
    </w:p>
    <w:p>
      <w:pPr>
        <w:pStyle w:val="ListParagraph"/>
        <w:numPr>
          <w:ilvl w:val="0"/>
          <w:numId w:val="7"/>
        </w:numPr>
        <w:spacing w:after="60"/>
      </w:pPr>
      <w:r>
        <w:rPr>
          <w:rFonts w:ascii="Arial" w:cs="Arial" w:eastAsia="Arial" w:hAnsi="Arial"/>
          <w:b/>
          <w:bCs/>
          <w:sz w:val="20"/>
          <w:szCs w:val="20"/>
        </w:rPr>
        <w:t xml:space="preserve">45V PTC eliminated entirely. </w:t>
      </w:r>
      <w:r>
        <w:rPr>
          <w:rFonts w:ascii="Arial" w:cs="Arial" w:eastAsia="Arial" w:hAnsi="Arial"/>
          <w:sz w:val="20"/>
          <w:szCs w:val="20"/>
        </w:rPr>
        <w:t xml:space="preserve">Question answered: Is the business viable without tax credits? The toggle exists but the sensitivity table doesn’t show the full financial statement impact of PTC = $0. Cumulative PTC is $53.7M over 7 years. Losing this changes the timing of profitability and the cash position.</w:t>
      </w:r>
    </w:p>
    <w:p>
      <w:pPr>
        <w:pStyle w:val="ListParagraph"/>
        <w:numPr>
          <w:ilvl w:val="0"/>
          <w:numId w:val="7"/>
        </w:numPr>
        <w:spacing w:after="60"/>
      </w:pPr>
      <w:r>
        <w:rPr>
          <w:rFonts w:ascii="Arial" w:cs="Arial" w:eastAsia="Arial" w:hAnsi="Arial"/>
          <w:b/>
          <w:bCs/>
          <w:sz w:val="20"/>
          <w:szCs w:val="20"/>
        </w:rPr>
        <w:t xml:space="preserve">Combined downside: $15/kg price + 48 kWh/kg + 85% utilization + 6-month deployment delay + no PTC. </w:t>
      </w:r>
      <w:r>
        <w:rPr>
          <w:rFonts w:ascii="Arial" w:cs="Arial" w:eastAsia="Arial" w:hAnsi="Arial"/>
          <w:sz w:val="20"/>
          <w:szCs w:val="20"/>
        </w:rPr>
        <w:t xml:space="preserve">Question answered: What does the worst realistic case look like? Is the company still fundable, and does it survive to Series A? This is the case an institutional investor’s associate will run first.</w:t>
      </w:r>
    </w:p>
    <w:p>
      <w:pPr>
        <w:pStyle w:val="ListParagraph"/>
        <w:numPr>
          <w:ilvl w:val="0"/>
          <w:numId w:val="7"/>
        </w:numPr>
        <w:spacing w:after="60"/>
      </w:pPr>
      <w:r>
        <w:rPr>
          <w:rFonts w:ascii="Arial" w:cs="Arial" w:eastAsia="Arial" w:hAnsi="Arial"/>
          <w:b/>
          <w:bCs/>
          <w:sz w:val="20"/>
          <w:szCs w:val="20"/>
        </w:rPr>
        <w:t xml:space="preserve">Fundraising delay: each round closes 6 months late. </w:t>
      </w:r>
      <w:r>
        <w:rPr>
          <w:rFonts w:ascii="Arial" w:cs="Arial" w:eastAsia="Arial" w:hAnsi="Arial"/>
          <w:sz w:val="20"/>
          <w:szCs w:val="20"/>
        </w:rPr>
        <w:t xml:space="preserve">Question answered: Does the company run out of cash between rounds? The current model shows minimum cash of $248K in month 1 before seed equity arrives. If Series A slips from June 2027 to December 2027, does cash go negative?</w:t>
      </w:r>
    </w:p>
    <w:p>
      <w:pPr>
        <w:pStyle w:val="ListParagraph"/>
        <w:numPr>
          <w:ilvl w:val="0"/>
          <w:numId w:val="7"/>
        </w:numPr>
        <w:spacing w:after="60"/>
      </w:pPr>
      <w:r>
        <w:rPr>
          <w:rFonts w:ascii="Arial" w:cs="Arial" w:eastAsia="Arial" w:hAnsi="Arial"/>
          <w:b/>
          <w:bCs/>
          <w:sz w:val="20"/>
          <w:szCs w:val="20"/>
        </w:rPr>
        <w:t xml:space="preserve">Electricity price stress: +50% and +100% above base rates. </w:t>
      </w:r>
      <w:r>
        <w:rPr>
          <w:rFonts w:ascii="Arial" w:cs="Arial" w:eastAsia="Arial" w:hAnsi="Arial"/>
          <w:sz w:val="20"/>
          <w:szCs w:val="20"/>
        </w:rPr>
        <w:t xml:space="preserve">Question answered: How resilient is the unit economics story to electricity price volatility? Electricity is the single largest variable cost component. This sensitivity directly tests the structural cost advantage claim.</w:t>
      </w:r>
    </w:p>
    <w:p>
      <w:r>
        <w:br w:type="page"/>
      </w:r>
    </w:p>
    <w:p>
      <w:pPr>
        <w:pStyle w:val="Heading1"/>
        <w:spacing w:after="200" w:before="360"/>
      </w:pPr>
      <w:r>
        <w:rPr>
          <w:rFonts w:ascii="Arial" w:cs="Arial" w:eastAsia="Arial" w:hAnsi="Arial"/>
          <w:b/>
          <w:bCs/>
          <w:color w:val="1a1a2e"/>
          <w:sz w:val="32"/>
          <w:szCs w:val="32"/>
        </w:rPr>
        <w:t xml:space="preserve">G. Priority Fixes</w:t>
      </w:r>
    </w:p>
    <w:p>
      <w:pPr>
        <w:spacing w:after="120"/>
      </w:pPr>
      <w:r>
        <w:rPr>
          <w:rFonts w:ascii="Arial" w:cs="Arial" w:eastAsia="Arial" w:hAnsi="Arial"/>
          <w:b w:val="false"/>
          <w:bCs w:val="false"/>
          <w:i/>
          <w:iCs/>
          <w:color w:val="333333"/>
          <w:sz w:val="20"/>
          <w:szCs w:val="20"/>
        </w:rPr>
        <w:t xml:space="preserve">Ranked from highest priority to lowest. Items 1–5 should be addressed before any investor presentation.</w:t>
      </w:r>
    </w:p>
    <w:p>
      <w:pPr>
        <w:pStyle w:val="ListParagraph"/>
        <w:numPr>
          <w:ilvl w:val="0"/>
          <w:numId w:val="8"/>
        </w:numPr>
        <w:spacing w:after="60"/>
      </w:pPr>
      <w:r>
        <w:rPr>
          <w:rFonts w:ascii="Arial" w:cs="Arial" w:eastAsia="Arial" w:hAnsi="Arial"/>
          <w:b/>
          <w:bCs/>
          <w:sz w:val="20"/>
          <w:szCs w:val="20"/>
        </w:rPr>
        <w:t xml:space="preserve">CRITICAL: Add a volume-weighted H₂ price curve or at minimum document why $25/kg is sustainable at 10.8M kg/yr. </w:t>
      </w:r>
      <w:r>
        <w:rPr>
          <w:rFonts w:ascii="Arial" w:cs="Arial" w:eastAsia="Arial" w:hAnsi="Arial"/>
          <w:sz w:val="20"/>
          <w:szCs w:val="20"/>
        </w:rPr>
        <w:t xml:space="preserve">Show the market segmentation: what percentage of volume goes to cylinder-replacement customers ($25–35/kg), what goes to industrial merchant ($10–15/kg), and what the blended ASP trajectory looks like. Without this, every investor will challenge the pricing assumption within the first 10 minutes.</w:t>
      </w:r>
    </w:p>
    <w:p>
      <w:pPr>
        <w:pStyle w:val="ListParagraph"/>
        <w:numPr>
          <w:ilvl w:val="0"/>
          <w:numId w:val="8"/>
        </w:numPr>
        <w:spacing w:after="60"/>
      </w:pPr>
      <w:r>
        <w:rPr>
          <w:rFonts w:ascii="Arial" w:cs="Arial" w:eastAsia="Arial" w:hAnsi="Arial"/>
          <w:b/>
          <w:bCs/>
          <w:sz w:val="20"/>
          <w:szCs w:val="20"/>
        </w:rPr>
        <w:t xml:space="preserve">CRITICAL: Add a utilization/capacity factor assumption (85–92%) to all production facilities. </w:t>
      </w:r>
      <w:r>
        <w:rPr>
          <w:rFonts w:ascii="Arial" w:cs="Arial" w:eastAsia="Arial" w:hAnsi="Arial"/>
          <w:sz w:val="20"/>
          <w:szCs w:val="20"/>
        </w:rPr>
        <w:t xml:space="preserve">100% utilization in perpetuity after ramp is not credible. This is a simple fix that significantly improves model credibility with minimal impact on the narrative.</w:t>
      </w:r>
    </w:p>
    <w:p>
      <w:pPr>
        <w:pStyle w:val="ListParagraph"/>
        <w:numPr>
          <w:ilvl w:val="0"/>
          <w:numId w:val="8"/>
        </w:numPr>
        <w:spacing w:after="60"/>
      </w:pPr>
      <w:r>
        <w:rPr>
          <w:rFonts w:ascii="Arial" w:cs="Arial" w:eastAsia="Arial" w:hAnsi="Arial"/>
          <w:b/>
          <w:bCs/>
          <w:sz w:val="20"/>
          <w:szCs w:val="20"/>
        </w:rPr>
        <w:t xml:space="preserve">CRITICAL: Validate facility CapEx against third-party EPC quotes or detailed cost estimates. </w:t>
      </w:r>
      <w:r>
        <w:rPr>
          <w:rFonts w:ascii="Arial" w:cs="Arial" w:eastAsia="Arial" w:hAnsi="Arial"/>
          <w:sz w:val="20"/>
          <w:szCs w:val="20"/>
        </w:rPr>
        <w:t xml:space="preserve">If $3.3M is the right number, document why (e.g., shared site with Zeeco, existing infrastructure, minimal BOP because of technology advantages). If it’s not, update the model. This will be one of the first questions from any investor with infrastructure experience.</w:t>
      </w:r>
    </w:p>
    <w:p>
      <w:pPr>
        <w:pStyle w:val="ListParagraph"/>
        <w:numPr>
          <w:ilvl w:val="0"/>
          <w:numId w:val="8"/>
        </w:numPr>
        <w:spacing w:after="60"/>
      </w:pPr>
      <w:r>
        <w:rPr>
          <w:rFonts w:ascii="Arial" w:cs="Arial" w:eastAsia="Arial" w:hAnsi="Arial"/>
          <w:b/>
          <w:bCs/>
          <w:sz w:val="20"/>
          <w:szCs w:val="20"/>
        </w:rPr>
        <w:t xml:space="preserve">HIGH: Disaggregate facilities 7–12 into individual facility blocks. </w:t>
      </w:r>
      <w:r>
        <w:rPr>
          <w:rFonts w:ascii="Arial" w:cs="Arial" w:eastAsia="Arial" w:hAnsi="Arial"/>
          <w:sz w:val="20"/>
          <w:szCs w:val="20"/>
        </w:rPr>
        <w:t xml:space="preserve">Each facility needs its own construction timeline, in-service date, ramp profile, electricity rate, and lease cost. The aggregation masks execution risk and makes the model less useful for operational planning.</w:t>
      </w:r>
    </w:p>
    <w:p>
      <w:pPr>
        <w:pStyle w:val="ListParagraph"/>
        <w:numPr>
          <w:ilvl w:val="0"/>
          <w:numId w:val="8"/>
        </w:numPr>
        <w:spacing w:after="60"/>
      </w:pPr>
      <w:r>
        <w:rPr>
          <w:rFonts w:ascii="Arial" w:cs="Arial" w:eastAsia="Arial" w:hAnsi="Arial"/>
          <w:b/>
          <w:bCs/>
          <w:sz w:val="20"/>
          <w:szCs w:val="20"/>
        </w:rPr>
        <w:t xml:space="preserve">HIGH: Treat 45V PTC as an actual tax credit, not revenue added to EBIT. </w:t>
      </w:r>
      <w:r>
        <w:rPr>
          <w:rFonts w:ascii="Arial" w:cs="Arial" w:eastAsia="Arial" w:hAnsi="Arial"/>
          <w:sz w:val="20"/>
          <w:szCs w:val="20"/>
        </w:rPr>
        <w:t xml:space="preserve">Model PTC as a reduction in tax liability, which is how it actually works. This changes the tax line and net income, and may improve the cash flow story.</w:t>
      </w:r>
    </w:p>
    <w:p>
      <w:pPr>
        <w:pStyle w:val="ListParagraph"/>
        <w:numPr>
          <w:ilvl w:val="0"/>
          <w:numId w:val="8"/>
        </w:numPr>
        <w:spacing w:after="60"/>
      </w:pPr>
      <w:r>
        <w:rPr>
          <w:rFonts w:ascii="Arial" w:cs="Arial" w:eastAsia="Arial" w:hAnsi="Arial"/>
          <w:b/>
          <w:bCs/>
          <w:sz w:val="20"/>
          <w:szCs w:val="20"/>
        </w:rPr>
        <w:t xml:space="preserve">HIGH: Add inventory to the balance sheet and working capital. </w:t>
      </w:r>
      <w:r>
        <w:rPr>
          <w:rFonts w:ascii="Arial" w:cs="Arial" w:eastAsia="Arial" w:hAnsi="Arial"/>
          <w:sz w:val="20"/>
          <w:szCs w:val="20"/>
        </w:rPr>
        <w:t xml:space="preserve">Model 30–45 days of COGS as inventory. This increases working capital requirements and may affect the capital raise sizing.</w:t>
      </w:r>
    </w:p>
    <w:p>
      <w:pPr>
        <w:pStyle w:val="ListParagraph"/>
        <w:numPr>
          <w:ilvl w:val="0"/>
          <w:numId w:val="8"/>
        </w:numPr>
        <w:spacing w:after="60"/>
      </w:pPr>
      <w:r>
        <w:rPr>
          <w:rFonts w:ascii="Arial" w:cs="Arial" w:eastAsia="Arial" w:hAnsi="Arial"/>
          <w:b/>
          <w:bCs/>
          <w:sz w:val="20"/>
          <w:szCs w:val="20"/>
        </w:rPr>
        <w:t xml:space="preserve">MEDIUM: Close the T-2500 gap register critical items. </w:t>
      </w:r>
      <w:r>
        <w:rPr>
          <w:rFonts w:ascii="Arial" w:cs="Arial" w:eastAsia="Arial" w:hAnsi="Arial"/>
          <w:sz w:val="20"/>
          <w:szCs w:val="20"/>
        </w:rPr>
        <w:t xml:space="preserve">The 9 CRITICAL gaps should be resolved before investor meetings. T-2500 represents $135M of FY6–FY7 equipment revenue. Investors will test whether these projections are real or aspirational.</w:t>
      </w:r>
    </w:p>
    <w:p>
      <w:pPr>
        <w:pStyle w:val="ListParagraph"/>
        <w:numPr>
          <w:ilvl w:val="0"/>
          <w:numId w:val="8"/>
        </w:numPr>
        <w:spacing w:after="60"/>
      </w:pPr>
      <w:r>
        <w:rPr>
          <w:rFonts w:ascii="Arial" w:cs="Arial" w:eastAsia="Arial" w:hAnsi="Arial"/>
          <w:b/>
          <w:bCs/>
          <w:sz w:val="20"/>
          <w:szCs w:val="20"/>
        </w:rPr>
        <w:t xml:space="preserve">MEDIUM: Add insurance, warranty reserve, and customer acquisition costs to the operating model. </w:t>
      </w:r>
      <w:r>
        <w:rPr>
          <w:rFonts w:ascii="Arial" w:cs="Arial" w:eastAsia="Arial" w:hAnsi="Arial"/>
          <w:sz w:val="20"/>
          <w:szCs w:val="20"/>
        </w:rPr>
        <w:t xml:space="preserve">These are real costs that currently aren’t captured. Estimate $3–8M/yr combined by FY7.</w:t>
      </w:r>
    </w:p>
    <w:p>
      <w:pPr>
        <w:pStyle w:val="ListParagraph"/>
        <w:numPr>
          <w:ilvl w:val="0"/>
          <w:numId w:val="8"/>
        </w:numPr>
        <w:spacing w:after="60"/>
      </w:pPr>
      <w:r>
        <w:rPr>
          <w:rFonts w:ascii="Arial" w:cs="Arial" w:eastAsia="Arial" w:hAnsi="Arial"/>
          <w:b/>
          <w:bCs/>
          <w:sz w:val="20"/>
          <w:szCs w:val="20"/>
        </w:rPr>
        <w:t xml:space="preserve">MEDIUM: Build proper amortization schedules for each debt/PF tranche. </w:t>
      </w:r>
      <w:r>
        <w:rPr>
          <w:rFonts w:ascii="Arial" w:cs="Arial" w:eastAsia="Arial" w:hAnsi="Arial"/>
          <w:sz w:val="20"/>
          <w:szCs w:val="20"/>
        </w:rPr>
        <w:t xml:space="preserve">If this model will be shown to project finance lenders, they will expect standard amortization tables, not a fixed monthly payment factor applied to the aggregate balance.</w:t>
      </w:r>
    </w:p>
    <w:p>
      <w:pPr>
        <w:pStyle w:val="ListParagraph"/>
        <w:numPr>
          <w:ilvl w:val="0"/>
          <w:numId w:val="8"/>
        </w:numPr>
        <w:spacing w:after="60"/>
      </w:pPr>
      <w:r>
        <w:rPr>
          <w:rFonts w:ascii="Arial" w:cs="Arial" w:eastAsia="Arial" w:hAnsi="Arial"/>
          <w:b/>
          <w:bCs/>
          <w:sz w:val="20"/>
          <w:szCs w:val="20"/>
        </w:rPr>
        <w:t xml:space="preserve">LOW: Add a combined downside scenario to the sensitivity analysis. </w:t>
      </w:r>
      <w:r>
        <w:rPr>
          <w:rFonts w:ascii="Arial" w:cs="Arial" w:eastAsia="Arial" w:hAnsi="Arial"/>
          <w:sz w:val="20"/>
          <w:szCs w:val="20"/>
        </w:rPr>
        <w:t xml:space="preserve">The current sensitivity tables test one variable at a time. A combined downside (lower price + slower ramp + higher costs + no PTC) would show whether the business is robust or fragile.</w:t>
      </w:r>
    </w:p>
    <w:p>
      <w:r>
        <w:br w:type="page"/>
      </w:r>
    </w:p>
    <w:p>
      <w:pPr>
        <w:pStyle w:val="Heading1"/>
        <w:spacing w:after="200" w:before="360"/>
      </w:pPr>
      <w:r>
        <w:rPr>
          <w:rFonts w:ascii="Arial" w:cs="Arial" w:eastAsia="Arial" w:hAnsi="Arial"/>
          <w:b/>
          <w:bCs/>
          <w:color w:val="1a1a2e"/>
          <w:sz w:val="32"/>
          <w:szCs w:val="32"/>
        </w:rPr>
        <w:t xml:space="preserve">H. Questions Management Should Answer</w:t>
      </w:r>
    </w:p>
    <w:p>
      <w:pPr>
        <w:spacing w:after="120"/>
      </w:pPr>
      <w:r>
        <w:rPr>
          <w:rFonts w:ascii="Arial" w:cs="Arial" w:eastAsia="Arial" w:hAnsi="Arial"/>
          <w:b w:val="false"/>
          <w:bCs w:val="false"/>
          <w:i/>
          <w:iCs/>
          <w:color w:val="333333"/>
          <w:sz w:val="20"/>
          <w:szCs w:val="20"/>
        </w:rPr>
        <w:t xml:space="preserve">The hard diligence questions an investor or lender would ask after reading this model.</w:t>
      </w:r>
    </w:p>
    <w:p>
      <w:pPr>
        <w:pStyle w:val="Heading3"/>
        <w:spacing w:after="120" w:before="200"/>
      </w:pPr>
      <w:r>
        <w:rPr>
          <w:rFonts w:ascii="Arial" w:cs="Arial" w:eastAsia="Arial" w:hAnsi="Arial"/>
          <w:b/>
          <w:bCs/>
          <w:color w:val="2d3436"/>
          <w:sz w:val="22"/>
          <w:szCs w:val="22"/>
        </w:rPr>
        <w:t xml:space="preserve">Technology &amp; Unit Economics</w:t>
      </w:r>
    </w:p>
    <w:p>
      <w:pPr>
        <w:pStyle w:val="ListParagraph"/>
        <w:numPr>
          <w:ilvl w:val="0"/>
          <w:numId w:val="9"/>
        </w:numPr>
        <w:spacing w:after="40"/>
      </w:pPr>
      <w:r>
        <w:rPr>
          <w:rFonts w:ascii="Arial" w:cs="Arial" w:eastAsia="Arial" w:hAnsi="Arial"/>
          <w:sz w:val="20"/>
          <w:szCs w:val="20"/>
        </w:rPr>
        <w:t xml:space="preserve">What is the demonstrated system-level kWh/kg (not stack-level) at your target production rate, and what is the test data source?</w:t>
      </w:r>
    </w:p>
    <w:p>
      <w:pPr>
        <w:pStyle w:val="ListParagraph"/>
        <w:numPr>
          <w:ilvl w:val="0"/>
          <w:numId w:val="9"/>
        </w:numPr>
        <w:spacing w:after="40"/>
      </w:pPr>
      <w:r>
        <w:rPr>
          <w:rFonts w:ascii="Arial" w:cs="Arial" w:eastAsia="Arial" w:hAnsi="Arial"/>
          <w:sz w:val="20"/>
          <w:szCs w:val="20"/>
        </w:rPr>
        <w:t xml:space="preserve">Why is $25/kg the right base case price when your production will reach 10.8M kg/yr? Show me the customer segmentation and the contract structure that sustains this pricing at volume.</w:t>
      </w:r>
    </w:p>
    <w:p>
      <w:pPr>
        <w:pStyle w:val="ListParagraph"/>
        <w:numPr>
          <w:ilvl w:val="0"/>
          <w:numId w:val="9"/>
        </w:numPr>
        <w:spacing w:after="40"/>
      </w:pPr>
      <w:r>
        <w:rPr>
          <w:rFonts w:ascii="Arial" w:cs="Arial" w:eastAsia="Arial" w:hAnsi="Arial"/>
          <w:sz w:val="20"/>
          <w:szCs w:val="20"/>
        </w:rPr>
        <w:t xml:space="preserve">Your all-in production cost at nameplate is $4.84/kg. Grey H₂ delivered is $5.25/kg. That’s an $0.08/kg advantage — not the $7.68/kg shown in the Unit Economics tab. Walk me through why the comparison in the model uses different line items for Tobe vs. grey H₂.</w:t>
      </w:r>
    </w:p>
    <w:p>
      <w:pPr>
        <w:pStyle w:val="ListParagraph"/>
        <w:numPr>
          <w:ilvl w:val="0"/>
          <w:numId w:val="9"/>
        </w:numPr>
        <w:spacing w:after="40"/>
      </w:pPr>
      <w:r>
        <w:rPr>
          <w:rFonts w:ascii="Arial" w:cs="Arial" w:eastAsia="Arial" w:hAnsi="Arial"/>
          <w:sz w:val="20"/>
          <w:szCs w:val="20"/>
        </w:rPr>
        <w:t xml:space="preserve">What is your IP moat? If 42 kWh/kg is achievable with your membrane-free design, what prevents ITM Power, Nel, or Plug Power from replicating it within 24 months?</w:t>
      </w:r>
    </w:p>
    <w:p>
      <w:pPr>
        <w:pStyle w:val="Heading3"/>
        <w:spacing w:after="120" w:before="200"/>
      </w:pPr>
      <w:r>
        <w:rPr>
          <w:rFonts w:ascii="Arial" w:cs="Arial" w:eastAsia="Arial" w:hAnsi="Arial"/>
          <w:b/>
          <w:bCs/>
          <w:color w:val="2d3436"/>
          <w:sz w:val="22"/>
          <w:szCs w:val="22"/>
        </w:rPr>
        <w:t xml:space="preserve">Revenue &amp; Market</w:t>
      </w:r>
    </w:p>
    <w:p>
      <w:pPr>
        <w:pStyle w:val="ListParagraph"/>
        <w:numPr>
          <w:ilvl w:val="0"/>
          <w:numId w:val="9"/>
        </w:numPr>
        <w:spacing w:after="40"/>
      </w:pPr>
      <w:r>
        <w:rPr>
          <w:rFonts w:ascii="Arial" w:cs="Arial" w:eastAsia="Arial" w:hAnsi="Arial"/>
          <w:sz w:val="20"/>
          <w:szCs w:val="20"/>
        </w:rPr>
        <w:t xml:space="preserve">Show me your customer pipeline. How many LOIs, signed contracts, or binding offtake agreements do you have for hydrogen and for equipment?</w:t>
      </w:r>
    </w:p>
    <w:p>
      <w:pPr>
        <w:pStyle w:val="ListParagraph"/>
        <w:numPr>
          <w:ilvl w:val="0"/>
          <w:numId w:val="9"/>
        </w:numPr>
        <w:spacing w:after="40"/>
      </w:pPr>
      <w:r>
        <w:rPr>
          <w:rFonts w:ascii="Arial" w:cs="Arial" w:eastAsia="Arial" w:hAnsi="Arial"/>
          <w:sz w:val="20"/>
          <w:szCs w:val="20"/>
        </w:rPr>
        <w:t xml:space="preserve">Who are the 25 T-25 customers in Year 1? Are they identified, in pipeline, or assumed? What’s the conversion rate from the nexAir/Norco channel partnerships?</w:t>
      </w:r>
    </w:p>
    <w:p>
      <w:pPr>
        <w:pStyle w:val="ListParagraph"/>
        <w:numPr>
          <w:ilvl w:val="0"/>
          <w:numId w:val="9"/>
        </w:numPr>
        <w:spacing w:after="40"/>
      </w:pPr>
      <w:r>
        <w:rPr>
          <w:rFonts w:ascii="Arial" w:cs="Arial" w:eastAsia="Arial" w:hAnsi="Arial"/>
          <w:sz w:val="20"/>
          <w:szCs w:val="20"/>
        </w:rPr>
        <w:t xml:space="preserve">The T-2500 doesn’t exist yet. R&amp;D completes end of Y3. You’re projecting 5 units sold in Y4 at $3M each. Who is buying a $3M first-generation product from a company that will have zero track record with that product? What is the realistic sales cycle for a $3M capital purchase?</w:t>
      </w:r>
    </w:p>
    <w:p>
      <w:pPr>
        <w:pStyle w:val="Heading3"/>
        <w:spacing w:after="120" w:before="200"/>
      </w:pPr>
      <w:r>
        <w:rPr>
          <w:rFonts w:ascii="Arial" w:cs="Arial" w:eastAsia="Arial" w:hAnsi="Arial"/>
          <w:b/>
          <w:bCs/>
          <w:color w:val="2d3436"/>
          <w:sz w:val="22"/>
          <w:szCs w:val="22"/>
        </w:rPr>
        <w:t xml:space="preserve">Operations &amp; Execution</w:t>
      </w:r>
    </w:p>
    <w:p>
      <w:pPr>
        <w:pStyle w:val="ListParagraph"/>
        <w:numPr>
          <w:ilvl w:val="0"/>
          <w:numId w:val="9"/>
        </w:numPr>
        <w:spacing w:after="40"/>
      </w:pPr>
      <w:r>
        <w:rPr>
          <w:rFonts w:ascii="Arial" w:cs="Arial" w:eastAsia="Arial" w:hAnsi="Arial"/>
          <w:sz w:val="20"/>
          <w:szCs w:val="20"/>
        </w:rPr>
        <w:t xml:space="preserve">Walk me through the Facility 1 CapEx of $3.3M. What does that include and exclude? How does it reconcile to the Zeeco facility project budget in Use of Funds ($2.5M debt allocation)?</w:t>
      </w:r>
    </w:p>
    <w:p>
      <w:pPr>
        <w:pStyle w:val="ListParagraph"/>
        <w:numPr>
          <w:ilvl w:val="0"/>
          <w:numId w:val="9"/>
        </w:numPr>
        <w:spacing w:after="40"/>
      </w:pPr>
      <w:r>
        <w:rPr>
          <w:rFonts w:ascii="Arial" w:cs="Arial" w:eastAsia="Arial" w:hAnsi="Arial"/>
          <w:sz w:val="20"/>
          <w:szCs w:val="20"/>
        </w:rPr>
        <w:t xml:space="preserve">You’re building 12 production facilities in 6 different states over 5 years while simultaneously scaling a manufacturing operation from 0 to 825 units/yr. How many people on your team today have done this before?</w:t>
      </w:r>
    </w:p>
    <w:p>
      <w:pPr>
        <w:pStyle w:val="ListParagraph"/>
        <w:numPr>
          <w:ilvl w:val="0"/>
          <w:numId w:val="9"/>
        </w:numPr>
        <w:spacing w:after="40"/>
      </w:pPr>
      <w:r>
        <w:rPr>
          <w:rFonts w:ascii="Arial" w:cs="Arial" w:eastAsia="Arial" w:hAnsi="Arial"/>
          <w:sz w:val="20"/>
          <w:szCs w:val="20"/>
        </w:rPr>
        <w:t xml:space="preserve">What happens if Facility 1 (Tulsa) takes 36 months instead of 24 to reach nameplate? How does that cascade through the rest of the plan?</w:t>
      </w:r>
    </w:p>
    <w:p>
      <w:pPr>
        <w:pStyle w:val="Heading3"/>
        <w:spacing w:after="120" w:before="200"/>
      </w:pPr>
      <w:r>
        <w:rPr>
          <w:rFonts w:ascii="Arial" w:cs="Arial" w:eastAsia="Arial" w:hAnsi="Arial"/>
          <w:b/>
          <w:bCs/>
          <w:color w:val="2d3436"/>
          <w:sz w:val="22"/>
          <w:szCs w:val="22"/>
        </w:rPr>
        <w:t xml:space="preserve">Capital &amp; Financing</w:t>
      </w:r>
    </w:p>
    <w:p>
      <w:pPr>
        <w:pStyle w:val="ListParagraph"/>
        <w:numPr>
          <w:ilvl w:val="0"/>
          <w:numId w:val="9"/>
        </w:numPr>
        <w:spacing w:after="40"/>
      </w:pPr>
      <w:r>
        <w:rPr>
          <w:rFonts w:ascii="Arial" w:cs="Arial" w:eastAsia="Arial" w:hAnsi="Arial"/>
          <w:sz w:val="20"/>
          <w:szCs w:val="20"/>
        </w:rPr>
        <w:t xml:space="preserve">Your minimum cash balance is $248K in month 1 before the seed equity arrives. If the seed close slips by 60 days, do you run out of cash?</w:t>
      </w:r>
    </w:p>
    <w:p>
      <w:pPr>
        <w:pStyle w:val="ListParagraph"/>
        <w:numPr>
          <w:ilvl w:val="0"/>
          <w:numId w:val="9"/>
        </w:numPr>
        <w:spacing w:after="40"/>
      </w:pPr>
      <w:r>
        <w:rPr>
          <w:rFonts w:ascii="Arial" w:cs="Arial" w:eastAsia="Arial" w:hAnsi="Arial"/>
          <w:sz w:val="20"/>
          <w:szCs w:val="20"/>
        </w:rPr>
        <w:t xml:space="preserve">The model shows $682K starting cash from a $2.05M pre-seed. Where did the other $1.37M go, and is the remaining runway consistent with the seed timeline?</w:t>
      </w:r>
    </w:p>
    <w:p>
      <w:pPr>
        <w:pStyle w:val="ListParagraph"/>
        <w:numPr>
          <w:ilvl w:val="0"/>
          <w:numId w:val="9"/>
        </w:numPr>
        <w:spacing w:after="40"/>
      </w:pPr>
      <w:r>
        <w:rPr>
          <w:rFonts w:ascii="Arial" w:cs="Arial" w:eastAsia="Arial" w:hAnsi="Arial"/>
          <w:sz w:val="20"/>
          <w:szCs w:val="20"/>
        </w:rPr>
        <w:t xml:space="preserve">You’re projecting $921M in cash at end of FY7 with $467M in revenue. Why aren’t you deploying that cash? Are you really going to accumulate $921M in cash with no capital return, no acquisitions, and no reinvestment beyond the 12 planned facilities?</w:t>
      </w:r>
    </w:p>
    <w:p>
      <w:pPr>
        <w:pStyle w:val="Heading3"/>
        <w:spacing w:after="120" w:before="200"/>
      </w:pPr>
      <w:r>
        <w:rPr>
          <w:rFonts w:ascii="Arial" w:cs="Arial" w:eastAsia="Arial" w:hAnsi="Arial"/>
          <w:b/>
          <w:bCs/>
          <w:color w:val="2d3436"/>
          <w:sz w:val="22"/>
          <w:szCs w:val="22"/>
        </w:rPr>
        <w:t xml:space="preserve">Policy &amp; Regulatory</w:t>
      </w:r>
    </w:p>
    <w:p>
      <w:pPr>
        <w:pStyle w:val="ListParagraph"/>
        <w:numPr>
          <w:ilvl w:val="0"/>
          <w:numId w:val="9"/>
        </w:numPr>
        <w:spacing w:after="40"/>
      </w:pPr>
      <w:r>
        <w:rPr>
          <w:rFonts w:ascii="Arial" w:cs="Arial" w:eastAsia="Arial" w:hAnsi="Arial"/>
          <w:sz w:val="20"/>
          <w:szCs w:val="20"/>
        </w:rPr>
        <w:t xml:space="preserve">How will you demonstrate 45V compliance for lifecycle emissions &lt; 0.45 kg CO₂e per kg H₂ when Oklahoma’s grid is ~60% fossil-fueled? Do you have renewable PPAs or hourly-matched RECs in place or in negotiation?</w:t>
      </w:r>
    </w:p>
    <w:p>
      <w:pPr>
        <w:pStyle w:val="ListParagraph"/>
        <w:numPr>
          <w:ilvl w:val="0"/>
          <w:numId w:val="9"/>
        </w:numPr>
        <w:spacing w:after="40"/>
      </w:pPr>
      <w:r>
        <w:rPr>
          <w:rFonts w:ascii="Arial" w:cs="Arial" w:eastAsia="Arial" w:hAnsi="Arial"/>
          <w:sz w:val="20"/>
          <w:szCs w:val="20"/>
        </w:rPr>
        <w:t xml:space="preserve">What is your plan if 45V rules change, the construction deadline isn’t extended, or the credit is reduced in a future budget reconciliation? How dependent is the business on $10.8M/yr in tax credits?</w:t>
      </w:r>
    </w:p>
    <w:p>
      <w:pPr>
        <w:pStyle w:val="ListParagraph"/>
        <w:numPr>
          <w:ilvl w:val="0"/>
          <w:numId w:val="9"/>
        </w:numPr>
        <w:spacing w:after="40"/>
      </w:pPr>
      <w:r>
        <w:rPr>
          <w:rFonts w:ascii="Arial" w:cs="Arial" w:eastAsia="Arial" w:hAnsi="Arial"/>
          <w:sz w:val="20"/>
          <w:szCs w:val="20"/>
        </w:rPr>
        <w:t xml:space="preserve">Have you engaged with IRS on the begin-construction safe harbor requirements? For 4 facilities to qualify, you need to demonstrate 5% physical work or cost expenditure by Dec 2027. Is that realistic given your current capitalization?</w:t>
      </w:r>
    </w:p>
    <w:p>
      <w:pPr>
        <w:pStyle w:val="Heading3"/>
        <w:spacing w:after="120" w:before="200"/>
      </w:pPr>
      <w:r>
        <w:rPr>
          <w:rFonts w:ascii="Arial" w:cs="Arial" w:eastAsia="Arial" w:hAnsi="Arial"/>
          <w:b/>
          <w:bCs/>
          <w:color w:val="2d3436"/>
          <w:sz w:val="22"/>
          <w:szCs w:val="22"/>
        </w:rPr>
        <w:t xml:space="preserve">The Hard Question</w:t>
      </w:r>
    </w:p>
    <w:p>
      <w:pPr>
        <w:pStyle w:val="ListParagraph"/>
        <w:numPr>
          <w:ilvl w:val="0"/>
          <w:numId w:val="9"/>
        </w:numPr>
        <w:spacing w:after="120"/>
      </w:pPr>
      <w:r>
        <w:rPr>
          <w:rFonts w:ascii="Arial" w:cs="Arial" w:eastAsia="Arial" w:hAnsi="Arial"/>
          <w:sz w:val="20"/>
          <w:szCs w:val="20"/>
        </w:rPr>
        <w:t xml:space="preserve">You’re projecting $467M in revenue and $278M in EBITDA by Year 7 from a technology that doesn’t have a single commercial installation today. Bloom Energy, the closest comp, took 18 years to reach $1B in revenue. Nel Hydrogen has been at this for over 20 years and has $150M in revenue. What makes Tobe different, and what would have to go wrong for this plan to fail?</w:t>
      </w:r>
    </w:p>
    <w:p>
      <w:pPr>
        <w:pBdr>
          <w:top w:val="single" w:color="CCCCCC" w:sz="2" w:space="8"/>
        </w:pBdr>
        <w:spacing w:before="400"/>
      </w:pPr>
      <w:r>
        <w:rPr>
          <w:rFonts w:ascii="Arial" w:cs="Arial" w:eastAsia="Arial" w:hAnsi="Arial"/>
          <w:b/>
          <w:bCs/>
          <w:color w:val="888888"/>
          <w:sz w:val="20"/>
          <w:szCs w:val="20"/>
        </w:rPr>
        <w:t xml:space="preserve">END OF REVIEW</w:t>
      </w:r>
    </w:p>
    <w:p>
      <w:pPr>
        <w:spacing w:after="120"/>
      </w:pPr>
      <w:r>
        <w:rPr>
          <w:rFonts w:ascii="Arial" w:cs="Arial" w:eastAsia="Arial" w:hAnsi="Arial"/>
          <w:b w:val="false"/>
          <w:bCs w:val="false"/>
          <w:i/>
          <w:iCs/>
          <w:color w:val="888888"/>
          <w:sz w:val="18"/>
          <w:szCs w:val="18"/>
        </w:rPr>
        <w:t xml:space="preserve">This review is based solely on the information contained in the financial model file (v8.5.2, March 2026). It does not constitute investment advice. All findings should be validated against primary source materials, customer references, and technical due diligence.</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jc w:val="right"/>
    </w:pPr>
    <w:r>
      <w:rPr>
        <w:rFonts w:ascii="Arial" w:cs="Arial" w:eastAsia="Arial" w:hAnsi="Arial"/>
        <w:i/>
        <w:iCs/>
        <w:color w:val="888888"/>
        <w:sz w:val="16"/>
        <w:szCs w:val="16"/>
      </w:rPr>
      <w:t xml:space="preserve">CONFIDENTIAL — Investor-Grade Model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2026-03-17T01:56:15.157Z</dcterms:created>
  <dcterms:modified xsi:type="dcterms:W3CDTF">2026-03-17T01:56:15.157Z</dcterms:modified>
</cp:coreProperties>
</file>

<file path=docProps/custom.xml><?xml version="1.0" encoding="utf-8"?>
<Properties xmlns="http://schemas.openxmlformats.org/officeDocument/2006/custom-properties" xmlns:vt="http://schemas.openxmlformats.org/officeDocument/2006/docPropsVTypes"/>
</file>