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Eyebrow"/>
        <w:jc w:val="center"/>
      </w:pPr>
      <w:r>
        <w:t>TOBE ENERGY</w:t>
      </w:r>
    </w:p>
    <w:p>
      <w:pPr>
        <w:pStyle w:val="CoverTitle"/>
        <w:jc w:val="center"/>
      </w:pPr>
      <w:r>
        <w:t>TEA Editorial Companion</w:t>
      </w:r>
    </w:p>
    <w:p>
      <w:pPr>
        <w:pStyle w:val="CoverSubtitle"/>
        <w:jc w:val="center"/>
      </w:pPr>
      <w:r>
        <w:t>Change Log, Data-Room Actions, and Red-Flag Review</w:t>
      </w:r>
    </w:p>
    <w:p/>
    <w:p/>
    <w:p/>
    <w:p/>
    <w:p/>
    <w:tbl>
      <w:tblPr>
        <w:tblStyle w:val="TableGrid"/>
        <w:tblW w:type="auto" w:w="0"/>
        <w:jc w:val="center"/>
        <w:tblLayout w:type="fixed"/>
        <w:tblLook w:firstColumn="1" w:firstRow="1" w:lastColumn="0" w:lastRow="0" w:noHBand="0" w:noVBand="1" w:val="04A0"/>
      </w:tblPr>
      <w:tblGrid>
        <w:gridCol w:w="9792"/>
      </w:tblGrid>
      <w:tr>
        <w:tc>
          <w:tcPr>
            <w:tcW w:type="dxa" w:w="9072"/>
            <w:shd w:fill="163A45"/>
            <w:tcMar>
              <w:top w:w="90" w:type="dxa"/>
              <w:start w:w="110" w:type="dxa"/>
              <w:bottom w:w="90" w:type="dxa"/>
              <w:end w:w="110" w:type="dxa"/>
            </w:tcMar>
            <w:tcBorders>
              <w:left w:val="single" w:sz="10" w:color="163A45"/>
              <w:top w:val="single" w:sz="10" w:color="163A45"/>
              <w:right w:val="single" w:sz="10" w:color="163A45"/>
              <w:bottom w:val="single" w:sz="10" w:color="163A45"/>
            </w:tcBorders>
          </w:tcPr>
          <w:p>
            <w:pPr>
              <w:spacing w:after="0"/>
              <w:jc w:val="left"/>
            </w:pPr>
            <w:r>
              <w:rPr>
                <w:b/>
                <w:color w:val="FFFFFF"/>
                <w:sz w:val="20"/>
              </w:rPr>
              <w:t>Purpose</w:t>
            </w:r>
          </w:p>
        </w:tc>
      </w:tr>
      <w:tr>
        <w:tc>
          <w:tcPr>
            <w:tcW w:type="dxa" w:w="9072"/>
            <w:shd w:fill="F5F8F9"/>
            <w:tcMar>
              <w:top w:w="90" w:type="dxa"/>
              <w:start w:w="110" w:type="dxa"/>
              <w:bottom w:w="90" w:type="dxa"/>
              <w:end w:w="110" w:type="dxa"/>
            </w:tcMar>
            <w:tcBorders>
              <w:left w:val="single" w:sz="10" w:color="163A45"/>
              <w:top w:val="single" w:sz="10" w:color="163A45"/>
              <w:right w:val="single" w:sz="10" w:color="163A45"/>
              <w:bottom w:val="single" w:sz="10" w:color="163A45"/>
            </w:tcBorders>
          </w:tcPr>
          <w:p>
            <w:pPr>
              <w:spacing w:after="0" w:line="259" w:lineRule="auto"/>
            </w:pPr>
            <w:r>
              <w:rPr>
                <w:color w:val="1F1F1F"/>
                <w:sz w:val="18"/>
              </w:rPr>
              <w:t>This internal companion memo documents what changed in the rewritten TEA, which remaining items should be added to the data room before broad investor circulation, and which statements were deliberately softened, qualified, or removed because they were not yet strong enough for external use.</w:t>
            </w:r>
          </w:p>
        </w:tc>
      </w:tr>
    </w:tbl>
    <w:p/>
    <w:p/>
    <w:p/>
    <w:p/>
    <w:p>
      <w:pPr>
        <w:pStyle w:val="CoverSubtitle"/>
        <w:jc w:val="center"/>
      </w:pPr>
      <w:r>
        <w:rPr>
          <w:b/>
          <w:color w:val="163A45"/>
          <w:sz w:val="23"/>
        </w:rPr>
        <w:t>March 2026</w:t>
      </w:r>
    </w:p>
    <w:p>
      <w:pPr>
        <w:sectPr>
          <w:pgSz w:w="12240" w:h="15840"/>
          <w:pgMar w:top="1152" w:right="1224" w:bottom="1008" w:left="1224" w:header="720" w:footer="720" w:gutter="0"/>
          <w:cols w:space="720"/>
          <w:docGrid w:linePitch="360"/>
        </w:sectPr>
      </w:pPr>
    </w:p>
    <w:p>
      <w:pPr>
        <w:pStyle w:val="ReportHeading1"/>
        <w:spacing w:before="0"/>
      </w:pPr>
      <w:r>
        <w:t>1. Source Review Completed</w:t>
      </w:r>
    </w:p>
    <w:p>
      <w:pPr>
        <w:pStyle w:val="Body"/>
      </w:pPr>
      <w:r>
        <w:t>The revised TEA was built from the full attached source set rather than from the current draft alone. The current TEA draft was used as the editorial base. The notes, revision notes, financial model, engineering package, comparative materials, and quote package were all reviewed to tighten boundary logic, align numbers, and remove internal-drafting artifacts.</w:t>
      </w:r>
    </w:p>
    <w:tbl>
      <w:tblPr>
        <w:tblStyle w:val="TableGrid"/>
        <w:tblW w:type="auto" w:w="0"/>
        <w:jc w:val="center"/>
        <w:tblLayout w:type="fixed"/>
        <w:tblLook w:firstColumn="1" w:firstRow="1" w:lastColumn="0" w:lastRow="0" w:noHBand="0" w:noVBand="1" w:val="04A0"/>
      </w:tblPr>
      <w:tblGrid>
        <w:gridCol w:w="4968"/>
        <w:gridCol w:w="4968"/>
      </w:tblGrid>
      <w:tr>
        <w:trPr>
          <w:cantSplit/>
          <w:tblHeader w:val="true"/>
        </w:trPr>
        <w:tc>
          <w:tcPr>
            <w:tcW w:type="dxa" w:w="3312"/>
            <w:vAlign w:val="center"/>
            <w:tcMar>
              <w:top w:w="70" w:type="dxa"/>
              <w:start w:w="90" w:type="dxa"/>
              <w:bottom w:w="70" w:type="dxa"/>
              <w:end w:w="90" w:type="dxa"/>
            </w:tcMar>
            <w:shd w:fill="DCE6EA"/>
            <w:tcBorders>
              <w:left w:val="single" w:sz="6" w:color="C7D0D3"/>
              <w:top w:val="single" w:sz="6" w:color="C7D0D3"/>
              <w:right w:val="single" w:sz="6" w:color="C7D0D3"/>
              <w:bottom w:val="single" w:sz="6" w:color="C7D0D3"/>
            </w:tcBorders>
          </w:tcPr>
          <w:p>
            <w:pPr>
              <w:spacing w:before="0" w:after="0" w:line="252" w:lineRule="auto"/>
              <w:jc w:val="center"/>
            </w:pPr>
            <w:r>
              <w:rPr>
                <w:b/>
                <w:color w:val="163A45"/>
                <w:sz w:val="17"/>
              </w:rPr>
              <w:t>Document reviewed</w:t>
            </w:r>
          </w:p>
        </w:tc>
        <w:tc>
          <w:tcPr>
            <w:tcW w:type="dxa" w:w="6048"/>
            <w:vAlign w:val="center"/>
            <w:tcMar>
              <w:top w:w="70" w:type="dxa"/>
              <w:start w:w="90" w:type="dxa"/>
              <w:bottom w:w="70" w:type="dxa"/>
              <w:end w:w="90" w:type="dxa"/>
            </w:tcMar>
            <w:shd w:fill="DCE6EA"/>
            <w:tcBorders>
              <w:left w:val="single" w:sz="6" w:color="C7D0D3"/>
              <w:top w:val="single" w:sz="6" w:color="C7D0D3"/>
              <w:right w:val="single" w:sz="6" w:color="C7D0D3"/>
              <w:bottom w:val="single" w:sz="6" w:color="C7D0D3"/>
            </w:tcBorders>
          </w:tcPr>
          <w:p>
            <w:pPr>
              <w:spacing w:before="0" w:after="0" w:line="252" w:lineRule="auto"/>
              <w:jc w:val="center"/>
            </w:pPr>
            <w:r>
              <w:rPr>
                <w:b/>
                <w:color w:val="163A45"/>
                <w:sz w:val="17"/>
              </w:rPr>
              <w:t>Primary use in the rewrite</w:t>
            </w:r>
          </w:p>
        </w:tc>
      </w:tr>
      <w:tr>
        <w:trPr>
          <w:cantSplit/>
        </w:trPr>
        <w:tc>
          <w:tcPr>
            <w:tcW w:type="dxa" w:w="331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Tobe_TEA_V7.docx</w:t>
            </w:r>
          </w:p>
        </w:tc>
        <w:tc>
          <w:tcPr>
            <w:tcW w:type="dxa" w:w="604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Base structure, reusable phrasing, and current investor-facing framing</w:t>
            </w:r>
          </w:p>
        </w:tc>
      </w:tr>
      <w:tr>
        <w:trPr>
          <w:cantSplit/>
        </w:trPr>
        <w:tc>
          <w:tcPr>
            <w:tcW w:type="dxa" w:w="331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Notes for TEA.rtf</w:t>
            </w:r>
          </w:p>
        </w:tc>
        <w:tc>
          <w:tcPr>
            <w:tcW w:type="dxa" w:w="604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Corrected logic, stronger positioning, and commercial/engineering clarifications</w:t>
            </w:r>
          </w:p>
        </w:tc>
      </w:tr>
      <w:tr>
        <w:trPr>
          <w:cantSplit/>
        </w:trPr>
        <w:tc>
          <w:tcPr>
            <w:tcW w:type="dxa" w:w="331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TEA_Revision_Notes.md</w:t>
            </w:r>
          </w:p>
        </w:tc>
        <w:tc>
          <w:tcPr>
            <w:tcW w:type="dxa" w:w="604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Prior editorial fixes, softened claims, and data-room priorities</w:t>
            </w:r>
          </w:p>
        </w:tc>
      </w:tr>
      <w:tr>
        <w:trPr>
          <w:cantSplit/>
        </w:trPr>
        <w:tc>
          <w:tcPr>
            <w:tcW w:type="dxa" w:w="331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Clean_FinancialModel_Tobe_Seed.xlsx</w:t>
            </w:r>
          </w:p>
        </w:tc>
        <w:tc>
          <w:tcPr>
            <w:tcW w:type="dxa" w:w="604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Numerical basis for production, pricing, labor, lease, and live AFE</w:t>
            </w:r>
          </w:p>
        </w:tc>
      </w:tr>
      <w:tr>
        <w:trPr>
          <w:cantSplit/>
        </w:trPr>
        <w:tc>
          <w:tcPr>
            <w:tcW w:type="dxa" w:w="331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TOBE-FEED-PKG-001 / PFD / EL / PID</w:t>
            </w:r>
          </w:p>
        </w:tc>
        <w:tc>
          <w:tcPr>
            <w:tcW w:type="dxa" w:w="604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FOAK scope, battery limits, process basis, and electrical architecture</w:t>
            </w:r>
          </w:p>
        </w:tc>
      </w:tr>
      <w:tr>
        <w:trPr>
          <w:cantSplit/>
        </w:trPr>
        <w:tc>
          <w:tcPr>
            <w:tcW w:type="dxa" w:w="331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TOBE-GA-001</w:t>
            </w:r>
          </w:p>
        </w:tc>
        <w:tc>
          <w:tcPr>
            <w:tcW w:type="dxa" w:w="604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Conceptual layout only; explicitly not a cost basis</w:t>
            </w:r>
          </w:p>
        </w:tc>
      </w:tr>
      <w:tr>
        <w:trPr>
          <w:cantSplit/>
        </w:trPr>
        <w:tc>
          <w:tcPr>
            <w:tcW w:type="dxa" w:w="331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tobe-technology-overview-v1.0.pdf</w:t>
            </w:r>
          </w:p>
        </w:tc>
        <w:tc>
          <w:tcPr>
            <w:tcW w:type="dxa" w:w="604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Technology description, efficiency framing, lifecycle language, and validation status</w:t>
            </w:r>
          </w:p>
        </w:tc>
      </w:tr>
      <w:tr>
        <w:trPr>
          <w:cantSplit/>
        </w:trPr>
        <w:tc>
          <w:tcPr>
            <w:tcW w:type="dxa" w:w="331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tobe-project-developer-guide-v1.1.pdf</w:t>
            </w:r>
          </w:p>
        </w:tc>
        <w:tc>
          <w:tcPr>
            <w:tcW w:type="dxa" w:w="604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Utility requirements, controls, permitting, codes, and deployment framing</w:t>
            </w:r>
          </w:p>
        </w:tc>
      </w:tr>
      <w:tr>
        <w:trPr>
          <w:cantSplit/>
        </w:trPr>
        <w:tc>
          <w:tcPr>
            <w:tcW w:type="dxa" w:w="331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tobe-advantage-v1.0.pdf</w:t>
            </w:r>
          </w:p>
        </w:tc>
        <w:tc>
          <w:tcPr>
            <w:tcW w:type="dxa" w:w="604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Comparative positioning context only; not used as anchor-case proof</w:t>
            </w:r>
          </w:p>
        </w:tc>
      </w:tr>
      <w:tr>
        <w:trPr>
          <w:cantSplit/>
        </w:trPr>
        <w:tc>
          <w:tcPr>
            <w:tcW w:type="dxa" w:w="331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Loa Carbon Quote.docx</w:t>
            </w:r>
          </w:p>
        </w:tc>
        <w:tc>
          <w:tcPr>
            <w:tcW w:type="dxa" w:w="604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Supplementary maintenance and package context; not used as sole normalized cost basis</w:t>
            </w:r>
          </w:p>
        </w:tc>
      </w:tr>
    </w:tbl>
    <w:p>
      <w:pPr>
        <w:pStyle w:val="ReportHeading1"/>
        <w:keepNext/>
        <w:keepLines/>
      </w:pPr>
      <w:r>
        <w:t>2. Major Improvements in the Rewritten TEA</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160"/>
            <w:vAlign w:val="center"/>
            <w:tcMar>
              <w:top w:w="70" w:type="dxa"/>
              <w:start w:w="90" w:type="dxa"/>
              <w:bottom w:w="70" w:type="dxa"/>
              <w:end w:w="90" w:type="dxa"/>
            </w:tcMar>
            <w:shd w:fill="DCE6EA"/>
            <w:tcBorders>
              <w:left w:val="single" w:sz="6" w:color="C7D0D3"/>
              <w:top w:val="single" w:sz="6" w:color="C7D0D3"/>
              <w:right w:val="single" w:sz="6" w:color="C7D0D3"/>
              <w:bottom w:val="single" w:sz="6" w:color="C7D0D3"/>
            </w:tcBorders>
          </w:tcPr>
          <w:p>
            <w:pPr>
              <w:spacing w:before="0" w:after="0" w:line="252" w:lineRule="auto"/>
              <w:jc w:val="center"/>
            </w:pPr>
            <w:r>
              <w:rPr>
                <w:b/>
                <w:color w:val="163A45"/>
                <w:sz w:val="16"/>
              </w:rPr>
              <w:t>Improvement area</w:t>
            </w:r>
          </w:p>
        </w:tc>
        <w:tc>
          <w:tcPr>
            <w:tcW w:type="dxa" w:w="3960"/>
            <w:vAlign w:val="center"/>
            <w:tcMar>
              <w:top w:w="70" w:type="dxa"/>
              <w:start w:w="90" w:type="dxa"/>
              <w:bottom w:w="70" w:type="dxa"/>
              <w:end w:w="90" w:type="dxa"/>
            </w:tcMar>
            <w:shd w:fill="DCE6EA"/>
            <w:tcBorders>
              <w:left w:val="single" w:sz="6" w:color="C7D0D3"/>
              <w:top w:val="single" w:sz="6" w:color="C7D0D3"/>
              <w:right w:val="single" w:sz="6" w:color="C7D0D3"/>
              <w:bottom w:val="single" w:sz="6" w:color="C7D0D3"/>
            </w:tcBorders>
          </w:tcPr>
          <w:p>
            <w:pPr>
              <w:spacing w:before="0" w:after="0" w:line="252" w:lineRule="auto"/>
              <w:jc w:val="center"/>
            </w:pPr>
            <w:r>
              <w:rPr>
                <w:b/>
                <w:color w:val="163A45"/>
                <w:sz w:val="16"/>
              </w:rPr>
              <w:t>What changed</w:t>
            </w:r>
          </w:p>
        </w:tc>
        <w:tc>
          <w:tcPr>
            <w:tcW w:type="dxa" w:w="3240"/>
            <w:vAlign w:val="center"/>
            <w:tcMar>
              <w:top w:w="70" w:type="dxa"/>
              <w:start w:w="90" w:type="dxa"/>
              <w:bottom w:w="70" w:type="dxa"/>
              <w:end w:w="90" w:type="dxa"/>
            </w:tcMar>
            <w:shd w:fill="DCE6EA"/>
            <w:tcBorders>
              <w:left w:val="single" w:sz="6" w:color="C7D0D3"/>
              <w:top w:val="single" w:sz="6" w:color="C7D0D3"/>
              <w:right w:val="single" w:sz="6" w:color="C7D0D3"/>
              <w:bottom w:val="single" w:sz="6" w:color="C7D0D3"/>
            </w:tcBorders>
          </w:tcPr>
          <w:p>
            <w:pPr>
              <w:spacing w:before="0" w:after="0" w:line="252" w:lineRule="auto"/>
              <w:jc w:val="center"/>
            </w:pPr>
            <w:r>
              <w:rPr>
                <w:b/>
                <w:color w:val="163A45"/>
                <w:sz w:val="16"/>
              </w:rPr>
              <w:t>Why it matters</w:t>
            </w:r>
          </w:p>
        </w:tc>
      </w:tr>
      <w:tr>
        <w:trPr>
          <w:cantSplit/>
        </w:trPr>
        <w:tc>
          <w:tcPr>
            <w:tcW w:type="dxa" w:w="2160"/>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Boundary logic</w:t>
            </w:r>
          </w:p>
        </w:tc>
        <w:tc>
          <w:tcPr>
            <w:tcW w:type="dxa" w:w="396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Rebuilt the document around a single repeat-commercial delivered-hydrogen anchor case and separated that from the Zeeco FOAK case and optional fueling cases.</w:t>
            </w:r>
          </w:p>
        </w:tc>
        <w:tc>
          <w:tcPr>
            <w:tcW w:type="dxa" w:w="324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Prevents case contamination and makes the economics easier to trust.</w:t>
            </w:r>
          </w:p>
        </w:tc>
      </w:tr>
      <w:tr>
        <w:trPr>
          <w:cantSplit/>
        </w:trPr>
        <w:tc>
          <w:tcPr>
            <w:tcW w:type="dxa" w:w="2160"/>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Narrative order</w:t>
            </w:r>
          </w:p>
        </w:tc>
        <w:tc>
          <w:tcPr>
            <w:tcW w:type="dxa" w:w="396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Moved cost stack, product definition, and downside resilience ahead of return metrics.</w:t>
            </w:r>
          </w:p>
        </w:tc>
        <w:tc>
          <w:tcPr>
            <w:tcW w:type="dxa" w:w="324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Investors see the basis before the outputs.</w:t>
            </w:r>
          </w:p>
        </w:tc>
      </w:tr>
      <w:tr>
        <w:trPr>
          <w:cantSplit/>
        </w:trPr>
        <w:tc>
          <w:tcPr>
            <w:tcW w:type="dxa" w:w="2160"/>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Capital framing</w:t>
            </w:r>
          </w:p>
        </w:tc>
        <w:tc>
          <w:tcPr>
            <w:tcW w:type="dxa" w:w="396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Retained the live $4.575M AFE as the governing capital basis but disclosed that some line items reflect broader high-pressure scope than the stripped 200 bar boundary.</w:t>
            </w:r>
          </w:p>
        </w:tc>
        <w:tc>
          <w:tcPr>
            <w:tcW w:type="dxa" w:w="324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Improves honesty without hiding potentially conservative capital treatment.</w:t>
            </w:r>
          </w:p>
        </w:tc>
      </w:tr>
      <w:tr>
        <w:trPr>
          <w:cantSplit/>
        </w:trPr>
        <w:tc>
          <w:tcPr>
            <w:tcW w:type="dxa" w:w="2160"/>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Maintenance treatment</w:t>
            </w:r>
          </w:p>
        </w:tc>
        <w:tc>
          <w:tcPr>
            <w:tcW w:type="dxa" w:w="396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Used the current model basis ($0.42/kg) as the anchor maintenance rate and moved the Loa Carbon range to context and downside sensitivity.</w:t>
            </w:r>
          </w:p>
        </w:tc>
        <w:tc>
          <w:tcPr>
            <w:tcW w:type="dxa" w:w="324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Aligns the TEA to the primary numerical source hierarchy.</w:t>
            </w:r>
          </w:p>
        </w:tc>
      </w:tr>
      <w:tr>
        <w:trPr>
          <w:cantSplit/>
        </w:trPr>
        <w:tc>
          <w:tcPr>
            <w:tcW w:type="dxa" w:w="2160"/>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Return metrics</w:t>
            </w:r>
          </w:p>
        </w:tc>
        <w:tc>
          <w:tcPr>
            <w:tcW w:type="dxa" w:w="396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Used the cash-flow-reconcilable after-tax case (217.7% IRR; $57.5M NPV) rather than the higher note-only variant.</w:t>
            </w:r>
          </w:p>
        </w:tc>
        <w:tc>
          <w:tcPr>
            <w:tcW w:type="dxa" w:w="324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Removes avoidable diligence friction on derivation.</w:t>
            </w:r>
          </w:p>
        </w:tc>
      </w:tr>
      <w:tr>
        <w:trPr>
          <w:cantSplit/>
        </w:trPr>
        <w:tc>
          <w:tcPr>
            <w:tcW w:type="dxa" w:w="2160"/>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FOAK treatment</w:t>
            </w:r>
          </w:p>
        </w:tc>
        <w:tc>
          <w:tcPr>
            <w:tcW w:type="dxa" w:w="396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Reframed Zeeco as engineering validation, not the normalized commercial economic benchmark.</w:t>
            </w:r>
          </w:p>
        </w:tc>
        <w:tc>
          <w:tcPr>
            <w:tcW w:type="dxa" w:w="324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Strengthens the story by clarifying what FOAK actually proves.</w:t>
            </w:r>
          </w:p>
        </w:tc>
      </w:tr>
      <w:tr>
        <w:trPr>
          <w:cantSplit/>
        </w:trPr>
        <w:tc>
          <w:tcPr>
            <w:tcW w:type="dxa" w:w="2160"/>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Assumption language</w:t>
            </w:r>
          </w:p>
        </w:tc>
        <w:tc>
          <w:tcPr>
            <w:tcW w:type="dxa" w:w="396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Removed internal phrases such as management override, management clarification, placeholder, and pending-style bracket notes.</w:t>
            </w:r>
          </w:p>
        </w:tc>
        <w:tc>
          <w:tcPr>
            <w:tcW w:type="dxa" w:w="324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Makes the document sound externally authored and controlled.</w:t>
            </w:r>
          </w:p>
        </w:tc>
      </w:tr>
      <w:tr>
        <w:trPr>
          <w:cantSplit/>
        </w:trPr>
        <w:tc>
          <w:tcPr>
            <w:tcW w:type="dxa" w:w="2160"/>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Transparency</w:t>
            </w:r>
          </w:p>
        </w:tc>
        <w:tc>
          <w:tcPr>
            <w:tcW w:type="dxa" w:w="396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Converted caveats into disciplined external disclosures on what is evidenced, what is modeled, and what is intentionally excluded.</w:t>
            </w:r>
          </w:p>
        </w:tc>
        <w:tc>
          <w:tcPr>
            <w:tcW w:type="dxa" w:w="324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Preserves honesty without making the analysis sound fragile.</w:t>
            </w:r>
          </w:p>
        </w:tc>
      </w:tr>
    </w:tbl>
    <w:p>
      <w:pPr>
        <w:pStyle w:val="ReportHeading1"/>
        <w:keepNext/>
        <w:keepLines/>
      </w:pPr>
      <w:r>
        <w:t>3. Remaining Data-Room Actions Before Broad Circulation</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1152"/>
            <w:vAlign w:val="center"/>
            <w:tcMar>
              <w:top w:w="70" w:type="dxa"/>
              <w:start w:w="90" w:type="dxa"/>
              <w:bottom w:w="70" w:type="dxa"/>
              <w:end w:w="90" w:type="dxa"/>
            </w:tcMar>
            <w:shd w:fill="DCE6EA"/>
            <w:tcBorders>
              <w:left w:val="single" w:sz="6" w:color="C7D0D3"/>
              <w:top w:val="single" w:sz="6" w:color="C7D0D3"/>
              <w:right w:val="single" w:sz="6" w:color="C7D0D3"/>
              <w:bottom w:val="single" w:sz="6" w:color="C7D0D3"/>
            </w:tcBorders>
          </w:tcPr>
          <w:p>
            <w:pPr>
              <w:spacing w:before="0" w:after="0" w:line="252" w:lineRule="auto"/>
              <w:jc w:val="center"/>
            </w:pPr>
            <w:r>
              <w:rPr>
                <w:b/>
                <w:color w:val="163A45"/>
                <w:sz w:val="17"/>
              </w:rPr>
              <w:t>Priority</w:t>
            </w:r>
          </w:p>
        </w:tc>
        <w:tc>
          <w:tcPr>
            <w:tcW w:type="dxa" w:w="3312"/>
            <w:vAlign w:val="center"/>
            <w:tcMar>
              <w:top w:w="70" w:type="dxa"/>
              <w:start w:w="90" w:type="dxa"/>
              <w:bottom w:w="70" w:type="dxa"/>
              <w:end w:w="90" w:type="dxa"/>
            </w:tcMar>
            <w:shd w:fill="DCE6EA"/>
            <w:tcBorders>
              <w:left w:val="single" w:sz="6" w:color="C7D0D3"/>
              <w:top w:val="single" w:sz="6" w:color="C7D0D3"/>
              <w:right w:val="single" w:sz="6" w:color="C7D0D3"/>
              <w:bottom w:val="single" w:sz="6" w:color="C7D0D3"/>
            </w:tcBorders>
          </w:tcPr>
          <w:p>
            <w:pPr>
              <w:spacing w:before="0" w:after="0" w:line="252" w:lineRule="auto"/>
              <w:jc w:val="center"/>
            </w:pPr>
            <w:r>
              <w:rPr>
                <w:b/>
                <w:color w:val="163A45"/>
                <w:sz w:val="17"/>
              </w:rPr>
              <w:t>Item</w:t>
            </w:r>
          </w:p>
        </w:tc>
        <w:tc>
          <w:tcPr>
            <w:tcW w:type="dxa" w:w="4752"/>
            <w:vAlign w:val="center"/>
            <w:tcMar>
              <w:top w:w="70" w:type="dxa"/>
              <w:start w:w="90" w:type="dxa"/>
              <w:bottom w:w="70" w:type="dxa"/>
              <w:end w:w="90" w:type="dxa"/>
            </w:tcMar>
            <w:shd w:fill="DCE6EA"/>
            <w:tcBorders>
              <w:left w:val="single" w:sz="6" w:color="C7D0D3"/>
              <w:top w:val="single" w:sz="6" w:color="C7D0D3"/>
              <w:right w:val="single" w:sz="6" w:color="C7D0D3"/>
              <w:bottom w:val="single" w:sz="6" w:color="C7D0D3"/>
            </w:tcBorders>
          </w:tcPr>
          <w:p>
            <w:pPr>
              <w:spacing w:before="0" w:after="0" w:line="252" w:lineRule="auto"/>
              <w:jc w:val="center"/>
            </w:pPr>
            <w:r>
              <w:rPr>
                <w:b/>
                <w:color w:val="163A45"/>
                <w:sz w:val="17"/>
              </w:rPr>
              <w:t>Why it matters</w:t>
            </w:r>
          </w:p>
        </w:tc>
      </w:tr>
      <w:tr>
        <w:trPr>
          <w:cantSplit/>
        </w:trPr>
        <w:tc>
          <w:tcPr>
            <w:tcW w:type="dxa" w:w="115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center"/>
            </w:pPr>
            <w:r>
              <w:rPr>
                <w:color w:val="1F1F1F"/>
                <w:sz w:val="17"/>
              </w:rPr>
              <w:t>High</w:t>
            </w:r>
          </w:p>
        </w:tc>
        <w:tc>
          <w:tcPr>
            <w:tcW w:type="dxa" w:w="331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T-125 performance and duration package</w:t>
            </w:r>
          </w:p>
        </w:tc>
        <w:tc>
          <w:tcPr>
            <w:tcW w:type="dxa" w:w="475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The repeat-commercial case depends on the larger-module bridge; this is the single most important remaining technical package.</w:t>
            </w:r>
          </w:p>
        </w:tc>
      </w:tr>
      <w:tr>
        <w:trPr>
          <w:cantSplit/>
        </w:trPr>
        <w:tc>
          <w:tcPr>
            <w:tcW w:type="dxa" w:w="115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center"/>
            </w:pPr>
            <w:r>
              <w:rPr>
                <w:color w:val="1F1F1F"/>
                <w:sz w:val="17"/>
              </w:rPr>
              <w:t>High</w:t>
            </w:r>
          </w:p>
        </w:tc>
        <w:tc>
          <w:tcPr>
            <w:tcW w:type="dxa" w:w="331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Third-party performance validation package</w:t>
            </w:r>
          </w:p>
        </w:tc>
        <w:tc>
          <w:tcPr>
            <w:tcW w:type="dxa" w:w="475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Would materially strengthen efficiency and lifecycle credibility.</w:t>
            </w:r>
          </w:p>
        </w:tc>
      </w:tr>
      <w:tr>
        <w:trPr>
          <w:cantSplit/>
        </w:trPr>
        <w:tc>
          <w:tcPr>
            <w:tcW w:type="dxa" w:w="115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center"/>
            </w:pPr>
            <w:r>
              <w:rPr>
                <w:color w:val="1F1F1F"/>
                <w:sz w:val="17"/>
              </w:rPr>
              <w:t>High</w:t>
            </w:r>
          </w:p>
        </w:tc>
        <w:tc>
          <w:tcPr>
            <w:tcW w:type="dxa" w:w="331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Anonymized pricing appendix</w:t>
            </w:r>
          </w:p>
        </w:tc>
        <w:tc>
          <w:tcPr>
            <w:tcW w:type="dxa" w:w="475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Needed to support the $25/kg anchor case with disciplined commercial evidence rather than anecdotal pricing.</w:t>
            </w:r>
          </w:p>
        </w:tc>
      </w:tr>
      <w:tr>
        <w:trPr>
          <w:cantSplit/>
        </w:trPr>
        <w:tc>
          <w:tcPr>
            <w:tcW w:type="dxa" w:w="115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center"/>
            </w:pPr>
            <w:r>
              <w:rPr>
                <w:color w:val="1F1F1F"/>
                <w:sz w:val="17"/>
              </w:rPr>
              <w:t>High</w:t>
            </w:r>
          </w:p>
        </w:tc>
        <w:tc>
          <w:tcPr>
            <w:tcW w:type="dxa" w:w="331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FEED closeout memo or reissued closed-item register</w:t>
            </w:r>
          </w:p>
        </w:tc>
        <w:tc>
          <w:tcPr>
            <w:tcW w:type="dxa" w:w="475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Current FOAK package remains marked issued-for-review; closeout packaging would reduce engineering diligence friction.</w:t>
            </w:r>
          </w:p>
        </w:tc>
      </w:tr>
      <w:tr>
        <w:trPr>
          <w:cantSplit/>
        </w:trPr>
        <w:tc>
          <w:tcPr>
            <w:tcW w:type="dxa" w:w="115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center"/>
            </w:pPr>
            <w:r>
              <w:rPr>
                <w:color w:val="1F1F1F"/>
                <w:sz w:val="17"/>
              </w:rPr>
              <w:t>Medium</w:t>
            </w:r>
          </w:p>
        </w:tc>
        <w:tc>
          <w:tcPr>
            <w:tcW w:type="dxa" w:w="331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Boundary-clean capital memo</w:t>
            </w:r>
          </w:p>
        </w:tc>
        <w:tc>
          <w:tcPr>
            <w:tcW w:type="dxa" w:w="475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Separates the 200 bar delivered anchor case from optional higher-pressure lines that still appear in the live AFE.</w:t>
            </w:r>
          </w:p>
        </w:tc>
      </w:tr>
      <w:tr>
        <w:trPr>
          <w:cantSplit/>
        </w:trPr>
        <w:tc>
          <w:tcPr>
            <w:tcW w:type="dxa" w:w="115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center"/>
            </w:pPr>
            <w:r>
              <w:rPr>
                <w:color w:val="1F1F1F"/>
                <w:sz w:val="17"/>
              </w:rPr>
              <w:t>Medium</w:t>
            </w:r>
          </w:p>
        </w:tc>
        <w:tc>
          <w:tcPr>
            <w:tcW w:type="dxa" w:w="331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Maintenance reserve build-up</w:t>
            </w:r>
          </w:p>
        </w:tc>
        <w:tc>
          <w:tcPr>
            <w:tcW w:type="dxa" w:w="475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Would show bottom-up support beneath the $0.42/kg model basis and explain the relation to the higher consultant range.</w:t>
            </w:r>
          </w:p>
        </w:tc>
      </w:tr>
      <w:tr>
        <w:trPr>
          <w:cantSplit/>
        </w:trPr>
        <w:tc>
          <w:tcPr>
            <w:tcW w:type="dxa" w:w="115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center"/>
            </w:pPr>
            <w:r>
              <w:rPr>
                <w:color w:val="1F1F1F"/>
                <w:sz w:val="17"/>
              </w:rPr>
              <w:t>Medium</w:t>
            </w:r>
          </w:p>
        </w:tc>
        <w:tc>
          <w:tcPr>
            <w:tcW w:type="dxa" w:w="331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T-125 one-line / controls package and swap-time evidence</w:t>
            </w:r>
          </w:p>
        </w:tc>
        <w:tc>
          <w:tcPr>
            <w:tcW w:type="dxa" w:w="475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Would tighten the serviceability and electrical scale-up story.</w:t>
            </w:r>
          </w:p>
        </w:tc>
      </w:tr>
      <w:tr>
        <w:trPr>
          <w:cantSplit/>
        </w:trPr>
        <w:tc>
          <w:tcPr>
            <w:tcW w:type="dxa" w:w="115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center"/>
            </w:pPr>
            <w:r>
              <w:rPr>
                <w:color w:val="1F1F1F"/>
                <w:sz w:val="17"/>
              </w:rPr>
              <w:t>Medium</w:t>
            </w:r>
          </w:p>
        </w:tc>
        <w:tc>
          <w:tcPr>
            <w:tcW w:type="dxa" w:w="331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Carbon-intensity pathway memo if 45V is to be shown externally</w:t>
            </w:r>
          </w:p>
        </w:tc>
        <w:tc>
          <w:tcPr>
            <w:tcW w:type="dxa" w:w="475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Not needed for the anchor case, but needed for any formal policy-upside discussion.</w:t>
            </w:r>
          </w:p>
        </w:tc>
      </w:tr>
      <w:tr>
        <w:trPr>
          <w:cantSplit/>
        </w:trPr>
        <w:tc>
          <w:tcPr>
            <w:tcW w:type="dxa" w:w="115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center"/>
            </w:pPr>
            <w:r>
              <w:rPr>
                <w:color w:val="1F1F1F"/>
                <w:sz w:val="17"/>
              </w:rPr>
              <w:t>Lower</w:t>
            </w:r>
          </w:p>
        </w:tc>
        <w:tc>
          <w:tcPr>
            <w:tcW w:type="dxa" w:w="331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Workbook front-end cleanup</w:t>
            </w:r>
          </w:p>
        </w:tc>
        <w:tc>
          <w:tcPr>
            <w:tcW w:type="dxa" w:w="4752"/>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7"/>
              </w:rPr>
              <w:t>Useful for consistency if the model itself will be circulated, but not required for the TEA document alone.</w:t>
            </w:r>
          </w:p>
        </w:tc>
      </w:tr>
    </w:tbl>
    <w:p>
      <w:pPr>
        <w:pStyle w:val="ReportHeading1"/>
        <w:keepNext/>
        <w:keepLines/>
      </w:pPr>
      <w:r>
        <w:t>4. Red-Flag Review</w:t>
      </w:r>
    </w:p>
    <w:p>
      <w:pPr>
        <w:pStyle w:val="Body"/>
      </w:pPr>
      <w:r>
        <w:t>The rewritten TEA deliberately softens or removes several statements that could invite avoidable diligence questions if left in their original form. The goal was not to make the document timid; it was to make every strong statement land cleanly.</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592"/>
            <w:vAlign w:val="center"/>
            <w:tcMar>
              <w:top w:w="70" w:type="dxa"/>
              <w:start w:w="90" w:type="dxa"/>
              <w:bottom w:w="70" w:type="dxa"/>
              <w:end w:w="90" w:type="dxa"/>
            </w:tcMar>
            <w:shd w:fill="DCE6EA"/>
            <w:tcBorders>
              <w:left w:val="single" w:sz="6" w:color="C7D0D3"/>
              <w:top w:val="single" w:sz="6" w:color="C7D0D3"/>
              <w:right w:val="single" w:sz="6" w:color="C7D0D3"/>
              <w:bottom w:val="single" w:sz="6" w:color="C7D0D3"/>
            </w:tcBorders>
          </w:tcPr>
          <w:p>
            <w:pPr>
              <w:spacing w:before="0" w:after="0" w:line="252" w:lineRule="auto"/>
              <w:jc w:val="center"/>
            </w:pPr>
            <w:r>
              <w:rPr>
                <w:b/>
                <w:color w:val="163A45"/>
                <w:sz w:val="16"/>
              </w:rPr>
              <w:t>Original or risky framing</w:t>
            </w:r>
          </w:p>
        </w:tc>
        <w:tc>
          <w:tcPr>
            <w:tcW w:type="dxa" w:w="3168"/>
            <w:vAlign w:val="center"/>
            <w:tcMar>
              <w:top w:w="70" w:type="dxa"/>
              <w:start w:w="90" w:type="dxa"/>
              <w:bottom w:w="70" w:type="dxa"/>
              <w:end w:w="90" w:type="dxa"/>
            </w:tcMar>
            <w:shd w:fill="DCE6EA"/>
            <w:tcBorders>
              <w:left w:val="single" w:sz="6" w:color="C7D0D3"/>
              <w:top w:val="single" w:sz="6" w:color="C7D0D3"/>
              <w:right w:val="single" w:sz="6" w:color="C7D0D3"/>
              <w:bottom w:val="single" w:sz="6" w:color="C7D0D3"/>
            </w:tcBorders>
          </w:tcPr>
          <w:p>
            <w:pPr>
              <w:spacing w:before="0" w:after="0" w:line="252" w:lineRule="auto"/>
              <w:jc w:val="center"/>
            </w:pPr>
            <w:r>
              <w:rPr>
                <w:b/>
                <w:color w:val="163A45"/>
                <w:sz w:val="16"/>
              </w:rPr>
              <w:t>Action taken</w:t>
            </w:r>
          </w:p>
        </w:tc>
        <w:tc>
          <w:tcPr>
            <w:tcW w:type="dxa" w:w="3600"/>
            <w:vAlign w:val="center"/>
            <w:tcMar>
              <w:top w:w="70" w:type="dxa"/>
              <w:start w:w="90" w:type="dxa"/>
              <w:bottom w:w="70" w:type="dxa"/>
              <w:end w:w="90" w:type="dxa"/>
            </w:tcMar>
            <w:shd w:fill="DCE6EA"/>
            <w:tcBorders>
              <w:left w:val="single" w:sz="6" w:color="C7D0D3"/>
              <w:top w:val="single" w:sz="6" w:color="C7D0D3"/>
              <w:right w:val="single" w:sz="6" w:color="C7D0D3"/>
              <w:bottom w:val="single" w:sz="6" w:color="C7D0D3"/>
            </w:tcBorders>
          </w:tcPr>
          <w:p>
            <w:pPr>
              <w:spacing w:before="0" w:after="0" w:line="252" w:lineRule="auto"/>
              <w:jc w:val="center"/>
            </w:pPr>
            <w:r>
              <w:rPr>
                <w:b/>
                <w:color w:val="163A45"/>
                <w:sz w:val="16"/>
              </w:rPr>
              <w:t>Reason</w:t>
            </w:r>
          </w:p>
        </w:tc>
      </w:tr>
      <w:tr>
        <w:trPr>
          <w:cantSplit/>
        </w:trPr>
        <w:tc>
          <w:tcPr>
            <w:tcW w:type="dxa" w:w="259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Higher note-only return case (233% IRR / $66.0M NPV)</w:t>
            </w:r>
          </w:p>
        </w:tc>
        <w:tc>
          <w:tcPr>
            <w:tcW w:type="dxa" w:w="316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Replaced with the cash-flow-reconcilable after-tax case (217.7% / $57.5M).</w:t>
            </w:r>
          </w:p>
        </w:tc>
        <w:tc>
          <w:tcPr>
            <w:tcW w:type="dxa" w:w="360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The lower case is fully traceable to the stated methodology.</w:t>
            </w:r>
          </w:p>
        </w:tc>
      </w:tr>
      <w:tr>
        <w:trPr>
          <w:cantSplit/>
        </w:trPr>
        <w:tc>
          <w:tcPr>
            <w:tcW w:type="dxa" w:w="259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Maintenance anchored to consultant quote</w:t>
            </w:r>
          </w:p>
        </w:tc>
        <w:tc>
          <w:tcPr>
            <w:tcW w:type="dxa" w:w="316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Moved consultant range to context and downside sensitivity; anchor case now follows current model basis.</w:t>
            </w:r>
          </w:p>
        </w:tc>
        <w:tc>
          <w:tcPr>
            <w:tcW w:type="dxa" w:w="360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The quote package should not quietly become the primary backbone of normalized economics.</w:t>
            </w:r>
          </w:p>
        </w:tc>
      </w:tr>
      <w:tr>
        <w:trPr>
          <w:cantSplit/>
        </w:trPr>
        <w:tc>
          <w:tcPr>
            <w:tcW w:type="dxa" w:w="259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$25/kg presented as if fully underwritten</w:t>
            </w:r>
          </w:p>
        </w:tc>
        <w:tc>
          <w:tcPr>
            <w:tcW w:type="dxa" w:w="316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Reframed as a disciplined local delivered-price assumption with a clear recommendation for an anonymized pricing appendix.</w:t>
            </w:r>
          </w:p>
        </w:tc>
        <w:tc>
          <w:tcPr>
            <w:tcW w:type="dxa" w:w="360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Distinguishes commercial guidance from fully contracted offtake.</w:t>
            </w:r>
          </w:p>
        </w:tc>
      </w:tr>
      <w:tr>
        <w:trPr>
          <w:cantSplit/>
        </w:trPr>
        <w:tc>
          <w:tcPr>
            <w:tcW w:type="dxa" w:w="259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80,000-hour stack life implied as proven</w:t>
            </w:r>
          </w:p>
        </w:tc>
        <w:tc>
          <w:tcPr>
            <w:tcW w:type="dxa" w:w="316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Reframed as a current design-life basis that supports the 9-year model, while noting that long-duration validation should still be packaged.</w:t>
            </w:r>
          </w:p>
        </w:tc>
        <w:tc>
          <w:tcPr>
            <w:tcW w:type="dxa" w:w="360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More credible under investor scrutiny.</w:t>
            </w:r>
          </w:p>
        </w:tc>
      </w:tr>
      <w:tr>
        <w:trPr>
          <w:cantSplit/>
        </w:trPr>
        <w:tc>
          <w:tcPr>
            <w:tcW w:type="dxa" w:w="259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T-25 swap-time implicitly extended to T-125</w:t>
            </w:r>
          </w:p>
        </w:tc>
        <w:tc>
          <w:tcPr>
            <w:tcW w:type="dxa" w:w="316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Limited the demonstrated swap claim to T-25 only.</w:t>
            </w:r>
          </w:p>
        </w:tc>
        <w:tc>
          <w:tcPr>
            <w:tcW w:type="dxa" w:w="360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Avoids unsupported extrapolation.</w:t>
            </w:r>
          </w:p>
        </w:tc>
      </w:tr>
      <w:tr>
        <w:trPr>
          <w:cantSplit/>
        </w:trPr>
        <w:tc>
          <w:tcPr>
            <w:tcW w:type="dxa" w:w="259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Zeeco treated as a commercial benchmark</w:t>
            </w:r>
          </w:p>
        </w:tc>
        <w:tc>
          <w:tcPr>
            <w:tcW w:type="dxa" w:w="316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Reframed as engineering validation and market-entry proof, not the normalized valuation anchor.</w:t>
            </w:r>
          </w:p>
        </w:tc>
        <w:tc>
          <w:tcPr>
            <w:tcW w:type="dxa" w:w="360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Prevents FOAK commercial structure from muddying the repeat case.</w:t>
            </w:r>
          </w:p>
        </w:tc>
      </w:tr>
      <w:tr>
        <w:trPr>
          <w:cantSplit/>
        </w:trPr>
        <w:tc>
          <w:tcPr>
            <w:tcW w:type="dxa" w:w="259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45V discussed as part of the core thesis</w:t>
            </w:r>
          </w:p>
        </w:tc>
        <w:tc>
          <w:tcPr>
            <w:tcW w:type="dxa" w:w="316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Moved entirely to upside-only treatment.</w:t>
            </w:r>
          </w:p>
        </w:tc>
        <w:tc>
          <w:tcPr>
            <w:tcW w:type="dxa" w:w="360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The base case should stand without policy support.</w:t>
            </w:r>
          </w:p>
        </w:tc>
      </w:tr>
      <w:tr>
        <w:trPr>
          <w:cantSplit/>
        </w:trPr>
        <w:tc>
          <w:tcPr>
            <w:tcW w:type="dxa" w:w="2592"/>
            <w:vAlign w:val="center"/>
            <w:tcMar>
              <w:top w:w="70" w:type="dxa"/>
              <w:start w:w="90" w:type="dxa"/>
              <w:bottom w:w="70" w:type="dxa"/>
              <w:end w:w="90" w:type="dxa"/>
            </w:tcMar>
            <w:shd w:fill="F7FAFB"/>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AFE high-pressure scope left implicit</w:t>
            </w:r>
          </w:p>
        </w:tc>
        <w:tc>
          <w:tcPr>
            <w:tcW w:type="dxa" w:w="3168"/>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Disclosed directly in the TEA and treated as conservative capital basis pending a cleaner capital split.</w:t>
            </w:r>
          </w:p>
        </w:tc>
        <w:tc>
          <w:tcPr>
            <w:tcW w:type="dxa" w:w="3600"/>
            <w:vAlign w:val="center"/>
            <w:tcMar>
              <w:top w:w="70" w:type="dxa"/>
              <w:start w:w="90" w:type="dxa"/>
              <w:bottom w:w="70" w:type="dxa"/>
              <w:end w:w="90" w:type="dxa"/>
            </w:tcMar>
            <w:tcBorders>
              <w:left w:val="single" w:sz="6" w:color="C7D0D3"/>
              <w:top w:val="single" w:sz="6" w:color="C7D0D3"/>
              <w:right w:val="single" w:sz="6" w:color="C7D0D3"/>
              <w:bottom w:val="single" w:sz="6" w:color="C7D0D3"/>
            </w:tcBorders>
          </w:tcPr>
          <w:p>
            <w:pPr>
              <w:spacing w:before="0" w:after="0" w:line="252" w:lineRule="auto"/>
              <w:jc w:val="left"/>
            </w:pPr>
            <w:r>
              <w:rPr>
                <w:color w:val="1F1F1F"/>
                <w:sz w:val="16"/>
              </w:rPr>
              <w:t>Better to surface the issue than let investors discover it first.</w:t>
            </w:r>
          </w:p>
        </w:tc>
      </w:tr>
    </w:tbl>
    <w:tbl>
      <w:tblPr>
        <w:tblStyle w:val="TableGrid"/>
        <w:tblW w:type="auto" w:w="0"/>
        <w:jc w:val="center"/>
        <w:tblLayout w:type="fixed"/>
        <w:tblLook w:firstColumn="1" w:firstRow="1" w:lastColumn="0" w:lastRow="0" w:noHBand="0" w:noVBand="1" w:val="04A0"/>
      </w:tblPr>
      <w:tblGrid>
        <w:gridCol w:w="9936"/>
      </w:tblGrid>
      <w:tr>
        <w:tc>
          <w:tcPr>
            <w:tcW w:type="dxa" w:w="9360"/>
            <w:shd w:fill="163A45"/>
            <w:tcMar>
              <w:top w:w="90" w:type="dxa"/>
              <w:start w:w="110" w:type="dxa"/>
              <w:bottom w:w="90" w:type="dxa"/>
              <w:end w:w="110" w:type="dxa"/>
            </w:tcMar>
            <w:tcBorders>
              <w:left w:val="single" w:sz="10" w:color="163A45"/>
              <w:top w:val="single" w:sz="10" w:color="163A45"/>
              <w:right w:val="single" w:sz="10" w:color="163A45"/>
              <w:bottom w:val="single" w:sz="10" w:color="163A45"/>
            </w:tcBorders>
          </w:tcPr>
          <w:p>
            <w:pPr>
              <w:spacing w:after="0"/>
              <w:jc w:val="left"/>
            </w:pPr>
            <w:r>
              <w:rPr>
                <w:b/>
                <w:color w:val="FFFFFF"/>
                <w:sz w:val="20"/>
              </w:rPr>
              <w:t>Bottom line</w:t>
            </w:r>
          </w:p>
        </w:tc>
      </w:tr>
      <w:tr>
        <w:tc>
          <w:tcPr>
            <w:tcW w:type="dxa" w:w="9360"/>
            <w:shd w:fill="F5F8F9"/>
            <w:tcMar>
              <w:top w:w="90" w:type="dxa"/>
              <w:start w:w="110" w:type="dxa"/>
              <w:bottom w:w="90" w:type="dxa"/>
              <w:end w:w="110" w:type="dxa"/>
            </w:tcMar>
            <w:tcBorders>
              <w:left w:val="single" w:sz="10" w:color="163A45"/>
              <w:top w:val="single" w:sz="10" w:color="163A45"/>
              <w:right w:val="single" w:sz="10" w:color="163A45"/>
              <w:bottom w:val="single" w:sz="10" w:color="163A45"/>
            </w:tcBorders>
          </w:tcPr>
          <w:p>
            <w:pPr>
              <w:spacing w:after="0" w:line="259" w:lineRule="auto"/>
            </w:pPr>
            <w:r>
              <w:rPr>
                <w:color w:val="1F1F1F"/>
                <w:sz w:val="18"/>
              </w:rPr>
              <w:t>The rewritten TEA is stronger because it is more explicit, not because it is louder. It now reads as one coherent diligence document built around a repeat-commercial facility case, with the FOAK project positioned correctly and the remaining validation items handled as packaging tasks rather than as hidden weaknesses.</w:t>
            </w:r>
          </w:p>
        </w:tc>
      </w:tr>
    </w:tbl>
    <w:sectPr w:rsidR="00FC693F" w:rsidRPr="0006063C" w:rsidSect="00034616">
      <w:headerReference w:type="default" r:id="rId9"/>
      <w:footerReference w:type="default" r:id="rId10"/>
      <w:pgSz w:w="12240" w:h="15840"/>
      <w:pgMar w:top="1080" w:right="1152" w:bottom="1008" w:left="1152"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896"/>
      <w:gridCol w:w="4896"/>
    </w:tblGrid>
    <w:tr>
      <w:tc>
        <w:tcPr>
          <w:tcW w:type="dxa" w:w="7776"/>
          <w:tcBorders>
            <w:left w:val="nil" w:sz="0"/>
            <w:top w:val="single" w:sz="8" w:color="C7D0D3"/>
            <w:right w:val="nil" w:sz="0"/>
            <w:bottom w:val="nil" w:sz="0"/>
          </w:tcBorders>
          <w:tcMar>
            <w:top w:w="20" w:type="dxa"/>
            <w:start w:w="0" w:type="dxa"/>
            <w:bottom w:w="0" w:type="dxa"/>
            <w:end w:w="0" w:type="dxa"/>
          </w:tcMar>
        </w:tcPr>
        <w:p>
          <w:pPr>
            <w:pStyle w:val="FooterText"/>
            <w:spacing w:after="0" w:before="0"/>
            <w:jc w:val="left"/>
          </w:pPr>
          <w:r>
            <w:t>Internal companion memo</w:t>
          </w:r>
        </w:p>
      </w:tc>
      <w:tc>
        <w:tcPr>
          <w:tcW w:type="dxa" w:w="2016"/>
          <w:tcBorders>
            <w:left w:val="nil" w:sz="0"/>
            <w:top w:val="single" w:sz="8" w:color="C7D0D3"/>
            <w:right w:val="nil" w:sz="0"/>
            <w:bottom w:val="nil" w:sz="0"/>
          </w:tcBorders>
          <w:tcMar>
            <w:top w:w="20" w:type="dxa"/>
            <w:start w:w="0" w:type="dxa"/>
            <w:bottom w:w="0" w:type="dxa"/>
            <w:end w:w="0" w:type="dxa"/>
          </w:tcMar>
        </w:tcPr>
        <w:p>
          <w:pPr>
            <w:pStyle w:val="FooterText"/>
            <w:spacing w:after="0" w:before="0"/>
            <w:jc w:val="right"/>
          </w:pPr>
          <w:r>
            <w:t xml:space="preserve">Page </w:t>
          </w:r>
          <w: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B6B6B"/>
        <w:sz w:val="16"/>
      </w:rPr>
      <w:t>Tobe Energy | TEA Editorial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after="120" w:line="269" w:lineRule="auto"/>
    </w:pPr>
    <w:rPr>
      <w:rFonts w:ascii="Calibri" w:hAnsi="Calibri"/>
      <w:sz w:val="21"/>
    </w:rPr>
  </w:style>
  <w:style w:type="paragraph" w:customStyle="1" w:styleId="BodySmall">
    <w:name w:val="Body Small"/>
    <w:basedOn w:val="Normal"/>
    <w:pPr>
      <w:spacing w:after="80" w:line="259" w:lineRule="auto"/>
    </w:pPr>
    <w:rPr>
      <w:rFonts w:ascii="Calibri" w:hAnsi="Calibri"/>
      <w:sz w:val="18"/>
    </w:rPr>
  </w:style>
  <w:style w:type="paragraph" w:customStyle="1" w:styleId="CoverEyebrow">
    <w:name w:val="Cover Eyebrow"/>
    <w:pPr>
      <w:spacing w:after="60"/>
    </w:pPr>
    <w:rPr>
      <w:rFonts w:ascii="Calibri" w:hAnsi="Calibri"/>
      <w:b/>
      <w:color w:val="0F4C5C"/>
      <w:sz w:val="22"/>
    </w:rPr>
  </w:style>
  <w:style w:type="paragraph" w:customStyle="1" w:styleId="CoverTitle">
    <w:name w:val="Cover Title"/>
    <w:pPr>
      <w:spacing w:after="80"/>
    </w:pPr>
    <w:rPr>
      <w:rFonts w:ascii="Cambria" w:hAnsi="Cambria"/>
      <w:b/>
      <w:color w:val="163A45"/>
      <w:sz w:val="48"/>
    </w:rPr>
  </w:style>
  <w:style w:type="paragraph" w:customStyle="1" w:styleId="CoverSubtitle">
    <w:name w:val="Cover Subtitle"/>
    <w:pPr>
      <w:spacing w:after="60"/>
    </w:pPr>
    <w:rPr>
      <w:rFonts w:ascii="Cambria" w:hAnsi="Cambria"/>
      <w:color w:val="49626B"/>
      <w:sz w:val="26"/>
    </w:rPr>
  </w:style>
  <w:style w:type="paragraph" w:customStyle="1" w:styleId="ReportHeading1">
    <w:name w:val="Report Heading 1"/>
    <w:basedOn w:val="Normal"/>
    <w:pPr>
      <w:keepNext/>
      <w:spacing w:before="320" w:after="120"/>
    </w:pPr>
    <w:rPr>
      <w:rFonts w:ascii="Cambria" w:hAnsi="Cambria"/>
      <w:b/>
      <w:color w:val="0F4C5C"/>
      <w:sz w:val="28"/>
    </w:rPr>
  </w:style>
  <w:style w:type="paragraph" w:customStyle="1" w:styleId="ReportHeading2">
    <w:name w:val="Report Heading 2"/>
    <w:basedOn w:val="Normal"/>
    <w:pPr>
      <w:keepNext/>
      <w:spacing w:before="200" w:after="60"/>
    </w:pPr>
    <w:rPr>
      <w:rFonts w:ascii="Cambria" w:hAnsi="Cambria"/>
      <w:b/>
      <w:color w:val="21424A"/>
      <w:sz w:val="23"/>
    </w:rPr>
  </w:style>
  <w:style w:type="paragraph" w:customStyle="1" w:styleId="FooterText">
    <w:name w:val="Footer Text"/>
    <w:rPr>
      <w:rFonts w:ascii="Calibri" w:hAnsi="Calibri"/>
      <w:color w:val="6B6B6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