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3.jpg" ContentType="image/jpeg"/>
  <Override PartName="/word/media/rId27.jpg" ContentType="image/jpeg"/>
  <Override PartName="/word/media/rId26.jpg" ContentType="image/jpeg"/>
  <Override PartName="/word/media/rId30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4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Дарижапов</w:t>
      </w:r>
      <w:r>
        <w:t xml:space="preserve"> </w:t>
      </w:r>
      <w:r>
        <w:t xml:space="preserve">Тимур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be855132381430823d355e2ce4b8d662c1d8599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bCs/>
          <w:b/>
        </w:rPr>
        <w:t xml:space="preserve">Лабораторная работа №7. Презентации и постеры в LaTeX</w:t>
      </w:r>
    </w:p>
    <w:bookmarkStart w:id="20" w:name="тема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bCs/>
          <w:b/>
        </w:rPr>
        <w:t xml:space="preserve">Тема:</w:t>
      </w:r>
    </w:p>
    <w:p>
      <w:pPr>
        <w:pStyle w:val="FirstParagraph"/>
      </w:pPr>
      <w:r>
        <w:t xml:space="preserve">Создание презентаций и постеров в системе LaTeX с использованием классов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.</w:t>
      </w:r>
    </w:p>
    <w:bookmarkEnd w:id="20"/>
    <w:bookmarkStart w:id="21" w:name="цель-работ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bCs/>
          <w:b/>
        </w:rPr>
        <w:t xml:space="preserve">Цель работы</w:t>
      </w:r>
    </w:p>
    <w:p>
      <w:pPr>
        <w:pStyle w:val="FirstParagraph"/>
      </w:pPr>
      <w:r>
        <w:t xml:space="preserve">Изучить подходы к созданию презентаций и научных постеров в LaTeX на основе главы 7: «LaTeX presentations». Освоить структуру презентаций 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(подразделы 7.1.1–7.1.4) и три способа построения постеров (подразделы 7.2.1–7.2.4).</w:t>
      </w:r>
    </w:p>
    <w:bookmarkEnd w:id="21"/>
    <w:bookmarkStart w:id="22" w:name="задачи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bCs/>
          <w:b/>
        </w:rPr>
        <w:t xml:space="preserve">Задачи</w:t>
      </w:r>
    </w:p>
    <w:p>
      <w:pPr>
        <w:numPr>
          <w:ilvl w:val="0"/>
          <w:numId w:val="1001"/>
        </w:numPr>
      </w:pPr>
      <w:r>
        <w:t xml:space="preserve">Реализовать структуру презентации 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(7.1.1).</w:t>
      </w:r>
    </w:p>
    <w:p>
      <w:pPr>
        <w:numPr>
          <w:ilvl w:val="0"/>
          <w:numId w:val="1001"/>
        </w:numPr>
      </w:pPr>
      <w:r>
        <w:t xml:space="preserve">Применить команду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пошагового появления элементов (7.1.2).</w:t>
      </w:r>
    </w:p>
    <w:p>
      <w:pPr>
        <w:numPr>
          <w:ilvl w:val="0"/>
          <w:numId w:val="1001"/>
        </w:numPr>
      </w:pPr>
      <w:r>
        <w:t xml:space="preserve">Освоить управление оверлеями с помощью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в обычном тексте, формулах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и списках</w:t>
      </w:r>
      <w:r>
        <w:t xml:space="preserve"> </w:t>
      </w:r>
      <w:r>
        <w:rPr>
          <w:rStyle w:val="VerbatimChar"/>
        </w:rPr>
        <w:t xml:space="preserve">itemize</w:t>
      </w:r>
      <w:r>
        <w:t xml:space="preserve"> </w:t>
      </w:r>
      <w:r>
        <w:t xml:space="preserve">(7.1.3).</w:t>
      </w:r>
    </w:p>
    <w:p>
      <w:pPr>
        <w:numPr>
          <w:ilvl w:val="0"/>
          <w:numId w:val="1001"/>
        </w:numPr>
      </w:pPr>
      <w:r>
        <w:t xml:space="preserve">Поменять оформление презентации с помощью темы</w:t>
      </w:r>
      <w:r>
        <w:t xml:space="preserve"> </w:t>
      </w:r>
      <w:r>
        <w:rPr>
          <w:rStyle w:val="VerbatimChar"/>
        </w:rPr>
        <w:t xml:space="preserve">\usetheme{Warsaw}</w:t>
      </w:r>
      <w:r>
        <w:t xml:space="preserve"> </w:t>
      </w:r>
      <w:r>
        <w:t xml:space="preserve">(7.1.4).</w:t>
      </w:r>
    </w:p>
    <w:p>
      <w:pPr>
        <w:numPr>
          <w:ilvl w:val="0"/>
          <w:numId w:val="1001"/>
        </w:numPr>
      </w:pPr>
      <w:r>
        <w:t xml:space="preserve">Реализовать три варианта постеров:</w:t>
      </w:r>
    </w:p>
    <w:p>
      <w:pPr>
        <w:numPr>
          <w:ilvl w:val="1"/>
          <w:numId w:val="1002"/>
        </w:numPr>
        <w:pStyle w:val="Compact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 </w:t>
      </w:r>
      <w:r>
        <w:t xml:space="preserve">(7.2.2);</w:t>
      </w:r>
    </w:p>
    <w:p>
      <w:pPr>
        <w:numPr>
          <w:ilvl w:val="1"/>
          <w:numId w:val="1002"/>
        </w:numPr>
        <w:pStyle w:val="Compac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(7.2.3);</w:t>
      </w:r>
    </w:p>
    <w:p>
      <w:pPr>
        <w:numPr>
          <w:ilvl w:val="1"/>
          <w:numId w:val="1002"/>
        </w:numPr>
        <w:pStyle w:val="Compact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(7.2.4).</w:t>
      </w:r>
    </w:p>
    <w:p>
      <w:pPr>
        <w:numPr>
          <w:ilvl w:val="0"/>
          <w:numId w:val="1001"/>
        </w:numPr>
      </w:pPr>
      <w:r>
        <w:t xml:space="preserve">Кратко сравнить три подхода к постерам в духе раздела 7.2.1.</w:t>
      </w:r>
    </w:p>
    <w:bookmarkEnd w:id="22"/>
    <w:bookmarkStart w:id="49" w:name="ход-работы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bCs/>
          <w:b/>
        </w:rPr>
        <w:t xml:space="preserve">Ход работы</w:t>
      </w:r>
    </w:p>
    <w:bookmarkStart w:id="40" w:name="презентация-с-beame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Cs/>
          <w:b/>
        </w:rPr>
        <w:t xml:space="preserve">7.1 Презентация с Beamer</w:t>
      </w:r>
    </w:p>
    <w:bookmarkStart w:id="25" w:name="структура-презентации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bCs/>
          <w:b/>
        </w:rPr>
        <w:t xml:space="preserve">7.1.1 Структура презентации</w:t>
      </w:r>
    </w:p>
    <w:p>
      <w:pPr>
        <w:pStyle w:val="FirstParagraph"/>
      </w:pPr>
      <w:r>
        <w:t xml:space="preserve">В книге сначала показывается «пустой» каркас презентации, затем — слайды с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 заголовком и простым текстом. В работе был реализован этот базовый каркас, но сразу в более развитом виде: с несколькими слайдами и блоками.</w:t>
      </w:r>
    </w:p>
    <w:p>
      <w:pPr>
        <w:pStyle w:val="BodyText"/>
      </w:pPr>
      <w:r>
        <w:t xml:space="preserve">Использованный 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{Bert}</w:t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{A tale of two primes}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\titlepage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}{Article}</w:t>
      </w:r>
      <w:r>
        <w:br/>
      </w:r>
      <w:r>
        <w:rPr>
          <w:rStyle w:val="NormalTok"/>
        </w:rPr>
        <w:t xml:space="preserve">Some text about the article.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}{Mathematica}</w:t>
      </w:r>
      <w:r>
        <w:br/>
      </w:r>
      <w:r>
        <w:rPr>
          <w:rStyle w:val="NormalTok"/>
        </w:rPr>
        <w:t xml:space="preserve">A helpful tool for mathematicians.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}{Article}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}{Example}</w:t>
      </w:r>
      <w:r>
        <w:br/>
      </w:r>
      <w:r>
        <w:rPr>
          <w:rStyle w:val="NormalTok"/>
        </w:rPr>
        <w:t xml:space="preserve">This is an example of a block.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}{Euclid's theorem}</w:t>
      </w:r>
      <w:r>
        <w:br/>
      </w:r>
      <w:r>
        <w:rPr>
          <w:rStyle w:val="NormalTok"/>
        </w:rPr>
        <w:t xml:space="preserve">This is a theorem.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здесь отрабатывается по разделу 7.1.1:</w:t>
      </w:r>
    </w:p>
    <w:p>
      <w:pPr>
        <w:numPr>
          <w:ilvl w:val="0"/>
          <w:numId w:val="1003"/>
        </w:numPr>
        <w:pStyle w:val="Compact"/>
      </w:pPr>
      <w:r>
        <w:t xml:space="preserve">базовая структура презентации:</w:t>
      </w:r>
      <w:r>
        <w:br/>
      </w:r>
      <w:r>
        <w:rPr>
          <w:rStyle w:val="VerbatimChar"/>
        </w:rPr>
        <w:t xml:space="preserve">\documentclass{beamer} ... \begin{document}...\end{document}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отдельные слайды через</w:t>
      </w:r>
      <w:r>
        <w:t xml:space="preserve"> </w:t>
      </w:r>
      <w:r>
        <w:rPr>
          <w:rStyle w:val="VerbatimChar"/>
        </w:rPr>
        <w:t xml:space="preserve">\begin{frame}...\end{frame}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заголовки слайдов в фигурных скобках:</w:t>
      </w:r>
      <w:r>
        <w:t xml:space="preserve"> </w:t>
      </w:r>
      <w:r>
        <w:rPr>
          <w:rStyle w:val="VerbatimChar"/>
        </w:rPr>
        <w:t xml:space="preserve">\begin{frame}{Article}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\titlepage</w:t>
      </w:r>
      <w:r>
        <w:t xml:space="preserve"> </w:t>
      </w:r>
      <w:r>
        <w:t xml:space="preserve">для титульного слайда;</w:t>
      </w:r>
    </w:p>
    <w:p>
      <w:pPr>
        <w:numPr>
          <w:ilvl w:val="0"/>
          <w:numId w:val="1003"/>
        </w:numPr>
        <w:pStyle w:val="Compact"/>
      </w:pPr>
      <w:r>
        <w:t xml:space="preserve">появление логических блоков</w:t>
      </w:r>
      <w:r>
        <w:t xml:space="preserve"> </w:t>
      </w:r>
      <w:r>
        <w:rPr>
          <w:rStyle w:val="VerbatimChar"/>
        </w:rPr>
        <w:t xml:space="preserve">\begin{block}{...}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403046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930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1.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8" w:name="pauses-пошаговое-появление-pause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rPr>
          <w:bCs/>
          <w:b/>
        </w:rPr>
        <w:t xml:space="preserve">7.1.2 Pauses — пошаговое появление (</w:t>
      </w:r>
      <w:r>
        <w:rPr>
          <w:rStyle w:val="VerbatimChar"/>
          <w:bCs/>
          <w:b/>
        </w:rPr>
        <w:t xml:space="preserve">\pause</w:t>
      </w:r>
      <w:r>
        <w:rPr>
          <w:bCs/>
          <w:b/>
        </w:rPr>
        <w:t xml:space="preserve">)</w:t>
      </w:r>
    </w:p>
    <w:p>
      <w:pPr>
        <w:pStyle w:val="FirstParagraph"/>
      </w:pPr>
      <w:r>
        <w:t xml:space="preserve">В книге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показывается между блоками и внутри</w:t>
      </w:r>
      <w:r>
        <w:t xml:space="preserve"> </w:t>
      </w:r>
      <w:r>
        <w:rPr>
          <w:rStyle w:val="VerbatimChar"/>
        </w:rPr>
        <w:t xml:space="preserve">enumerate</w:t>
      </w:r>
      <w:r>
        <w:t xml:space="preserve">.</w:t>
      </w:r>
      <w:r>
        <w:t xml:space="preserve"> </w:t>
      </w:r>
      <w:r>
        <w:t xml:space="preserve">В нашем коде эта часть реализована в слайде с двумя блоками: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}{Article}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}{Example}</w:t>
      </w:r>
      <w:r>
        <w:br/>
      </w:r>
      <w:r>
        <w:rPr>
          <w:rStyle w:val="NormalTok"/>
        </w:rPr>
        <w:t xml:space="preserve">This is an example of a block.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}{Euclid's theorem}</w:t>
      </w:r>
      <w:r>
        <w:br/>
      </w:r>
      <w:r>
        <w:rPr>
          <w:rStyle w:val="NormalTok"/>
        </w:rPr>
        <w:t xml:space="preserve">This is a theorem.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демонстрируется:</w:t>
      </w:r>
    </w:p>
    <w:p>
      <w:pPr>
        <w:numPr>
          <w:ilvl w:val="0"/>
          <w:numId w:val="1004"/>
        </w:numPr>
        <w:pStyle w:val="Compact"/>
      </w:pPr>
      <w:r>
        <w:t xml:space="preserve">при первом показе слайда виден только блок</w:t>
      </w:r>
      <w:r>
        <w:t xml:space="preserve"> </w:t>
      </w:r>
      <w:r>
        <w:rPr>
          <w:iCs/>
          <w:i/>
        </w:rPr>
        <w:t xml:space="preserve">Example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после нажатия (второй шаг) появляется блок</w:t>
      </w:r>
      <w:r>
        <w:t xml:space="preserve"> </w:t>
      </w:r>
      <w:r>
        <w:rPr>
          <w:iCs/>
          <w:i/>
        </w:rPr>
        <w:t xml:space="preserve">Euclid’s theorem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таким образом иллюстрируется использование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поэтапного раскрытия информации на одном кадре (соответствует разделу 7.1.2).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402297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733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2.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7" w:name="uncover-управление-оверлеями"/>
    <w:p>
      <w:pPr>
        <w:pStyle w:val="Heading4"/>
      </w:pPr>
      <w:r>
        <w:rPr>
          <w:rStyle w:val="SectionNumber"/>
        </w:rPr>
        <w:t xml:space="preserve">1.4.1.3</w:t>
      </w:r>
      <w:r>
        <w:tab/>
      </w:r>
      <w:r>
        <w:rPr>
          <w:bCs/>
          <w:b/>
        </w:rPr>
        <w:t xml:space="preserve">7.1.3 Uncover — управление оверлеями</w:t>
      </w:r>
    </w:p>
    <w:p>
      <w:pPr>
        <w:pStyle w:val="FirstParagraph"/>
      </w:pPr>
      <w:r>
        <w:t xml:space="preserve">В разделе 7.1.3 в книге показано, как с помощью</w:t>
      </w:r>
      <w:r>
        <w:t xml:space="preserve"> </w:t>
      </w:r>
      <w:r>
        <w:rPr>
          <w:rStyle w:val="VerbatimChar"/>
        </w:rPr>
        <w:t xml:space="preserve">\uncover&lt;...-&gt;{...}</w:t>
      </w:r>
      <w:r>
        <w:t xml:space="preserve"> </w:t>
      </w:r>
      <w:r>
        <w:t xml:space="preserve">управлять тем, на каком шаге появляются части текста, формулы и элементы списка.</w:t>
      </w:r>
    </w:p>
    <w:p>
      <w:pPr>
        <w:pStyle w:val="BodyText"/>
      </w:pPr>
      <w:r>
        <w:t xml:space="preserve">В работе реализованы</w:t>
      </w:r>
      <w:r>
        <w:t xml:space="preserve"> </w:t>
      </w:r>
      <w:r>
        <w:rPr>
          <w:bCs/>
          <w:b/>
        </w:rPr>
        <w:t xml:space="preserve">три примера</w:t>
      </w:r>
      <w:r>
        <w:t xml:space="preserve">, соответствующие примерам из книги:</w:t>
      </w:r>
    </w:p>
    <w:p>
      <w:pPr>
        <w:numPr>
          <w:ilvl w:val="0"/>
          <w:numId w:val="1005"/>
        </w:numPr>
        <w:pStyle w:val="Compact"/>
      </w:pPr>
      <w:r>
        <w:t xml:space="preserve">текст + формула с множествами (</w:t>
      </w:r>
      <w:r>
        <w:rPr>
          <w:rStyle w:val="VerbatimChar"/>
        </w:rPr>
        <w:t xml:space="preserve">Sets</w:t>
      </w:r>
      <w: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формула в окружении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(произведение функций);</w:t>
      </w:r>
    </w:p>
    <w:p>
      <w:pPr>
        <w:numPr>
          <w:ilvl w:val="0"/>
          <w:numId w:val="1005"/>
        </w:numPr>
        <w:pStyle w:val="Compact"/>
      </w:pPr>
      <w:r>
        <w:t xml:space="preserve">список</w:t>
      </w:r>
      <w:r>
        <w:t xml:space="preserve"> </w:t>
      </w:r>
      <w:r>
        <w:rPr>
          <w:rStyle w:val="VerbatimChar"/>
        </w:rPr>
        <w:t xml:space="preserve">itemize</w:t>
      </w:r>
      <w:r>
        <w:t xml:space="preserve"> </w:t>
      </w:r>
      <w:r>
        <w:t xml:space="preserve">с интервальными обозначениями.</w:t>
      </w:r>
    </w:p>
    <w:bookmarkStart w:id="31" w:name="X4db34597a4e5bdbd16664b187af7759b79c5470"/>
    <w:p>
      <w:pPr>
        <w:pStyle w:val="Heading5"/>
      </w:pPr>
      <w:r>
        <w:rPr>
          <w:rStyle w:val="SectionNumber"/>
        </w:rPr>
        <w:t xml:space="preserve">1.4.1.3.1</w:t>
      </w:r>
      <w:r>
        <w:tab/>
      </w:r>
      <w:r>
        <w:rPr>
          <w:bCs/>
          <w:b/>
        </w:rPr>
        <w:t xml:space="preserve">a) Uncover в обычном тексте и формулах (слайд «Sets»)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\frametitle</w:t>
      </w:r>
      <w:r>
        <w:rPr>
          <w:rStyle w:val="NormalTok"/>
        </w:rPr>
        <w:t xml:space="preserve">{Sets}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FunctionTok"/>
        </w:rPr>
        <w:t xml:space="preserve">\alert</w:t>
      </w:r>
      <w:r>
        <w:rPr>
          <w:rStyle w:val="NormalTok"/>
        </w:rPr>
        <w:t xml:space="preserve">{set} is a collection of objects.</w:t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&lt;2-&gt;{ For example:</w:t>
      </w:r>
      <w:r>
        <w:br/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Z=</w:t>
      </w:r>
      <w:r>
        <w:rPr>
          <w:rStyle w:val="SpecialCharTok"/>
        </w:rPr>
        <w:t xml:space="preserve">\{\text</w:t>
      </w:r>
      <w:r>
        <w:rPr>
          <w:rStyle w:val="NormalTok"/>
        </w:rPr>
        <w:t xml:space="preserve">{cow}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{pig}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{elephant}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&lt;3-&gt;{We call the objects in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 the </w:t>
      </w:r>
      <w:r>
        <w:rPr>
          <w:rStyle w:val="FunctionTok"/>
        </w:rPr>
        <w:t xml:space="preserve">\alert</w:t>
      </w:r>
      <w:r>
        <w:rPr>
          <w:rStyle w:val="NormalTok"/>
        </w:rPr>
        <w:t xml:space="preserve">{elements} of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.}</w:t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&lt;4-&gt;{ We write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{cow}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\in</w:t>
      </w:r>
      <w:r>
        <w:rPr>
          <w:rStyle w:val="SpecialStringTok"/>
        </w:rPr>
        <w:t xml:space="preserve"> Z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&lt;5-&gt;{with ``cow is an element of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''.}</w:t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&lt;6-&gt;{ Frequently encountered sets are}</w:t>
      </w:r>
      <w:r>
        <w:br/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split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&lt;7-&gt;{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{N}}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&lt;8-&gt;{= 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1,2,3,</w:t>
      </w:r>
      <w:r>
        <w:rPr>
          <w:rStyle w:val="SpecialCharTok"/>
        </w:rPr>
        <w:t xml:space="preserve">\ldots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}&amp;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&lt;9-&gt;{ </w:t>
      </w:r>
      <w:r>
        <w:rPr>
          <w:rStyle w:val="SpecialCharTok"/>
        </w:rPr>
        <w:t xml:space="preserve">\qquad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{``natural numbers''}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}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&lt;10-&gt;{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{Z}}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&lt;11-&gt;{= </w:t>
      </w:r>
      <w:r>
        <w:rPr>
          <w:rStyle w:val="SpecialCharTok"/>
        </w:rPr>
        <w:t xml:space="preserve">\{\ldots</w:t>
      </w:r>
      <w:r>
        <w:rPr>
          <w:rStyle w:val="SpecialStringTok"/>
        </w:rPr>
        <w:t xml:space="preserve">,-2,-1,0,1,2,</w:t>
      </w:r>
      <w:r>
        <w:rPr>
          <w:rStyle w:val="SpecialCharTok"/>
        </w:rPr>
        <w:t xml:space="preserve">\ldots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}&amp;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&lt;12-&gt;{ </w:t>
      </w:r>
      <w:r>
        <w:rPr>
          <w:rStyle w:val="SpecialCharTok"/>
        </w:rPr>
        <w:t xml:space="preserve">\qquad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{``integer numbers''}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}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&lt;13-&gt;{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{Q}}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&lt;14-&gt;{= 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p/q : p,q</w:t>
      </w:r>
      <w:r>
        <w:rPr>
          <w:rStyle w:val="SpecialCharTok"/>
        </w:rPr>
        <w:t xml:space="preserve">\in\mathbb</w:t>
      </w:r>
      <w:r>
        <w:rPr>
          <w:rStyle w:val="SpecialStringTok"/>
        </w:rPr>
        <w:t xml:space="preserve">{Z}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 and }</w:t>
      </w:r>
      <w:r>
        <w:rPr>
          <w:rStyle w:val="SpecialStringTok"/>
        </w:rPr>
        <w:t xml:space="preserve"> q</w:t>
      </w:r>
      <w:r>
        <w:rPr>
          <w:rStyle w:val="SpecialCharTok"/>
        </w:rPr>
        <w:t xml:space="preserve">\neq</w:t>
      </w:r>
      <w:r>
        <w:rPr>
          <w:rStyle w:val="SpecialStringTok"/>
        </w:rPr>
        <w:t xml:space="preserve"> 0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}&amp;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&lt;15-&gt;{ </w:t>
      </w:r>
      <w:r>
        <w:rPr>
          <w:rStyle w:val="SpecialCharTok"/>
        </w:rPr>
        <w:t xml:space="preserve">\qquad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{``rational numbers''}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}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&lt;16-&gt;{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{R}}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&lt;17-&gt;{= </w:t>
      </w:r>
      <w:r>
        <w:rPr>
          <w:rStyle w:val="SpecialCharTok"/>
        </w:rPr>
        <w:t xml:space="preserve">\{\hbox</w:t>
      </w:r>
      <w:r>
        <w:rPr>
          <w:rStyle w:val="SpecialStringTok"/>
        </w:rPr>
        <w:t xml:space="preserve">{decimal numbers}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}&amp;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&lt;18-&gt;{ </w:t>
      </w:r>
      <w:r>
        <w:rPr>
          <w:rStyle w:val="SpecialCharTok"/>
        </w:rPr>
        <w:t xml:space="preserve">\qquad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{``real numbers''}</w:t>
      </w:r>
      <w:r>
        <w:rPr>
          <w:rStyle w:val="SpecialStringTok"/>
        </w:rPr>
        <w:t xml:space="preserve">)}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split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\]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отрабатывается:</w:t>
      </w:r>
    </w:p>
    <w:p>
      <w:pPr>
        <w:numPr>
          <w:ilvl w:val="0"/>
          <w:numId w:val="1006"/>
        </w:numPr>
        <w:pStyle w:val="Compact"/>
      </w:pPr>
      <w:r>
        <w:t xml:space="preserve">точный контроль,</w:t>
      </w:r>
      <w:r>
        <w:t xml:space="preserve"> </w:t>
      </w:r>
      <w:r>
        <w:rPr>
          <w:iCs/>
          <w:i/>
        </w:rPr>
        <w:t xml:space="preserve">когда</w:t>
      </w:r>
      <w:r>
        <w:t xml:space="preserve"> </w:t>
      </w:r>
      <w:r>
        <w:t xml:space="preserve">появляются определения и примеры;</w:t>
      </w:r>
    </w:p>
    <w:p>
      <w:pPr>
        <w:numPr>
          <w:ilvl w:val="0"/>
          <w:numId w:val="1006"/>
        </w:numPr>
        <w:pStyle w:val="Compact"/>
      </w:pPr>
      <w:r>
        <w:t xml:space="preserve">постепенное раскрытие множества (Z), затем определения элементов и стандартных множеств</w:t>
      </w:r>
      <w:r>
        <w:t xml:space="preserve"> </w:t>
      </w:r>
      <w:r>
        <w:rPr>
          <w:rStyle w:val="VerbatimChar"/>
        </w:rPr>
        <w:t xml:space="preserve">(\mathbb{N},\mathbb{Z},\mathbb{Q},\mathbb{R})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соответствие примерy из раздела 7.1.3 (sets).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548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3.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5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3" w:name="b-uncover-в-align"/>
    <w:p>
      <w:pPr>
        <w:pStyle w:val="Heading5"/>
      </w:pPr>
      <w:r>
        <w:rPr>
          <w:rStyle w:val="SectionNumber"/>
        </w:rPr>
        <w:t xml:space="preserve">1.4.1.3.2</w:t>
      </w:r>
      <w:r>
        <w:tab/>
      </w:r>
      <w:r>
        <w:rPr>
          <w:bCs/>
          <w:b/>
        </w:rPr>
        <w:t xml:space="preserve">b) Uncover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align*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The derivative of </w:t>
      </w:r>
      <w:r>
        <w:rPr>
          <w:rStyle w:val="SpecialStringTok"/>
        </w:rPr>
        <w:t xml:space="preserve">\(f(x) = g(x)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h(x)\)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with </w:t>
      </w:r>
      <w:r>
        <w:rPr>
          <w:rStyle w:val="SpecialStringTok"/>
        </w:rPr>
        <w:t xml:space="preserve">\(g(x) = x^2\)</w:t>
      </w:r>
      <w:r>
        <w:rPr>
          <w:rStyle w:val="NormalTok"/>
        </w:rPr>
        <w:t xml:space="preserve"> and </w:t>
      </w:r>
      <w:r>
        <w:rPr>
          <w:rStyle w:val="SpecialStringTok"/>
        </w:rPr>
        <w:t xml:space="preserve">\(h(x) = </w:t>
      </w:r>
      <w:r>
        <w:rPr>
          <w:rStyle w:val="SpecialCharTok"/>
        </w:rPr>
        <w:t xml:space="preserve">\sin</w:t>
      </w:r>
      <w:r>
        <w:rPr>
          <w:rStyle w:val="SpecialStringTok"/>
        </w:rPr>
        <w:t xml:space="preserve">(x)\)</w:t>
      </w:r>
      <w:r>
        <w:rPr>
          <w:rStyle w:val="NormalTok"/>
        </w:rPr>
        <w:t xml:space="preserve"> equals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align*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f'(x)</w:t>
      </w:r>
      <w:r>
        <w:br/>
      </w:r>
      <w:r>
        <w:rPr>
          <w:rStyle w:val="SpecialStringTok"/>
        </w:rPr>
        <w:t xml:space="preserve">      &amp;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&lt;2-&gt;{= g'(x)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h(x)}</w:t>
      </w:r>
      <w:r>
        <w:br/>
      </w:r>
      <w:r>
        <w:rPr>
          <w:rStyle w:val="SpecialStringTok"/>
        </w:rPr>
        <w:t xml:space="preserve">      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&lt;3-&gt;{+ g(x)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h'(x)}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   &amp;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&lt;4-&gt;{= 2x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\sin</w:t>
      </w:r>
      <w:r>
        <w:rPr>
          <w:rStyle w:val="SpecialStringTok"/>
        </w:rPr>
        <w:t xml:space="preserve">(x)}</w:t>
      </w:r>
      <w:r>
        <w:br/>
      </w:r>
      <w:r>
        <w:rPr>
          <w:rStyle w:val="SpecialStringTok"/>
        </w:rPr>
        <w:t xml:space="preserve">      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&lt;5-&gt;{+ x^2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\cos</w:t>
      </w:r>
      <w:r>
        <w:rPr>
          <w:rStyle w:val="SpecialStringTok"/>
        </w:rPr>
        <w:t xml:space="preserve">(x).}</w:t>
      </w:r>
      <w:r>
        <w:br/>
      </w:r>
      <w:r>
        <w:rPr>
          <w:rStyle w:val="SpecialString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align*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отрабатывается:</w:t>
      </w:r>
    </w:p>
    <w:p>
      <w:pPr>
        <w:numPr>
          <w:ilvl w:val="0"/>
          <w:numId w:val="1007"/>
        </w:numPr>
        <w:pStyle w:val="Compact"/>
      </w:pPr>
      <w:r>
        <w:t xml:space="preserve">показано, что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можно использовать</w:t>
      </w:r>
      <w:r>
        <w:t xml:space="preserve"> </w:t>
      </w:r>
      <w:r>
        <w:rPr>
          <w:bCs/>
          <w:b/>
        </w:rPr>
        <w:t xml:space="preserve">внутри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align*</w:t>
      </w:r>
      <w:r>
        <w:t xml:space="preserve">, как и в книге;</w:t>
      </w:r>
    </w:p>
    <w:p>
      <w:pPr>
        <w:numPr>
          <w:ilvl w:val="0"/>
          <w:numId w:val="1007"/>
        </w:numPr>
        <w:pStyle w:val="Compact"/>
      </w:pPr>
      <w:r>
        <w:t xml:space="preserve">на каждом шаге добавляется новый фрагмент формулы (правило произведения).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399863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6" w:name="X2f6d9b0bbc36e1730530f24cd8f8c47f4d152d1"/>
    <w:p>
      <w:pPr>
        <w:pStyle w:val="Heading5"/>
      </w:pPr>
      <w:r>
        <w:rPr>
          <w:rStyle w:val="SectionNumber"/>
        </w:rPr>
        <w:t xml:space="preserve">1.4.1.3.3</w:t>
      </w:r>
      <w:r>
        <w:tab/>
      </w:r>
      <w:r>
        <w:rPr>
          <w:bCs/>
          <w:b/>
        </w:rPr>
        <w:t xml:space="preserve">c) Uncover и номера шагов в списке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itemize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&lt;4-6&gt; </w:t>
      </w:r>
      <w:r>
        <w:rPr>
          <w:rStyle w:val="SpecialStringTok"/>
        </w:rPr>
        <w:t xml:space="preserve">$[a,b]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&lt;5-6&gt;{=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\in\mathbb</w:t>
      </w:r>
      <w:r>
        <w:rPr>
          <w:rStyle w:val="SpecialStringTok"/>
        </w:rPr>
        <w:t xml:space="preserve">{R} : a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x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b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,}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&lt;6-&gt; </w:t>
      </w:r>
      <w:r>
        <w:rPr>
          <w:rStyle w:val="SpecialStringTok"/>
        </w:rPr>
        <w:t xml:space="preserve">$(a,b)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&lt;7-&gt;{=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\in\mathbb</w:t>
      </w:r>
      <w:r>
        <w:rPr>
          <w:rStyle w:val="SpecialStringTok"/>
        </w:rPr>
        <w:t xml:space="preserve">{R} : a&lt; x&lt; b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,}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&lt;8-&gt; </w:t>
      </w:r>
      <w:r>
        <w:rPr>
          <w:rStyle w:val="SpecialStringTok"/>
        </w:rPr>
        <w:t xml:space="preserve">$(a,</w:t>
      </w:r>
      <w:r>
        <w:rPr>
          <w:rStyle w:val="SpecialCharTok"/>
        </w:rPr>
        <w:t xml:space="preserve">\infty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&lt;9-&gt;{=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\in\mathbb</w:t>
      </w:r>
      <w:r>
        <w:rPr>
          <w:rStyle w:val="SpecialStringTok"/>
        </w:rPr>
        <w:t xml:space="preserve">{R} : x&gt;a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.}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отрабатывается:</w:t>
      </w:r>
    </w:p>
    <w:p>
      <w:pPr>
        <w:numPr>
          <w:ilvl w:val="0"/>
          <w:numId w:val="1008"/>
        </w:numPr>
        <w:pStyle w:val="Compact"/>
      </w:pPr>
      <w:r>
        <w:t xml:space="preserve">синтаксис</w:t>
      </w:r>
      <w:r>
        <w:t xml:space="preserve"> </w:t>
      </w:r>
      <w:r>
        <w:rPr>
          <w:rStyle w:val="VerbatimChar"/>
        </w:rPr>
        <w:t xml:space="preserve">\item&lt;4-&gt;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\item&lt;6-&gt;</w:t>
      </w:r>
      <w:r>
        <w:t xml:space="preserve"> </w:t>
      </w:r>
      <w:r>
        <w:t xml:space="preserve">— когда появляется каждый пункт;</w:t>
      </w:r>
    </w:p>
    <w:p>
      <w:pPr>
        <w:numPr>
          <w:ilvl w:val="0"/>
          <w:numId w:val="1008"/>
        </w:numPr>
        <w:pStyle w:val="Compact"/>
      </w:pPr>
      <w:r>
        <w:t xml:space="preserve">комбинация</w:t>
      </w:r>
      <w:r>
        <w:t xml:space="preserve"> </w:t>
      </w:r>
      <w:r>
        <w:rPr>
          <w:rStyle w:val="VerbatimChar"/>
        </w:rPr>
        <w:t xml:space="preserve">\item&lt;4-6&gt;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\uncover&lt;5-6&gt;{...}</w:t>
      </w:r>
      <w:r>
        <w:t xml:space="preserve"> </w:t>
      </w:r>
      <w:r>
        <w:t xml:space="preserve">— пункт появляется на ограниченном диапазоне слайдов, затем исчезает;</w:t>
      </w:r>
    </w:p>
    <w:p>
      <w:pPr>
        <w:numPr>
          <w:ilvl w:val="0"/>
          <w:numId w:val="1008"/>
        </w:numPr>
        <w:pStyle w:val="Compact"/>
      </w:pPr>
      <w:r>
        <w:t xml:space="preserve">визуальное поэтапное введение интервалов ([a,b]), ((a,b)), ((a,</w:t>
      </w:r>
      <w:r>
        <w:t xml:space="preserve">)).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39874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609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5.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6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39" w:name="layout-оформление-презентации"/>
    <w:p>
      <w:pPr>
        <w:pStyle w:val="Heading4"/>
      </w:pPr>
      <w:r>
        <w:rPr>
          <w:rStyle w:val="SectionNumber"/>
        </w:rPr>
        <w:t xml:space="preserve">1.4.1.4</w:t>
      </w:r>
      <w:r>
        <w:tab/>
      </w:r>
      <w:r>
        <w:rPr>
          <w:bCs/>
          <w:b/>
        </w:rPr>
        <w:t xml:space="preserve">7.1.4 Layout — оформление презентации</w:t>
      </w:r>
    </w:p>
    <w:p>
      <w:pPr>
        <w:pStyle w:val="FirstParagraph"/>
      </w:pPr>
      <w:r>
        <w:t xml:space="preserve">В разделе 7.1.4 авторы предлагают сменить тему оформления, например на</w:t>
      </w:r>
      <w:r>
        <w:t xml:space="preserve"> </w:t>
      </w:r>
      <w:r>
        <w:rPr>
          <w:rStyle w:val="VerbatimChar"/>
        </w:rPr>
        <w:t xml:space="preserve">Warsaw</w:t>
      </w:r>
      <w:r>
        <w:t xml:space="preserve"> </w:t>
      </w:r>
      <w:r>
        <w:t xml:space="preserve">и цветовую схему</w:t>
      </w:r>
      <w:r>
        <w:t xml:space="preserve"> </w:t>
      </w:r>
      <w:r>
        <w:rPr>
          <w:rStyle w:val="VerbatimChar"/>
        </w:rPr>
        <w:t xml:space="preserve">beaver</w:t>
      </w:r>
      <w:r>
        <w:t xml:space="preserve">.</w:t>
      </w:r>
    </w:p>
    <w:p>
      <w:pPr>
        <w:pStyle w:val="BodyText"/>
      </w:pPr>
      <w:r>
        <w:t xml:space="preserve">В работе:</w:t>
      </w:r>
    </w:p>
    <w:p>
      <w:pPr>
        <w:numPr>
          <w:ilvl w:val="0"/>
          <w:numId w:val="1009"/>
        </w:numPr>
      </w:pPr>
      <w:r>
        <w:t xml:space="preserve">в примере презентации сразу использована тема: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</w:p>
    <w:p>
      <w:pPr>
        <w:numPr>
          <w:ilvl w:val="0"/>
          <w:numId w:val="1009"/>
        </w:numPr>
      </w:pPr>
      <w:r>
        <w:t xml:space="preserve">цветовую тему можно добавить при необходимости: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% \usecolortheme{beaver}</w:t>
      </w:r>
    </w:p>
    <w:p>
      <w:pPr>
        <w:pStyle w:val="FirstParagraph"/>
      </w:pPr>
      <w:r>
        <w:rPr>
          <w:bCs/>
          <w:b/>
        </w:rPr>
        <w:t xml:space="preserve">Что отрабатывается:</w:t>
      </w:r>
    </w:p>
    <w:p>
      <w:pPr>
        <w:numPr>
          <w:ilvl w:val="0"/>
          <w:numId w:val="1010"/>
        </w:numPr>
        <w:pStyle w:val="Compact"/>
      </w:pPr>
      <w:r>
        <w:t xml:space="preserve">привязка к реальному примеру из книги: смена темы оформления;</w:t>
      </w:r>
    </w:p>
    <w:p>
      <w:pPr>
        <w:numPr>
          <w:ilvl w:val="0"/>
          <w:numId w:val="1010"/>
        </w:numPr>
        <w:pStyle w:val="Compact"/>
      </w:pPr>
      <w:r>
        <w:t xml:space="preserve">понимание, что логика слайдов не меняется, меняется только визуальный стиль.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397625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6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bookmarkStart w:id="48" w:name="постеры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Cs/>
          <w:b/>
        </w:rPr>
        <w:t xml:space="preserve">7.2 Постеры</w:t>
      </w:r>
    </w:p>
    <w:p>
      <w:pPr>
        <w:pStyle w:val="FirstParagraph"/>
      </w:pPr>
      <w:r>
        <w:t xml:space="preserve">Секция 7.2 в книге сначала даёт</w:t>
      </w:r>
      <w:r>
        <w:t xml:space="preserve"> </w:t>
      </w:r>
      <w:r>
        <w:rPr>
          <w:bCs/>
          <w:b/>
        </w:rPr>
        <w:t xml:space="preserve">сравнение трёх методов</w:t>
      </w:r>
      <w:r>
        <w:t xml:space="preserve"> </w:t>
      </w:r>
      <w:r>
        <w:t xml:space="preserve">(7.2.1), затем отдельные подсекции для каждого: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.</w:t>
      </w:r>
    </w:p>
    <w:p>
      <w:pPr>
        <w:pStyle w:val="BodyText"/>
      </w:pPr>
      <w:r>
        <w:t xml:space="preserve">В лабораторной работе были реализованы все три подхода с минимальным, но рабочим кодом.</w:t>
      </w:r>
    </w:p>
    <w:bookmarkStart w:id="41" w:name="Xee579a167746f05f7f60495d9c4563b786ec3ac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bCs/>
          <w:b/>
        </w:rPr>
        <w:t xml:space="preserve">7.2.1 Основные различия между тремя методами (краткий обзор)</w:t>
      </w:r>
    </w:p>
    <w:p>
      <w:pPr>
        <w:pStyle w:val="FirstParagraph"/>
      </w:pPr>
      <w:r>
        <w:t xml:space="preserve">По книге:</w:t>
      </w:r>
    </w:p>
    <w:p>
      <w:pPr>
        <w:numPr>
          <w:ilvl w:val="0"/>
          <w:numId w:val="1011"/>
        </w:numPr>
      </w:pPr>
      <w:r>
        <w:rPr>
          <w:rStyle w:val="VerbatimChar"/>
          <w:bCs/>
          <w:b/>
        </w:rPr>
        <w:t xml:space="preserve">a0poster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похож на обычный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multicol</w:t>
      </w:r>
      <w:r>
        <w:t xml:space="preserve"> </w:t>
      </w:r>
      <w:r>
        <w:t xml:space="preserve">для колонок;</w:t>
      </w:r>
    </w:p>
    <w:p>
      <w:pPr>
        <w:numPr>
          <w:ilvl w:val="1"/>
          <w:numId w:val="1012"/>
        </w:numPr>
        <w:pStyle w:val="Compact"/>
      </w:pPr>
      <w:r>
        <w:t xml:space="preserve">фигуры вставляются через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\captionof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простой, но макет менее «дизайнерский».</w:t>
      </w:r>
    </w:p>
    <w:p>
      <w:pPr>
        <w:numPr>
          <w:ilvl w:val="0"/>
          <w:numId w:val="1011"/>
        </w:numPr>
      </w:pPr>
      <w:r>
        <w:rPr>
          <w:rStyle w:val="VerbatimChar"/>
          <w:bCs/>
          <w:b/>
        </w:rPr>
        <w:t xml:space="preserve">beamerposter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строится на базе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можно использовать темы beamer;</w:t>
      </w:r>
    </w:p>
    <w:p>
      <w:pPr>
        <w:numPr>
          <w:ilvl w:val="1"/>
          <w:numId w:val="1013"/>
        </w:numPr>
        <w:pStyle w:val="Compact"/>
      </w:pPr>
      <w:r>
        <w:t xml:space="preserve">колонки — через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/</w:t>
      </w:r>
      <w:r>
        <w:rPr>
          <w:rStyle w:val="VerbatimChar"/>
        </w:rPr>
        <w:t xml:space="preserve">column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макет похож на слайд, но растянутый на формат A0.</w:t>
      </w:r>
    </w:p>
    <w:p>
      <w:pPr>
        <w:numPr>
          <w:ilvl w:val="0"/>
          <w:numId w:val="1011"/>
        </w:numPr>
      </w:pPr>
      <w:r>
        <w:rPr>
          <w:rStyle w:val="VerbatimChar"/>
          <w:bCs/>
          <w:b/>
        </w:rPr>
        <w:t xml:space="preserve">tikzposter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всё основано на блоках TikZ;</w:t>
      </w:r>
    </w:p>
    <w:p>
      <w:pPr>
        <w:numPr>
          <w:ilvl w:val="1"/>
          <w:numId w:val="1014"/>
        </w:numPr>
        <w:pStyle w:val="Compact"/>
      </w:pPr>
      <w:r>
        <w:t xml:space="preserve">есть свои темы и стили;</w:t>
      </w:r>
    </w:p>
    <w:p>
      <w:pPr>
        <w:numPr>
          <w:ilvl w:val="1"/>
          <w:numId w:val="1014"/>
        </w:numPr>
        <w:pStyle w:val="Compact"/>
      </w:pPr>
      <w:r>
        <w:t xml:space="preserve">обязательно использование</w:t>
      </w:r>
      <w:r>
        <w:t xml:space="preserve"> </w:t>
      </w:r>
      <w:r>
        <w:rPr>
          <w:rStyle w:val="VerbatimChar"/>
        </w:rPr>
        <w:t xml:space="preserve">\block</w:t>
      </w:r>
      <w:r>
        <w:t xml:space="preserve"> </w:t>
      </w:r>
      <w:r>
        <w:t xml:space="preserve">и можно добавлять</w:t>
      </w:r>
      <w:r>
        <w:t xml:space="preserve"> </w:t>
      </w:r>
      <w:r>
        <w:rPr>
          <w:rStyle w:val="VerbatimChar"/>
        </w:rPr>
        <w:t xml:space="preserve">\note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гибкий, но требует привыкания.</w:t>
      </w:r>
    </w:p>
    <w:p>
      <w:pPr>
        <w:pStyle w:val="FirstParagraph"/>
      </w:pPr>
      <w:r>
        <w:t xml:space="preserve">Наши три программы как раз демонстрируют</w:t>
      </w:r>
      <w:r>
        <w:t xml:space="preserve"> </w:t>
      </w:r>
      <w:r>
        <w:rPr>
          <w:bCs/>
          <w:b/>
        </w:rPr>
        <w:t xml:space="preserve">минимальные рабочие примеры</w:t>
      </w:r>
      <w:r>
        <w:t xml:space="preserve"> </w:t>
      </w:r>
      <w:r>
        <w:t xml:space="preserve">для каждого подхода.</w:t>
      </w:r>
    </w:p>
    <w:bookmarkEnd w:id="41"/>
    <w:bookmarkStart w:id="43" w:name="документкласс-a0poster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rPr>
          <w:bCs/>
          <w:b/>
        </w:rPr>
        <w:t xml:space="preserve">7.2.2 Документкласс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a0poster</w:t>
      </w:r>
    </w:p>
    <w:p>
      <w:pPr>
        <w:pStyle w:val="FirstParagraph"/>
      </w:pPr>
      <w:r>
        <w:t xml:space="preserve">Реализация по мотивам примера из книги (заголовок через</w:t>
      </w:r>
      <w:r>
        <w:t xml:space="preserve"> </w:t>
      </w:r>
      <w:r>
        <w:rPr>
          <w:rStyle w:val="VerbatimChar"/>
        </w:rPr>
        <w:t xml:space="preserve">minipage</w:t>
      </w:r>
      <w:r>
        <w:t xml:space="preserve">, колонки</w:t>
      </w:r>
      <w:r>
        <w:t xml:space="preserve"> </w:t>
      </w:r>
      <w:r>
        <w:rPr>
          <w:rStyle w:val="VerbatimChar"/>
        </w:rPr>
        <w:t xml:space="preserve">multicols</w:t>
      </w:r>
      <w:r>
        <w:t xml:space="preserve">, рисунки через</w:t>
      </w:r>
      <w:r>
        <w:t xml:space="preserve"> </w:t>
      </w:r>
      <w:r>
        <w:rPr>
          <w:rStyle w:val="VerbatimChar"/>
        </w:rPr>
        <w:t xml:space="preserve">\captionof</w:t>
      </w:r>
      <w:r>
        <w:t xml:space="preserve">).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[a0, portrait]{</w:t>
      </w:r>
      <w:r>
        <w:rPr>
          <w:rStyle w:val="ExtensionTok"/>
        </w:rPr>
        <w:t xml:space="preserve">a0poster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caption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[svgnames]{</w:t>
      </w:r>
      <w:r>
        <w:rPr>
          <w:rStyle w:val="ExtensionTok"/>
        </w:rPr>
        <w:t xml:space="preserve">xcolor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minipage</w:t>
      </w:r>
      <w:r>
        <w:rPr>
          <w:rStyle w:val="NormalTok"/>
        </w:rPr>
        <w:t xml:space="preserve">}{.7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\VeryHuge</w:t>
      </w:r>
      <w:r>
        <w:rPr>
          <w:rStyle w:val="NormalTok"/>
        </w:rPr>
        <w:t xml:space="preserve"> Look I'm making a poster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 [0.75cm]</w:t>
      </w:r>
      <w:r>
        <w:br/>
      </w:r>
      <w:r>
        <w:rPr>
          <w:rStyle w:val="FunctionTok"/>
        </w:rPr>
        <w:t xml:space="preserve">\Large</w:t>
      </w:r>
      <w:r>
        <w:rPr>
          <w:rStyle w:val="NormalTok"/>
        </w:rPr>
        <w:t xml:space="preserve"> Ostap S. Bender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\Large</w:t>
      </w:r>
      <w:r>
        <w:rPr>
          <w:rStyle w:val="NormalTok"/>
        </w:rPr>
        <w:t xml:space="preserve"> RUDN University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minipage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minipage</w:t>
      </w:r>
      <w:r>
        <w:rPr>
          <w:rStyle w:val="NormalTok"/>
        </w:rPr>
        <w:t xml:space="preserve">}{.3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 здесь можно разместить логотип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minipage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image.jpg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{figure}{Insert your caption here}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{figure}{...}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}{2}</w:t>
      </w:r>
      <w:r>
        <w:br/>
      </w:r>
      <w:r>
        <w:rPr>
          <w:rStyle w:val="NormalTok"/>
        </w:rPr>
        <w:t xml:space="preserve">Here follows some regular text, 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{BlueViolet} from now on the text has changed colour, 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{Black} and then we are back to normal.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именно мы отрабатываем по 7.2.2:</w:t>
      </w:r>
    </w:p>
    <w:p>
      <w:pPr>
        <w:numPr>
          <w:ilvl w:val="0"/>
          <w:numId w:val="1015"/>
        </w:numPr>
      </w:pPr>
      <w:r>
        <w:t xml:space="preserve">старт документа с</w:t>
      </w:r>
      <w:r>
        <w:t xml:space="preserve"> </w:t>
      </w:r>
      <w:r>
        <w:rPr>
          <w:rStyle w:val="VerbatimChar"/>
        </w:rPr>
        <w:t xml:space="preserve">\documentclass[a0, portrait]{a0poster}</w:t>
      </w:r>
      <w:r>
        <w:t xml:space="preserve">;</w:t>
      </w:r>
    </w:p>
    <w:p>
      <w:pPr>
        <w:numPr>
          <w:ilvl w:val="0"/>
          <w:numId w:val="1015"/>
        </w:numPr>
      </w:pPr>
      <w:r>
        <w:t xml:space="preserve">шапка постера (название, автор, университет) через две</w:t>
      </w:r>
      <w:r>
        <w:t xml:space="preserve"> </w:t>
      </w:r>
      <w:r>
        <w:rPr>
          <w:rStyle w:val="VerbatimChar"/>
        </w:rPr>
        <w:t xml:space="preserve">minipage</w:t>
      </w:r>
      <w:r>
        <w:t xml:space="preserve">;</w:t>
      </w:r>
    </w:p>
    <w:p>
      <w:pPr>
        <w:numPr>
          <w:ilvl w:val="0"/>
          <w:numId w:val="1015"/>
        </w:numPr>
      </w:pPr>
      <w:r>
        <w:t xml:space="preserve">вставка изображения и TikZ-графики через последовательность: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{figure}{...}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numPr>
          <w:ilvl w:val="0"/>
          <w:numId w:val="1015"/>
        </w:numPr>
      </w:pPr>
      <w:r>
        <w:t xml:space="preserve">деление содержимого на две колонки с помощью</w:t>
      </w:r>
      <w:r>
        <w:t xml:space="preserve"> </w:t>
      </w:r>
      <w:r>
        <w:rPr>
          <w:rStyle w:val="VerbatimChar"/>
        </w:rPr>
        <w:t xml:space="preserve">\begin{multicols}{2} ... \end{multicols}</w:t>
      </w:r>
      <w:r>
        <w:t xml:space="preserve">;</w:t>
      </w:r>
    </w:p>
    <w:p>
      <w:pPr>
        <w:numPr>
          <w:ilvl w:val="0"/>
          <w:numId w:val="1015"/>
        </w:numPr>
      </w:pPr>
      <w:r>
        <w:t xml:space="preserve">изменение цвета части текста с помощью</w:t>
      </w:r>
      <w:r>
        <w:t xml:space="preserve"> </w:t>
      </w:r>
      <w:r>
        <w:rPr>
          <w:rStyle w:val="VerbatimChar"/>
        </w:rPr>
        <w:t xml:space="preserve">xcolor</w:t>
      </w:r>
      <w:r>
        <w:t xml:space="preserve"> </w:t>
      </w:r>
      <w:r>
        <w:t xml:space="preserve">(пример из книги:</w:t>
      </w:r>
      <w:r>
        <w:t xml:space="preserve"> </w:t>
      </w:r>
      <w:r>
        <w:rPr>
          <w:rStyle w:val="VerbatimChar"/>
        </w:rPr>
        <w:t xml:space="preserve">\color{BlueViolet} ... \color{Black}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242326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7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пакет-beamerposter-для-класса-beamer"/>
    <w:p>
      <w:pPr>
        <w:pStyle w:val="Heading4"/>
      </w:pPr>
      <w:r>
        <w:rPr>
          <w:rStyle w:val="SectionNumber"/>
        </w:rPr>
        <w:t xml:space="preserve">1.4.2.3</w:t>
      </w:r>
      <w:r>
        <w:tab/>
      </w:r>
      <w:r>
        <w:rPr>
          <w:bCs/>
          <w:b/>
        </w:rPr>
        <w:t xml:space="preserve">7.2.3 Пакет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beamerposter</w:t>
      </w:r>
      <w:r>
        <w:rPr>
          <w:bCs/>
          <w:b/>
        </w:rPr>
        <w:t xml:space="preserve"> </w:t>
      </w:r>
      <w:r>
        <w:rPr>
          <w:bCs/>
          <w:b/>
        </w:rPr>
        <w:t xml:space="preserve">для класса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beamer</w:t>
      </w:r>
    </w:p>
    <w:p>
      <w:pPr>
        <w:pStyle w:val="FirstParagraph"/>
      </w:pPr>
      <w:r>
        <w:t xml:space="preserve">Здесь мы следуем структуре из 7.2.3: 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 опция</w:t>
      </w:r>
      <w:r>
        <w:t xml:space="preserve"> </w:t>
      </w:r>
      <w:r>
        <w:rPr>
          <w:rStyle w:val="VerbatimChar"/>
        </w:rPr>
        <w:t xml:space="preserve">xcolor={svgnames}</w:t>
      </w:r>
      <w:r>
        <w:t xml:space="preserve">, подключение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, затем один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 </w:t>
      </w:r>
      <w:r>
        <w:t xml:space="preserve">с колонками.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[xcolor={svgnames}]{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caption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{default}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{seahorse}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[orientation=portrait,size=a0,scale=1.4]{</w:t>
      </w:r>
      <w:r>
        <w:rPr>
          <w:rStyle w:val="ExtensionTok"/>
        </w:rPr>
        <w:t xml:space="preserve">beamerposter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{Look I'm making a poster}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{Ostap S. Bender}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{RUDN University}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Hello there lets output 123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and now we output 456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lets not forget about 789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}{.7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and in the end here goes 10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finish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здесь по 7.2.3:</w:t>
      </w:r>
    </w:p>
    <w:p>
      <w:pPr>
        <w:numPr>
          <w:ilvl w:val="0"/>
          <w:numId w:val="1016"/>
        </w:numPr>
        <w:pStyle w:val="Compac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для постера формата A0;</w:t>
      </w:r>
    </w:p>
    <w:p>
      <w:pPr>
        <w:numPr>
          <w:ilvl w:val="0"/>
          <w:numId w:val="1016"/>
        </w:numPr>
        <w:pStyle w:val="Compact"/>
      </w:pPr>
      <w:r>
        <w:t xml:space="preserve">определение постера внутри</w:t>
      </w:r>
      <w:r>
        <w:t xml:space="preserve"> </w:t>
      </w:r>
      <w:r>
        <w:rPr>
          <w:bCs/>
          <w:b/>
        </w:rPr>
        <w:t xml:space="preserve">одного</w:t>
      </w:r>
      <w:r>
        <w:t xml:space="preserve"> </w:t>
      </w:r>
      <w:r>
        <w:t xml:space="preserve">кадра</w:t>
      </w:r>
      <w:r>
        <w:t xml:space="preserve"> </w:t>
      </w:r>
      <w:r>
        <w:rPr>
          <w:rStyle w:val="VerbatimChar"/>
        </w:rPr>
        <w:t xml:space="preserve">\begin{frame}...\end{frame}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имитация примера из книги с тремя колонками по</w:t>
      </w:r>
      <w:r>
        <w:t xml:space="preserve"> </w:t>
      </w:r>
      <w:r>
        <w:rPr>
          <w:rStyle w:val="VerbatimChar"/>
        </w:rPr>
        <w:t xml:space="preserve">(.33\textwidth)</w:t>
      </w:r>
      <w:r>
        <w:t xml:space="preserve"> </w:t>
      </w:r>
      <w:r>
        <w:t xml:space="preserve">и затем двумя колонками</w:t>
      </w:r>
      <w:r>
        <w:t xml:space="preserve"> </w:t>
      </w:r>
      <w:r>
        <w:rPr>
          <w:rStyle w:val="VerbatimChar"/>
        </w:rPr>
        <w:t xml:space="preserve">(.7\textwidth)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(.3\textwidth)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демонстрация того, как через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можно оформить типичный научный постер (в дальнейшем можно добавить блоки, рисунки и т.п.).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230672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7" w:name="документкласс-tikzposter"/>
    <w:p>
      <w:pPr>
        <w:pStyle w:val="Heading4"/>
      </w:pPr>
      <w:r>
        <w:rPr>
          <w:rStyle w:val="SectionNumber"/>
        </w:rPr>
        <w:t xml:space="preserve">1.4.2.4</w:t>
      </w:r>
      <w:r>
        <w:tab/>
      </w:r>
      <w:r>
        <w:rPr>
          <w:bCs/>
          <w:b/>
        </w:rPr>
        <w:t xml:space="preserve">7.2.4 Документкласс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tikzposter</w:t>
      </w:r>
    </w:p>
    <w:p>
      <w:pPr>
        <w:pStyle w:val="FirstParagraph"/>
      </w:pPr>
      <w:r>
        <w:t xml:space="preserve">Наконец, реализован пример из 7.2.4: класс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с темой, колонками, блоком и заметкой.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[24pt, a0paper, portrait]{</w:t>
      </w:r>
      <w:r>
        <w:rPr>
          <w:rStyle w:val="ExtensionTok"/>
        </w:rPr>
        <w:t xml:space="preserve">tikzposter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caption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{Simple} </w:t>
      </w:r>
      <w:r>
        <w:br/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{Look I'm making a poster}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{Ostap S. Bender}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{RUDN University}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\maketitle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Hello there lets output 123</w:t>
      </w:r>
      <w:r>
        <w:br/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and now we output 456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lets not forget about 789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{.7}</w:t>
      </w:r>
      <w:r>
        <w:br/>
      </w:r>
      <w:r>
        <w:rPr>
          <w:rStyle w:val="NormalTok"/>
        </w:rPr>
        <w:t xml:space="preserve">and in the end here goes 10</w:t>
      </w:r>
      <w:r>
        <w:br/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{.3}</w:t>
      </w:r>
      <w:r>
        <w:br/>
      </w:r>
      <w:r>
        <w:rPr>
          <w:rStyle w:val="NormalTok"/>
        </w:rPr>
        <w:t xml:space="preserve">finish</w:t>
      </w:r>
      <w:r>
        <w:br/>
      </w:r>
      <w:r>
        <w:br/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{title}{content </w:t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{2cm}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image.jpg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{figure}{Insert your caption here}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{figure}{...}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\note</w:t>
      </w:r>
      <w:r>
        <w:rPr>
          <w:rStyle w:val="NormalTok"/>
        </w:rPr>
        <w:t xml:space="preserve">[targetoffsetx=2cm, targetoffsety=-1cm, width=5cm]{note content}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отрабатывается по 7.2.4:</w:t>
      </w:r>
    </w:p>
    <w:p>
      <w:pPr>
        <w:numPr>
          <w:ilvl w:val="0"/>
          <w:numId w:val="1017"/>
        </w:numPr>
      </w:pPr>
      <w:r>
        <w:t xml:space="preserve">старт документа:</w:t>
      </w:r>
      <w:r>
        <w:t xml:space="preserve"> </w:t>
      </w:r>
      <w:r>
        <w:rPr>
          <w:rStyle w:val="VerbatimChar"/>
        </w:rPr>
        <w:t xml:space="preserve">\documentclass[24pt,a0paper,portrait]{tikzposter}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выбор темы:</w:t>
      </w:r>
      <w:r>
        <w:t xml:space="preserve"> </w:t>
      </w:r>
      <w:r>
        <w:rPr>
          <w:rStyle w:val="VerbatimChar"/>
        </w:rPr>
        <w:t xml:space="preserve">\usetheme{Simple}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автоматическое создание шапки постера через</w:t>
      </w:r>
      <w:r>
        <w:t xml:space="preserve"> </w:t>
      </w:r>
      <w:r>
        <w:rPr>
          <w:rStyle w:val="VerbatimChar"/>
        </w:rPr>
        <w:t xml:space="preserve">\maketitle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создание колонок с синтаксисом</w:t>
      </w:r>
      <w:r>
        <w:t xml:space="preserve"> </w:t>
      </w:r>
      <w:r>
        <w:rPr>
          <w:rStyle w:val="VerbatimChar"/>
        </w:rPr>
        <w:t xml:space="preserve">\begin{columns} ... \column{.33} ...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обязательное использование</w:t>
      </w:r>
      <w:r>
        <w:t xml:space="preserve"> </w:t>
      </w:r>
      <w:r>
        <w:rPr>
          <w:rStyle w:val="VerbatimChar"/>
        </w:rPr>
        <w:t xml:space="preserve">\block{title}{content ...}</w:t>
      </w:r>
      <w:r>
        <w:t xml:space="preserve"> </w:t>
      </w:r>
      <w:r>
        <w:t xml:space="preserve">для содержимого;</w:t>
      </w:r>
    </w:p>
    <w:p>
      <w:pPr>
        <w:numPr>
          <w:ilvl w:val="0"/>
          <w:numId w:val="1017"/>
        </w:numPr>
      </w:pPr>
      <w:r>
        <w:t xml:space="preserve">добавление заметки к блоку через: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\note</w:t>
      </w:r>
      <w:r>
        <w:rPr>
          <w:rStyle w:val="NormalTok"/>
        </w:rPr>
        <w:t xml:space="preserve">[targetoffsetx=..., targetoffsety=..., width=...]{note content}</w:t>
      </w:r>
    </w:p>
    <w:p>
      <w:pPr>
        <w:numPr>
          <w:ilvl w:val="0"/>
          <w:numId w:val="1017"/>
        </w:numPr>
      </w:pPr>
      <w:r>
        <w:t xml:space="preserve">вставка рисунка и TikZ-графики через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\captionof{figure}{...}</w:t>
      </w:r>
      <w:r>
        <w:t xml:space="preserve"> </w:t>
      </w:r>
      <w:r>
        <w:t xml:space="preserve">(аналогично a0poster).</w:t>
      </w:r>
    </w:p>
    <w:p>
      <w:pPr>
        <w:pStyle w:val="FirstParagraph"/>
      </w:pPr>
      <w:r>
        <w:rPr>
          <w:bCs/>
          <w:b/>
        </w:rPr>
        <w:t xml:space="preserve">Скриншот:</w:t>
      </w:r>
    </w:p>
    <w:p>
      <w:pPr>
        <w:pStyle w:val="BodyText"/>
      </w:pPr>
      <w:r>
        <w:drawing>
          <wp:inline>
            <wp:extent cx="5334000" cy="24857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/9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End w:id="49"/>
    <w:bookmarkStart w:id="50" w:name="результат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bCs/>
          <w:b/>
        </w:rPr>
        <w:t xml:space="preserve">Результаты</w:t>
      </w:r>
    </w:p>
    <w:p>
      <w:pPr>
        <w:numPr>
          <w:ilvl w:val="0"/>
          <w:numId w:val="1018"/>
        </w:numPr>
      </w:pPr>
      <w:r>
        <w:t xml:space="preserve">Пройден раздел 7.1 («Presentation with Beamer»):</w:t>
      </w:r>
    </w:p>
    <w:p>
      <w:pPr>
        <w:numPr>
          <w:ilvl w:val="1"/>
          <w:numId w:val="1019"/>
        </w:numPr>
        <w:pStyle w:val="Compact"/>
      </w:pPr>
      <w:r>
        <w:t xml:space="preserve">реализована базовая структура презентации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;</w:t>
      </w:r>
    </w:p>
    <w:p>
      <w:pPr>
        <w:numPr>
          <w:ilvl w:val="1"/>
          <w:numId w:val="1019"/>
        </w:numPr>
        <w:pStyle w:val="Compact"/>
      </w:pPr>
      <w:r>
        <w:t xml:space="preserve">отработана команда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поэтапного появления блоков;</w:t>
      </w:r>
    </w:p>
    <w:p>
      <w:pPr>
        <w:numPr>
          <w:ilvl w:val="1"/>
          <w:numId w:val="1019"/>
        </w:numPr>
        <w:pStyle w:val="Compact"/>
      </w:pPr>
      <w:r>
        <w:t xml:space="preserve">показана работа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в тексте, формулах (</w:t>
      </w:r>
      <w:r>
        <w:rPr>
          <w:rStyle w:val="VerbatimChar"/>
        </w:rPr>
        <w:t xml:space="preserve">align*</w:t>
      </w:r>
      <w:r>
        <w:t xml:space="preserve">) и списках (</w:t>
      </w:r>
      <w:r>
        <w:rPr>
          <w:rStyle w:val="VerbatimChar"/>
        </w:rPr>
        <w:t xml:space="preserve">itemize</w:t>
      </w:r>
      <w:r>
        <w:t xml:space="preserve">);</w:t>
      </w:r>
    </w:p>
    <w:p>
      <w:pPr>
        <w:numPr>
          <w:ilvl w:val="1"/>
          <w:numId w:val="1019"/>
        </w:numPr>
        <w:pStyle w:val="Compact"/>
      </w:pPr>
      <w:r>
        <w:t xml:space="preserve">использована тема</w:t>
      </w:r>
      <w:r>
        <w:t xml:space="preserve"> </w:t>
      </w:r>
      <w:r>
        <w:rPr>
          <w:rStyle w:val="VerbatimChar"/>
        </w:rPr>
        <w:t xml:space="preserve">Warsaw</w:t>
      </w:r>
      <w:r>
        <w:t xml:space="preserve"> </w:t>
      </w:r>
      <w:r>
        <w:t xml:space="preserve">для изменения оформления.</w:t>
      </w:r>
    </w:p>
    <w:p>
      <w:pPr>
        <w:numPr>
          <w:ilvl w:val="0"/>
          <w:numId w:val="1018"/>
        </w:numPr>
      </w:pPr>
      <w:r>
        <w:t xml:space="preserve">Пройден раздел 7.2 («Posters»):</w:t>
      </w:r>
    </w:p>
    <w:p>
      <w:pPr>
        <w:numPr>
          <w:ilvl w:val="1"/>
          <w:numId w:val="1020"/>
        </w:numPr>
        <w:pStyle w:val="Compact"/>
      </w:pPr>
      <w:r>
        <w:t xml:space="preserve">реализован постер в классе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 </w:t>
      </w:r>
      <w:r>
        <w:t xml:space="preserve">с шапкой, колонками и рисунками;</w:t>
      </w:r>
    </w:p>
    <w:p>
      <w:pPr>
        <w:numPr>
          <w:ilvl w:val="1"/>
          <w:numId w:val="1020"/>
        </w:numPr>
        <w:pStyle w:val="Compact"/>
      </w:pPr>
      <w:r>
        <w:t xml:space="preserve">создан постер с помощью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в стиле презентации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;</w:t>
      </w:r>
    </w:p>
    <w:p>
      <w:pPr>
        <w:numPr>
          <w:ilvl w:val="1"/>
          <w:numId w:val="1020"/>
        </w:numPr>
        <w:pStyle w:val="Compact"/>
      </w:pPr>
      <w:r>
        <w:t xml:space="preserve">реализован постер в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с блоками, колонками и заметкой;</w:t>
      </w:r>
    </w:p>
    <w:p>
      <w:pPr>
        <w:numPr>
          <w:ilvl w:val="1"/>
          <w:numId w:val="1020"/>
        </w:numPr>
        <w:pStyle w:val="Compact"/>
      </w:pPr>
      <w:r>
        <w:t xml:space="preserve">кратко проанализированы отличия трёх подходов, как в пункте 7.2.1.</w:t>
      </w:r>
    </w:p>
    <w:bookmarkEnd w:id="50"/>
    <w:bookmarkStart w:id="54" w:name="вывод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bCs/>
          <w:b/>
        </w:rPr>
        <w:t xml:space="preserve">Вывод</w:t>
      </w:r>
    </w:p>
    <w:p>
      <w:pPr>
        <w:pStyle w:val="FirstParagraph"/>
      </w:pPr>
      <w:r>
        <w:t xml:space="preserve">В ходе лабораторной работы №7 были последовательно реализованы примеры из главы 7 учебного пособия по практическому LaTeX. Получены навыки:</w:t>
      </w:r>
    </w:p>
    <w:p>
      <w:pPr>
        <w:numPr>
          <w:ilvl w:val="0"/>
          <w:numId w:val="1021"/>
        </w:numPr>
        <w:pStyle w:val="Compact"/>
      </w:pPr>
      <w:r>
        <w:t xml:space="preserve">построения презентаций с оверлеями (</w:t>
      </w:r>
      <w:r>
        <w:rPr>
          <w:rStyle w:val="VerbatimChar"/>
        </w:rPr>
        <w:t xml:space="preserve">\pause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) и темами оформления;</w:t>
      </w:r>
    </w:p>
    <w:p>
      <w:pPr>
        <w:numPr>
          <w:ilvl w:val="0"/>
          <w:numId w:val="1021"/>
        </w:numPr>
        <w:pStyle w:val="Compact"/>
      </w:pPr>
      <w:r>
        <w:t xml:space="preserve">создания научных постеров тремя различными методами: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работы с колонками, блоками, заметками и вставкой рисунков на больших форматах.</w:t>
      </w:r>
    </w:p>
    <w:p>
      <w:pPr>
        <w:pStyle w:val="FirstParagraph"/>
      </w:pPr>
      <w:r>
        <w:t xml:space="preserve">Все пункты, соответствующие разделам 7.1 и 7.2, были воспроизведены на практике; цель лабораторной работы достигнута.</w:t>
      </w:r>
    </w:p>
    <w:bookmarkStart w:id="53" w:name="список-литературы"/>
    <w:p>
      <w:pPr>
        <w:pStyle w:val="Heading3"/>
      </w:pPr>
      <w:r>
        <w:t xml:space="preserve">Список литературы</w:t>
      </w:r>
    </w:p>
    <w:p>
      <w:pPr>
        <w:pStyle w:val="FirstParagraph"/>
      </w:pPr>
      <w:r>
        <w:t xml:space="preserve">[</w:t>
      </w:r>
      <w:hyperlink w:anchor="ref-book">
        <w:r>
          <w:rPr>
            <w:rStyle w:val="Hyperlink"/>
          </w:rPr>
          <w:t xml:space="preserve">1</w:t>
        </w:r>
      </w:hyperlink>
      <w:r>
        <w:t xml:space="preserve">]</w:t>
      </w:r>
    </w:p>
    <w:bookmarkStart w:id="52" w:name="refs"/>
    <w:bookmarkStart w:id="51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51"/>
    <w:bookmarkEnd w:id="52"/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4" Target="media/rId44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Дарижапов Тимур Андреевич</dc:creator>
  <dc:language>ru-RU</dc:language>
  <cp:keywords/>
  <dcterms:created xsi:type="dcterms:W3CDTF">2025-12-06T17:09:38Z</dcterms:created>
  <dcterms:modified xsi:type="dcterms:W3CDTF">2025-12-06T17:09:38Z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Рис.</vt:lpwstr>
  </property>
  <property fmtid="{D5CDD505-2E9C-101B-9397-08002B2CF9AE}" pid="26" name="fontsize">
    <vt:lpwstr>12pt</vt:lpwstr>
  </property>
  <property fmtid="{D5CDD505-2E9C-101B-9397-08002B2CF9AE}" pid="27" name="header-includes">
    <vt:lpwstr/>
  </property>
  <property fmtid="{D5CDD505-2E9C-101B-9397-08002B2CF9AE}" pid="28" name="indent">
    <vt:lpwstr>True</vt:lpwstr>
  </property>
  <property fmtid="{D5CDD505-2E9C-101B-9397-08002B2CF9AE}" pid="29" name="lastDelim">
    <vt:lpwstr>, </vt:lpwstr>
  </property>
  <property fmtid="{D5CDD505-2E9C-101B-9397-08002B2CF9AE}" pid="30" name="linestretch">
    <vt:lpwstr>1.5</vt:lpwstr>
  </property>
  <property fmtid="{D5CDD505-2E9C-101B-9397-08002B2CF9AE}" pid="31" name="link-citations">
    <vt:lpwstr>True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Листинг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">
    <vt:lpwstr>True</vt:lpwstr>
  </property>
  <property fmtid="{D5CDD505-2E9C-101B-9397-08002B2CF9AE}" pid="40" name="lotTitle">
    <vt:lpwstr>List of Tables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mainfont">
    <vt:lpwstr>IBM Plex Serif</vt:lpwstr>
  </property>
  <property fmtid="{D5CDD505-2E9C-101B-9397-08002B2CF9AE}" pid="45" name="mathfont">
    <vt:lpwstr>STIX Two Math</vt:lpwstr>
  </property>
  <property fmtid="{D5CDD505-2E9C-101B-9397-08002B2CF9AE}" pid="46" name="mathfontoptions">
    <vt:lpwstr/>
  </property>
  <property fmtid="{D5CDD505-2E9C-101B-9397-08002B2CF9AE}" pid="47" name="monofont">
    <vt:lpwstr>IBM Plex Mono</vt:lpwstr>
  </property>
  <property fmtid="{D5CDD505-2E9C-101B-9397-08002B2CF9AE}" pid="48" name="monofontoptions">
    <vt:lpwstr>Scale=MatchLowercase,Scale=0.94,FakeStretch=0.9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IBM Plex Serif</vt:lpwstr>
  </property>
  <property fmtid="{D5CDD505-2E9C-101B-9397-08002B2CF9AE}" pid="59" name="romanfontoptions">
    <vt:lpwstr>Ligatures=Common,Ligatures=TeX,Scale=0.94</vt:lpwstr>
  </property>
  <property fmtid="{D5CDD505-2E9C-101B-9397-08002B2CF9AE}" pid="60" name="sansfont">
    <vt:lpwstr>IBM Plex Sans</vt:lpwstr>
  </property>
  <property fmtid="{D5CDD505-2E9C-101B-9397-08002B2CF9AE}" pid="61" name="sansfontoptions">
    <vt:lpwstr>Ligatures=Common,Ligatures=TeX,Scale=MatchLowercase,Scale=0.94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Дисциплина: Computer Skills for Scientific Writing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