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алгоритмом шифрования гаммированием конечной гаммой и применить его на практике.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алгоритм шифрования гаммированием конечной гаммой мной была написана следующая программа (рис. 1 ) :</w:t>
      </w:r>
    </w:p>
    <w:p>
      <w:pPr>
        <w:pStyle w:val="CaptionedFigure"/>
      </w:pPr>
      <w:bookmarkStart w:id="23" w:name="fig:001"/>
      <w:r>
        <w:drawing>
          <wp:inline>
            <wp:extent cx="5334000" cy="3923468"/>
            <wp:effectExtent b="0" l="0" r="0" t="0"/>
            <wp:docPr descr="Figure 1: Программа реализации шифр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шифра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 строка: подключение библиотеки для реализации выбора случайной гаммы.</w:t>
      </w:r>
    </w:p>
    <w:p>
      <w:pPr>
        <w:pStyle w:val="BodyText"/>
      </w:pPr>
      <w:r>
        <w:t xml:space="preserve">2-14 строки: реализация функции для шифрования.</w:t>
      </w:r>
    </w:p>
    <w:p>
      <w:pPr>
        <w:pStyle w:val="BodyText"/>
      </w:pPr>
      <w:r>
        <w:t xml:space="preserve">2-5: проверка условия, что длины текста и гаммы совпадают, иначе алгоритм не будет реализован.</w:t>
      </w:r>
    </w:p>
    <w:p>
      <w:pPr>
        <w:pStyle w:val="BodyText"/>
      </w:pPr>
      <w:r>
        <w:t xml:space="preserve">8-11: основной цикл, который взаимодействует с кодами чисел и возвращает третий код, который затем преобразуется в новый символ шифр-текста.</w:t>
      </w:r>
    </w:p>
    <w:p>
      <w:pPr>
        <w:pStyle w:val="BodyText"/>
      </w:pPr>
      <w:r>
        <w:t xml:space="preserve">13: возвращаем результат работы программы - шифр-текст.</w:t>
      </w:r>
    </w:p>
    <w:p>
      <w:pPr>
        <w:pStyle w:val="BodyText"/>
      </w:pPr>
      <w:r>
        <w:t xml:space="preserve">16: задаём пустую гамму для дальнейшего заполнения</w:t>
      </w:r>
    </w:p>
    <w:p>
      <w:pPr>
        <w:pStyle w:val="BodyText"/>
      </w:pPr>
      <w:r>
        <w:t xml:space="preserve">17: задаём текст, который хотим зашифровать</w:t>
      </w:r>
    </w:p>
    <w:p>
      <w:pPr>
        <w:pStyle w:val="BodyText"/>
      </w:pPr>
      <w:r>
        <w:t xml:space="preserve">19: задаём гамму случайны образом длинной текста.</w:t>
      </w:r>
    </w:p>
    <w:p>
      <w:pPr>
        <w:pStyle w:val="BodyText"/>
      </w:pPr>
      <w:r>
        <w:t xml:space="preserve">21: вызываем функцию.</w:t>
      </w:r>
    </w:p>
    <w:p>
      <w:pPr>
        <w:pStyle w:val="BodyText"/>
      </w:pPr>
      <w:r>
        <w:t xml:space="preserve">23-26: вывод результатов программы.</w:t>
      </w:r>
    </w:p>
    <w:p>
      <w:pPr>
        <w:pStyle w:val="BodyText"/>
      </w:pPr>
      <w:r>
        <w:t xml:space="preserve">Далее представлен результат работы программы (рис. 2 )</w:t>
      </w:r>
    </w:p>
    <w:p>
      <w:pPr>
        <w:pStyle w:val="CaptionedFigure"/>
      </w:pPr>
      <w:bookmarkStart w:id="25" w:name="fig:002"/>
      <w:r>
        <w:drawing>
          <wp:inline>
            <wp:extent cx="3073613" cy="699247"/>
            <wp:effectExtent b="0" l="0" r="0" t="0"/>
            <wp:docPr descr="Figure 2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13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Вывод программы</w:t>
      </w:r>
    </w:p>
    <w:p>
      <w:pPr>
        <w:pStyle w:val="BodyText"/>
      </w:pPr>
      <w:r>
        <w:t xml:space="preserve">Как видно, программа работает верно.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познакомился с алгоритмом шифрования гаммированием конечной гаммой и применил его на практике.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№3</w:t>
      </w:r>
    </w:p>
    <w:p>
      <w:pPr>
        <w:pStyle w:val="BodyText"/>
      </w:pPr>
      <w:r>
        <w:t xml:space="preserve">Шифрование гаммированием [Электронный ресурс]. URL: https://esystem.rudn.ru/mod/folder/view.php?id=1150972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Дарижапов Тимур Андреевич</dc:creator>
  <dc:language>ru-RU</dc:language>
  <cp:keywords/>
  <dcterms:created xsi:type="dcterms:W3CDTF">2024-10-12T12:39:35Z</dcterms:created>
  <dcterms:modified xsi:type="dcterms:W3CDTF">2024-10-12T12:39:35Z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