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языка Octave, знакомство с методами работы с последовательностями, пределами, рядами.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операции.</w:t>
      </w:r>
    </w:p>
    <w:p>
      <w:pPr>
        <w:numPr>
          <w:ilvl w:val="0"/>
          <w:numId w:val="1001"/>
        </w:numPr>
        <w:pStyle w:val="Compact"/>
      </w:pPr>
      <w:r>
        <w:t xml:space="preserve">Пределы</w:t>
      </w:r>
    </w:p>
    <w:p>
      <w:pPr>
        <w:numPr>
          <w:ilvl w:val="0"/>
          <w:numId w:val="1001"/>
        </w:numPr>
        <w:pStyle w:val="Compact"/>
      </w:pPr>
      <w:r>
        <w:t xml:space="preserve">Частичные суммы</w:t>
      </w:r>
    </w:p>
    <w:p>
      <w:pPr>
        <w:numPr>
          <w:ilvl w:val="0"/>
          <w:numId w:val="1001"/>
        </w:numPr>
        <w:pStyle w:val="Compact"/>
      </w:pPr>
      <w:r>
        <w:t xml:space="preserve">Суммы ряда</w:t>
      </w:r>
    </w:p>
    <w:p>
      <w:pPr>
        <w:numPr>
          <w:ilvl w:val="0"/>
          <w:numId w:val="1001"/>
        </w:numPr>
        <w:pStyle w:val="Compact"/>
      </w:pPr>
      <w:r>
        <w:t xml:space="preserve">Вычисление интегралов</w:t>
      </w:r>
    </w:p>
    <w:p>
      <w:pPr>
        <w:numPr>
          <w:ilvl w:val="0"/>
          <w:numId w:val="1001"/>
        </w:numPr>
        <w:pStyle w:val="Compact"/>
      </w:pPr>
      <w:r>
        <w:t xml:space="preserve">Аппроксимирование суммами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работе с пределами. Определеим анонимную функцию, создадим индекчную переменную от 0 до 9 ( рис. 1 )</w:t>
      </w:r>
    </w:p>
    <w:p>
      <w:pPr>
        <w:pStyle w:val="CaptionedFigure"/>
      </w:pPr>
      <w:bookmarkStart w:id="23" w:name="fig:001"/>
      <w:r>
        <w:drawing>
          <wp:inline>
            <wp:extent cx="5334000" cy="5659594"/>
            <wp:effectExtent b="0" l="0" r="0" t="0"/>
            <wp:docPr descr="Figure 1: Вы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Вывод данных</w:t>
      </w:r>
    </w:p>
    <w:p>
      <w:pPr>
        <w:pStyle w:val="BodyText"/>
      </w:pPr>
      <w:r>
        <w:t xml:space="preserve">Возьмём степени 10, которые будцт входными значениями и оценим нашу функцию. Результат: предел сходится к значению 2.718 (рис. 2 )</w:t>
      </w:r>
    </w:p>
    <w:p>
      <w:pPr>
        <w:pStyle w:val="CaptionedFigure"/>
      </w:pPr>
      <w:bookmarkStart w:id="25" w:name="fig:002"/>
      <w:r>
        <w:drawing>
          <wp:inline>
            <wp:extent cx="4764505" cy="6323797"/>
            <wp:effectExtent b="0" l="0" r="0" t="0"/>
            <wp:docPr descr="Figure 2: Программ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</w:t>
      </w:r>
    </w:p>
    <w:p>
      <w:pPr>
        <w:pStyle w:val="BodyText"/>
      </w:pPr>
      <w:r>
        <w:t xml:space="preserve">Теперь определим частичные суммы ряда.</w:t>
      </w:r>
    </w:p>
    <w:p>
      <w:pPr>
        <w:pStyle w:val="BodyText"/>
      </w:pPr>
      <w:r>
        <w:t xml:space="preserve">Для начала определим индексный вектор, а затем вычислим члены. Чтобы узнать частичные суммы, остаётся только дописать команду sum. Напишем это в цикле ( рис. 3 )</w:t>
      </w:r>
    </w:p>
    <w:p>
      <w:pPr>
        <w:pStyle w:val="CaptionedFigure"/>
      </w:pPr>
      <w:bookmarkStart w:id="27" w:name="fig:003"/>
      <w:r>
        <w:drawing>
          <wp:inline>
            <wp:extent cx="5005136" cy="6843562"/>
            <wp:effectExtent b="0" l="0" r="0" t="0"/>
            <wp:docPr descr="Figure 3: 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684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Программа</w:t>
      </w:r>
    </w:p>
    <w:p>
      <w:pPr>
        <w:pStyle w:val="BodyText"/>
      </w:pPr>
      <w:r>
        <w:t xml:space="preserve">Нарисуем получившееся ( рис. 4 )</w:t>
      </w:r>
    </w:p>
    <w:p>
      <w:pPr>
        <w:pStyle w:val="CaptionedFigure"/>
      </w:pPr>
      <w:bookmarkStart w:id="29" w:name="fig:004"/>
      <w:r>
        <w:drawing>
          <wp:inline>
            <wp:extent cx="5334000" cy="1418980"/>
            <wp:effectExtent b="0" l="0" r="0" t="0"/>
            <wp:docPr descr="Figure 4: программ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</w:t>
      </w:r>
    </w:p>
    <w:p>
      <w:pPr>
        <w:pStyle w:val="BodyText"/>
      </w:pPr>
      <w:r>
        <w:t xml:space="preserve">Получили такой рисунок (рис. 5 )</w:t>
      </w:r>
    </w:p>
    <w:p>
      <w:pPr>
        <w:pStyle w:val="CaptionedFigure"/>
      </w:pPr>
      <w:bookmarkStart w:id="31" w:name="fig:005"/>
      <w:r>
        <w:drawing>
          <wp:inline>
            <wp:extent cx="5334000" cy="3915019"/>
            <wp:effectExtent b="0" l="0" r="0" t="0"/>
            <wp:docPr descr="Figure 5: График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График</w:t>
      </w:r>
    </w:p>
    <w:p>
      <w:pPr>
        <w:pStyle w:val="BodyText"/>
      </w:pPr>
      <w:r>
        <w:t xml:space="preserve">Теперь переходим к суммам ряда. Это сделать проще всего. Вычислим сумму первых 1000 членов гармонического ряда. Определим эти члены и посчитаем сумму ( рис. 6 )</w:t>
      </w:r>
    </w:p>
    <w:p>
      <w:pPr>
        <w:pStyle w:val="CaptionedFigure"/>
      </w:pPr>
      <w:bookmarkStart w:id="33" w:name="fig:006"/>
      <w:r>
        <w:drawing>
          <wp:inline>
            <wp:extent cx="5334000" cy="793856"/>
            <wp:effectExtent b="0" l="0" r="0" t="0"/>
            <wp:docPr descr="Figure 6: Ко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Код</w:t>
      </w:r>
    </w:p>
    <w:p>
      <w:pPr>
        <w:pStyle w:val="BodyText"/>
      </w:pPr>
      <w:r>
        <w:t xml:space="preserve">Переходим к разделу интегрирования. Для начала вычислим интерграл при помощи функции guad. Определим функцию и применим её (рис. 7 )</w:t>
      </w:r>
    </w:p>
    <w:p>
      <w:pPr>
        <w:pStyle w:val="CaptionedFigure"/>
      </w:pPr>
      <w:bookmarkStart w:id="35" w:name="fig:007"/>
      <w:r>
        <w:drawing>
          <wp:inline>
            <wp:extent cx="5334000" cy="1119481"/>
            <wp:effectExtent b="0" l="0" r="0" t="0"/>
            <wp:docPr descr="Figure 7: Программ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Программа</w:t>
      </w:r>
    </w:p>
    <w:p>
      <w:pPr>
        <w:pStyle w:val="BodyText"/>
      </w:pPr>
      <w:r>
        <w:t xml:space="preserve">И последний раздел: аппроксимирование суммами. Сделаем это двумя способами: циклами и с помощью векторов. Для этого напишем два варианта кода (рис. 8 ) (рис. 9 )</w:t>
      </w:r>
    </w:p>
    <w:p>
      <w:pPr>
        <w:pStyle w:val="CaptionedFigure"/>
      </w:pPr>
      <w:bookmarkStart w:id="37" w:name="fig:008"/>
      <w:r>
        <w:drawing>
          <wp:inline>
            <wp:extent cx="5334000" cy="3709865"/>
            <wp:effectExtent b="0" l="0" r="0" t="0"/>
            <wp:docPr descr="Figure 8: Вариант 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Вариант 1</w:t>
      </w:r>
    </w:p>
    <w:p>
      <w:pPr>
        <w:pStyle w:val="CaptionedFigure"/>
      </w:pPr>
      <w:bookmarkStart w:id="39" w:name="fig:009"/>
      <w:r>
        <w:drawing>
          <wp:inline>
            <wp:extent cx="5334000" cy="3453423"/>
            <wp:effectExtent b="0" l="0" r="0" t="0"/>
            <wp:docPr descr="Figure 9: Вариант 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Вариант 2</w:t>
      </w:r>
    </w:p>
    <w:p>
      <w:pPr>
        <w:pStyle w:val="BodyText"/>
      </w:pPr>
      <w:r>
        <w:t xml:space="preserve">Запустим их и сверим результаты (рис. 10 )</w:t>
      </w:r>
    </w:p>
    <w:p>
      <w:pPr>
        <w:pStyle w:val="CaptionedFigure"/>
      </w:pPr>
      <w:bookmarkStart w:id="41" w:name="fig:010"/>
      <w:r>
        <w:drawing>
          <wp:inline>
            <wp:extent cx="5334000" cy="3573096"/>
            <wp:effectExtent b="0" l="0" r="0" t="0"/>
            <wp:docPr descr="Figure 10: Вывод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Выводы</w:t>
      </w:r>
    </w:p>
    <w:p>
      <w:pPr>
        <w:pStyle w:val="BodyText"/>
      </w:pPr>
      <w:r>
        <w:t xml:space="preserve">Как можем заметить, второй файл с векторизацией работает куда быстрее. А это значит, что лучше всего вместо циклов использовать операции над векторами.</w:t>
      </w:r>
    </w:p>
    <w:p>
      <w:pPr>
        <w:pStyle w:val="BodyText"/>
      </w:pPr>
      <w:r>
        <w:t xml:space="preserve">На этом лабораторная работа закончена.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методами работы с последовательностями, пределами, рядами.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</w:t>
      </w:r>
    </w:p>
    <w:p>
      <w:pPr>
        <w:pStyle w:val="BodyText"/>
      </w:pPr>
      <w:r>
        <w:t xml:space="preserve">Лабораторная работа № 6. Введение в работу с Octave [Электронный ресурс]. 2019. URL:https://esystem.rudn.ru/pluginfile.php/2372908/mod_resource/content/2/README.pdf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Дарижапов Тимур Андреевич</dc:creator>
  <dc:language>ru-RU</dc:language>
  <cp:keywords/>
  <dcterms:created xsi:type="dcterms:W3CDTF">2024-11-23T15:27:40Z</dcterms:created>
  <dcterms:modified xsi:type="dcterms:W3CDTF">2024-11-23T15:27:40Z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