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33.jpg" ContentType="image/jpeg"/>
  <Override PartName="/word/media/rId35.jpg" ContentType="image/jpeg"/>
  <Override PartName="/word/media/rId36.jpg" ContentType="image/jpeg"/>
  <Override PartName="/word/media/rId38.jpg" ContentType="image/jpeg"/>
  <Override PartName="/word/media/rId39.jpg" ContentType="image/jpeg"/>
  <Override PartName="/word/media/rId40.jpg" ContentType="image/jpeg"/>
  <Override PartName="/word/media/rId42.jpg" ContentType="image/jpeg"/>
  <Override PartName="/word/media/rId43.jpg" ContentType="image/jpeg"/>
  <Override PartName="/word/media/rId45.jpg" ContentType="image/jpeg"/>
  <Override PartName="/word/media/rId46.jpg" ContentType="image/jpeg"/>
  <Override PartName="/word/media/rId22.jpg" ContentType="image/jpeg"/>
  <Override PartName="/word/media/rId48.jpg" ContentType="image/jpeg"/>
  <Override PartName="/word/media/rId49.jpg" ContentType="image/jpeg"/>
  <Override PartName="/word/media/rId23.jpg" ContentType="image/jpeg"/>
  <Override PartName="/word/media/rId24.jpg" ContentType="image/jpeg"/>
  <Override PartName="/word/media/rId26.jpg" ContentType="image/jpeg"/>
  <Override PartName="/word/media/rId27.jpg" ContentType="image/jpeg"/>
  <Override PartName="/word/media/rId29.jpg" ContentType="image/jpeg"/>
  <Override PartName="/word/media/rId30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Дарижапов</w:t>
      </w:r>
      <w:r>
        <w:t xml:space="preserve"> </w:t>
      </w:r>
      <w:r>
        <w:t xml:space="preserve">Тимур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особенности математического набора в системе</w:t>
      </w:r>
      <w:r>
        <w:t xml:space="preserve"> </w:t>
      </w:r>
      <w:r>
        <w:rPr>
          <w:bCs/>
          <w:b/>
        </w:rPr>
        <w:t xml:space="preserve">LaTeX</w:t>
      </w:r>
      <w:r>
        <w:t xml:space="preserve"> </w:t>
      </w:r>
      <w:r>
        <w:t xml:space="preserve">, научиться использовать</w:t>
      </w:r>
      <w:r>
        <w:t xml:space="preserve"> </w:t>
      </w:r>
      <w:r>
        <w:rPr>
          <w:bCs/>
          <w:b/>
        </w:rPr>
        <w:t xml:space="preserve">математический режим (math mode)</w:t>
      </w:r>
      <w:r>
        <w:t xml:space="preserve">, работать с пакетами</w:t>
      </w:r>
      <w:r>
        <w:t xml:space="preserve"> </w:t>
      </w:r>
      <w:r>
        <w:rPr>
          <w:bCs/>
          <w:b/>
        </w:rPr>
        <w:t xml:space="preserve">amsmath</w:t>
      </w:r>
      <w:r>
        <w:t xml:space="preserve">,</w:t>
      </w:r>
      <w:r>
        <w:t xml:space="preserve"> </w:t>
      </w:r>
      <w:r>
        <w:rPr>
          <w:bCs/>
          <w:b/>
        </w:rPr>
        <w:t xml:space="preserve">amssymb</w:t>
      </w:r>
      <w:r>
        <w:t xml:space="preserve">,</w:t>
      </w:r>
      <w:r>
        <w:t xml:space="preserve"> </w:t>
      </w:r>
      <w:r>
        <w:rPr>
          <w:bCs/>
          <w:b/>
        </w:rPr>
        <w:t xml:space="preserve">bm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mathtools</w:t>
      </w:r>
      <w:r>
        <w:t xml:space="preserve">, а также освоить применение различных шрифтов и греческих символов при оформлении научных и технических текстов.</w:t>
      </w:r>
    </w:p>
    <w:bookmarkEnd w:id="20"/>
    <w:bookmarkStart w:id="5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Математический режим (Math Mode)</w:t>
      </w:r>
    </w:p>
    <w:p>
      <w:pPr>
        <w:pStyle w:val="BodyText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334000" cy="20240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7769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7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В данном разделе показано использование</w:t>
      </w:r>
      <w:r>
        <w:t xml:space="preserve"> </w:t>
      </w:r>
      <w:r>
        <w:rPr>
          <w:bCs/>
          <w:b/>
        </w:rPr>
        <w:t xml:space="preserve">математического режима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Встроенный (inline)</w:t>
      </w:r>
      <w:r>
        <w:t xml:space="preserve"> </w:t>
      </w:r>
      <w:r>
        <w:t xml:space="preserve">режим — используется для коротких формул в тексте и обозначается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.</w:t>
      </w:r>
      <w:r>
        <w:t xml:space="preserve"> </w:t>
      </w:r>
      <w:r>
        <w:t xml:space="preserve">Пример: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Выведенный (display)</w:t>
      </w:r>
      <w:r>
        <w:t xml:space="preserve"> </w:t>
      </w:r>
      <w:r>
        <w:t xml:space="preserve">режим — обозначается</w:t>
      </w:r>
      <w:r>
        <w:t xml:space="preserve"> </w:t>
      </w:r>
      <w:r>
        <w:rPr>
          <w:rStyle w:val="VerbatimChar"/>
        </w:rPr>
        <w:t xml:space="preserve">\[...\]</w:t>
      </w:r>
      <w:r>
        <w:t xml:space="preserve"> </w:t>
      </w:r>
      <w:r>
        <w:t xml:space="preserve">и размещает формулу по центру на отдельной строке: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numPr>
          <w:ilvl w:val="0"/>
          <w:numId w:val="1001"/>
        </w:numPr>
        <w:pStyle w:val="Compact"/>
      </w:pPr>
      <w:r>
        <w:t xml:space="preserve">Используются</w:t>
      </w:r>
      <w:r>
        <w:t xml:space="preserve"> </w:t>
      </w:r>
      <w:r>
        <w:rPr>
          <w:bCs/>
          <w:b/>
        </w:rPr>
        <w:t xml:space="preserve">верхние индексы</w:t>
      </w:r>
      <w:r>
        <w:t xml:space="preserve"> </w:t>
      </w:r>
      <w:r>
        <w:t xml:space="preserve">(</w:t>
      </w:r>
      <w:r>
        <w:rPr>
          <w:rStyle w:val="VerbatimChar"/>
        </w:rPr>
        <w:t xml:space="preserve">^</w:t>
      </w:r>
      <w:r>
        <w:t xml:space="preserve">) и</w:t>
      </w:r>
      <w:r>
        <w:t xml:space="preserve"> </w:t>
      </w:r>
      <w:r>
        <w:rPr>
          <w:bCs/>
          <w:b/>
        </w:rPr>
        <w:t xml:space="preserve">нижние индексы</w:t>
      </w:r>
      <w:r>
        <w:t xml:space="preserve"> </w:t>
      </w:r>
      <w:r>
        <w:t xml:space="preserve">(</w:t>
      </w:r>
      <w:r>
        <w:rPr>
          <w:rStyle w:val="VerbatimChar"/>
        </w:rPr>
        <w:t xml:space="preserve">_</w:t>
      </w:r>
      <w:r>
        <w:t xml:space="preserve">), а также стандартные функции, например</w:t>
      </w:r>
      <w:r>
        <w:t xml:space="preserve"> </w:t>
      </w:r>
      <w:r>
        <w:rPr>
          <w:rStyle w:val="VerbatimChar"/>
        </w:rPr>
        <w:t xml:space="preserve">\sin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Добавлен пример с греческой буквой</w:t>
      </w:r>
      <w:r>
        <w:t xml:space="preserve"> </w:t>
      </w:r>
      <w:r>
        <w:rPr>
          <w:rStyle w:val="VerbatimChar"/>
        </w:rPr>
        <w:t xml:space="preserve">\theta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Показать различие между встроенным и отдельным математическим режимом и их влияние на форматирование текста.</w:t>
      </w:r>
    </w:p>
    <w:p>
      <w:r>
        <w:pict>
          <v:rect style="width:0;height:1.5pt" o:hralign="center" o:hrstd="t" o:hr="t"/>
        </w:pict>
      </w:r>
    </w:p>
    <w:bookmarkStart w:id="25" w:name="X7d7073ad02f879896a5029cbbda6ef847657f70"/>
    <w:p>
      <w:pPr>
        <w:pStyle w:val="Heading4"/>
      </w:pPr>
      <w:r>
        <w:rPr>
          <w:bCs/>
          <w:b/>
        </w:rPr>
        <w:t xml:space="preserve">Отображаемая математика (Display Mathematics)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334000" cy="258233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88852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8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Демонстрируется использование</w:t>
      </w:r>
      <w:r>
        <w:t xml:space="preserve"> </w:t>
      </w:r>
      <w:r>
        <w:rPr>
          <w:bCs/>
          <w:b/>
        </w:rPr>
        <w:t xml:space="preserve">интегралов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нумерованных уравнений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Символ интеграла</w:t>
      </w:r>
      <w:r>
        <w:t xml:space="preserve"> </w:t>
      </w:r>
      <w:r>
        <w:rPr>
          <w:rStyle w:val="VerbatimChar"/>
        </w:rPr>
        <w:t xml:space="preserve">\int</w:t>
      </w:r>
      <w:r>
        <w:t xml:space="preserve"> </w:t>
      </w:r>
      <w:r>
        <w:t xml:space="preserve">имеет пределы интегрирования, задаваемые через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^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\diff</w:t>
      </w:r>
      <w:r>
        <w:t xml:space="preserve"> </w:t>
      </w:r>
      <w:r>
        <w:t xml:space="preserve">определена как: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\diff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\mathop</w:t>
      </w:r>
      <w:r>
        <w:rPr>
          <w:rStyle w:val="NormalTok"/>
        </w:rPr>
        <w:t xml:space="preserve">{}</w:t>
      </w:r>
      <w:r>
        <w:rPr>
          <w:rStyle w:val="FunctionTok"/>
        </w:rPr>
        <w:t xml:space="preserve">\!</w:t>
      </w:r>
      <w:r>
        <w:rPr>
          <w:rStyle w:val="NormalTok"/>
        </w:rPr>
        <w:t xml:space="preserve">d}</w:t>
      </w:r>
    </w:p>
    <w:p>
      <w:pPr>
        <w:numPr>
          <w:ilvl w:val="0"/>
          <w:numId w:val="1000"/>
        </w:numPr>
      </w:pPr>
      <w:r>
        <w:t xml:space="preserve">и используется для корректного отображения дифференциала ( d ).</w:t>
      </w:r>
    </w:p>
    <w:p>
      <w:pPr>
        <w:numPr>
          <w:ilvl w:val="0"/>
          <w:numId w:val="1002"/>
        </w:numPr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 </w:t>
      </w:r>
      <w:r>
        <w:t xml:space="preserve">автоматически добавляет</w:t>
      </w:r>
      <w:r>
        <w:t xml:space="preserve"> </w:t>
      </w:r>
      <w:r>
        <w:rPr>
          <w:bCs/>
          <w:b/>
        </w:rPr>
        <w:t xml:space="preserve">нумерацию</w:t>
      </w:r>
      <w:r>
        <w:t xml:space="preserve"> </w:t>
      </w:r>
      <w:r>
        <w:t xml:space="preserve">формулы.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Изучить синтаксис длинных уравнений и способы добавления нумерации и интервалов в математическом режиме.</w:t>
      </w:r>
    </w:p>
    <w:p>
      <w:r>
        <w:pict>
          <v:rect style="width:0;height:1.5pt" o:hralign="center" o:hrstd="t" o:hr="t"/>
        </w:pict>
      </w:r>
    </w:p>
    <w:bookmarkEnd w:id="25"/>
    <w:bookmarkStart w:id="28" w:name="пакет-amsmath"/>
    <w:p>
      <w:pPr>
        <w:pStyle w:val="Heading4"/>
      </w:pPr>
      <w:r>
        <w:rPr>
          <w:bCs/>
          <w:b/>
        </w:rPr>
        <w:t xml:space="preserve">Пакет amsmath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334000" cy="136492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4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8089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6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Пакет</w:t>
      </w:r>
      <w:r>
        <w:t xml:space="preserve"> </w:t>
      </w:r>
      <w:r>
        <w:rPr>
          <w:bCs/>
          <w:b/>
        </w:rPr>
        <w:t xml:space="preserve">amsmath</w:t>
      </w:r>
      <w:r>
        <w:t xml:space="preserve"> </w:t>
      </w:r>
      <w:r>
        <w:t xml:space="preserve">предоставляет расширенные возможности для работы с формулами:</w:t>
      </w:r>
    </w:p>
    <w:p>
      <w:pPr>
        <w:numPr>
          <w:ilvl w:val="0"/>
          <w:numId w:val="1003"/>
        </w:numPr>
        <w:pStyle w:val="Compact"/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выравнивает уравнения по символу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\quad</w:t>
      </w:r>
      <w:r>
        <w:t xml:space="preserve"> </w:t>
      </w:r>
      <w:r>
        <w:t xml:space="preserve">добавляет горизонтальный пробел.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\text{}</w:t>
      </w:r>
      <w:r>
        <w:t xml:space="preserve"> </w:t>
      </w:r>
      <w:r>
        <w:t xml:space="preserve">вставляет обычный текст внутрь формулы.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\binom{n}{k}</w:t>
      </w:r>
      <w:r>
        <w:t xml:space="preserve"> </w:t>
      </w:r>
      <w:r>
        <w:t xml:space="preserve">создаёт</w:t>
      </w:r>
      <w:r>
        <w:t xml:space="preserve"> </w:t>
      </w:r>
      <w:r>
        <w:rPr>
          <w:bCs/>
          <w:b/>
        </w:rPr>
        <w:t xml:space="preserve">биномиальные коэффициенты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Показать применение выравнивания формул и оформление нескольких строк уравнений.</w:t>
      </w:r>
    </w:p>
    <w:p>
      <w:r>
        <w:pict>
          <v:rect style="width:0;height:1.5pt" o:hralign="center" o:hrstd="t" o:hr="t"/>
        </w:pict>
      </w:r>
    </w:p>
    <w:bookmarkEnd w:id="28"/>
    <w:bookmarkStart w:id="31" w:name="матрицы-ams-ams-matrices"/>
    <w:p>
      <w:pPr>
        <w:pStyle w:val="Heading4"/>
      </w:pPr>
      <w:r>
        <w:rPr>
          <w:bCs/>
          <w:b/>
        </w:rPr>
        <w:t xml:space="preserve">Матрицы AMS (AMS Matrices)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143500" cy="3771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7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0148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1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Здесь показано создание различных видов</w:t>
      </w:r>
      <w:r>
        <w:t xml:space="preserve"> </w:t>
      </w:r>
      <w:r>
        <w:rPr>
          <w:bCs/>
          <w:b/>
        </w:rPr>
        <w:t xml:space="preserve">матриц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matrix</w:t>
      </w:r>
      <w:r>
        <w:t xml:space="preserve"> </w:t>
      </w:r>
      <w:r>
        <w:t xml:space="preserve">— без скобок,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pmatrix</w:t>
      </w:r>
      <w:r>
        <w:t xml:space="preserve"> </w:t>
      </w:r>
      <w:r>
        <w:t xml:space="preserve">— в круглых скобках,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bmatrix</w:t>
      </w:r>
      <w:r>
        <w:t xml:space="preserve"> </w:t>
      </w:r>
      <w:r>
        <w:t xml:space="preserve">— в квадратных скобках.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Научиться оформлять матрицы с различными типами ограничивающих скобок.</w:t>
      </w:r>
    </w:p>
    <w:p>
      <w:r>
        <w:pict>
          <v:rect style="width:0;height:1.5pt" o:hralign="center" o:hrstd="t" o:hr="t"/>
        </w:pict>
      </w:r>
    </w:p>
    <w:bookmarkEnd w:id="31"/>
    <w:bookmarkStart w:id="34" w:name="X3036aad2cc459680a5b32cec0c65989190e7dc8"/>
    <w:p>
      <w:pPr>
        <w:pStyle w:val="Heading4"/>
      </w:pPr>
      <w:r>
        <w:rPr>
          <w:bCs/>
          <w:b/>
        </w:rPr>
        <w:t xml:space="preserve">Шрифты в математическом режиме (Fonts in Math Mode)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334000" cy="60997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9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83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Продемонстрированы различные команды изменения шрифта: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\mathrm{}</w:t>
            </w:r>
          </w:p>
        </w:tc>
        <w:tc>
          <w:p>
            <w:pPr>
              <w:pStyle w:val="Compact"/>
              <w:jc w:val="left"/>
            </w:pPr>
            <w:r>
              <w:t xml:space="preserve">Прямое начертание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\mathit{}</w:t>
            </w:r>
          </w:p>
        </w:tc>
        <w:tc>
          <w:p>
            <w:pPr>
              <w:pStyle w:val="Compact"/>
              <w:jc w:val="left"/>
            </w:pPr>
            <w:r>
              <w:t xml:space="preserve">Курсив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\mathbf{}</w:t>
            </w:r>
          </w:p>
        </w:tc>
        <w:tc>
          <w:p>
            <w:pPr>
              <w:pStyle w:val="Compact"/>
              <w:jc w:val="left"/>
            </w:pPr>
            <w:r>
              <w:t xml:space="preserve">Жирный шрифт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\mathsf{}</w:t>
            </w:r>
          </w:p>
        </w:tc>
        <w:tc>
          <w:p>
            <w:pPr>
              <w:pStyle w:val="Compact"/>
              <w:jc w:val="left"/>
            </w:pPr>
            <w:r>
              <w:t xml:space="preserve">Без засечек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\mathtt{}</w:t>
            </w:r>
          </w:p>
        </w:tc>
        <w:tc>
          <w:p>
            <w:pPr>
              <w:pStyle w:val="Compact"/>
              <w:jc w:val="left"/>
            </w:pPr>
            <w:r>
              <w:t xml:space="preserve">Моноширинный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\mathbb{}</w:t>
            </w:r>
          </w:p>
        </w:tc>
        <w:tc>
          <w:p>
            <w:pPr>
              <w:pStyle w:val="Compact"/>
              <w:jc w:val="left"/>
            </w:pPr>
            <w:r>
              <w:t xml:space="preserve">Двойной штрих (blackboard bold)</w:t>
            </w:r>
          </w:p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\text{}</w:t>
      </w:r>
      <w:r>
        <w:t xml:space="preserve"> </w:t>
      </w:r>
      <w:r>
        <w:t xml:space="preserve">позволяет вставлять обычный текст в математическом режиме с правильными интервалами.</w:t>
      </w:r>
    </w:p>
    <w:p>
      <w:pPr>
        <w:pStyle w:val="BodyTex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Понять назначение и визуальные различия математических шрифтов.</w:t>
      </w:r>
    </w:p>
    <w:p>
      <w:r>
        <w:pict>
          <v:rect style="width:0;height:1.5pt" o:hralign="center" o:hrstd="t" o:hr="t"/>
        </w:pict>
      </w:r>
    </w:p>
    <w:bookmarkEnd w:id="34"/>
    <w:bookmarkStart w:id="37" w:name="X6d76fc7c9e12eee1fba10499971170f7db74e82"/>
    <w:p>
      <w:pPr>
        <w:pStyle w:val="Heading4"/>
      </w:pPr>
      <w:r>
        <w:rPr>
          <w:bCs/>
          <w:b/>
        </w:rPr>
        <w:t xml:space="preserve">Дополнительные выравнивания amsmath (Further amsmath Alignments)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334000" cy="15223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2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9907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9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gather</w:t>
      </w:r>
      <w:r>
        <w:t xml:space="preserve"> </w:t>
      </w:r>
      <w:r>
        <w:t xml:space="preserve">— выравнивает несколько строк по центру.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multline</w:t>
      </w:r>
      <w:r>
        <w:t xml:space="preserve"> </w:t>
      </w:r>
      <w:r>
        <w:t xml:space="preserve">— используется для длинных формул, переносимых на несколько строк.</w:t>
      </w:r>
      <w:r>
        <w:t xml:space="preserve"> </w:t>
      </w:r>
      <w:r>
        <w:t xml:space="preserve">Первая строка выравнивается влево, последняя — вправо.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Научиться красиво оформлять многострочные и громоздкие уравнения.</w:t>
      </w:r>
    </w:p>
    <w:p>
      <w:r>
        <w:pict>
          <v:rect style="width:0;height:1.5pt" o:hralign="center" o:hrstd="t" o:hr="t"/>
        </w:pict>
      </w:r>
    </w:p>
    <w:bookmarkEnd w:id="37"/>
    <w:bookmarkStart w:id="41" w:name="X09be27d8e6372de26ae3b686e0eb1b63f3101c0"/>
    <w:p>
      <w:pPr>
        <w:pStyle w:val="Heading4"/>
      </w:pPr>
      <w:r>
        <w:rPr>
          <w:bCs/>
          <w:b/>
        </w:rPr>
        <w:t xml:space="preserve">Столбцы в математических выравниваниях (Columns in Math Alignments)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334000" cy="353398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017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86250" cy="19335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align*</w:t>
      </w:r>
      <w:r>
        <w:t xml:space="preserve"> </w:t>
      </w:r>
      <w:r>
        <w:t xml:space="preserve">создаёт таблицу уравнений, выравнивая их по знакам равенства.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aligned</w:t>
      </w:r>
      <w:r>
        <w:t xml:space="preserve"> </w:t>
      </w:r>
      <w:r>
        <w:t xml:space="preserve">используется внутри других формул для небольших систем уравнений.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[t]</w:t>
      </w:r>
      <w:r>
        <w:t xml:space="preserve"> </w:t>
      </w:r>
      <w:r>
        <w:t xml:space="preserve">задаёт выравнивание по верхней строке блока.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Освоить создание многоколонных структур уравнений и вложенных блоков.</w:t>
      </w:r>
    </w:p>
    <w:p>
      <w:r>
        <w:pict>
          <v:rect style="width:0;height:1.5pt" o:hralign="center" o:hrstd="t" o:hr="t"/>
        </w:pict>
      </w:r>
    </w:p>
    <w:bookmarkEnd w:id="41"/>
    <w:bookmarkStart w:id="44" w:name="жирный-математический-шрифт-bold-math"/>
    <w:p>
      <w:pPr>
        <w:pStyle w:val="Heading4"/>
      </w:pPr>
      <w:r>
        <w:rPr>
          <w:bCs/>
          <w:b/>
        </w:rPr>
        <w:t xml:space="preserve">Жирный математический шрифт (Bold Math)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334000" cy="17018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6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2011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7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\boldmath</w:t>
      </w:r>
      <w:r>
        <w:t xml:space="preserve"> </w:t>
      </w:r>
      <w:r>
        <w:t xml:space="preserve">делает всю формулу жирной.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\mathbf{}</w:t>
      </w:r>
      <w:r>
        <w:t xml:space="preserve"> </w:t>
      </w:r>
      <w:r>
        <w:t xml:space="preserve">делает жирными только латинские буквы.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\bm{}</w:t>
      </w:r>
      <w:r>
        <w:t xml:space="preserve"> </w:t>
      </w:r>
      <w:r>
        <w:t xml:space="preserve">(из пакета</w:t>
      </w:r>
      <w:r>
        <w:t xml:space="preserve"> </w:t>
      </w:r>
      <w:r>
        <w:rPr>
          <w:bCs/>
          <w:b/>
        </w:rPr>
        <w:t xml:space="preserve">bm</w:t>
      </w:r>
      <w:r>
        <w:t xml:space="preserve">) позволяет выделять жирным любые символы, включая греческие.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Продемонстрировать способы выделения важных элементов в формулах.</w:t>
      </w:r>
    </w:p>
    <w:p>
      <w:r>
        <w:pict>
          <v:rect style="width:0;height:1.5pt" o:hralign="center" o:hrstd="t" o:hr="t"/>
        </w:pict>
      </w:r>
    </w:p>
    <w:bookmarkEnd w:id="44"/>
    <w:bookmarkStart w:id="47" w:name="пакет-mathtools"/>
    <w:p>
      <w:pPr>
        <w:pStyle w:val="Heading4"/>
      </w:pPr>
      <w:r>
        <w:rPr>
          <w:bCs/>
          <w:b/>
        </w:rPr>
        <w:t xml:space="preserve">Пакет mathtools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4686300" cy="16192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905375" cy="145732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9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Пакет</w:t>
      </w:r>
      <w:r>
        <w:t xml:space="preserve"> </w:t>
      </w:r>
      <w:r>
        <w:rPr>
          <w:bCs/>
          <w:b/>
        </w:rPr>
        <w:t xml:space="preserve">mathtools</w:t>
      </w:r>
      <w:r>
        <w:t xml:space="preserve"> </w:t>
      </w:r>
      <w:r>
        <w:t xml:space="preserve">расширяет возможности</w:t>
      </w:r>
      <w:r>
        <w:t xml:space="preserve"> </w:t>
      </w:r>
      <w:r>
        <w:rPr>
          <w:bCs/>
          <w:b/>
        </w:rPr>
        <w:t xml:space="preserve">amsmath</w:t>
      </w:r>
      <w:r>
        <w:t xml:space="preserve">.</w:t>
      </w:r>
      <w:r>
        <w:t xml:space="preserve"> </w:t>
      </w:r>
      <w:r>
        <w:t xml:space="preserve">Окружение</w:t>
      </w:r>
      <w:r>
        <w:t xml:space="preserve"> </w:t>
      </w:r>
      <w:r>
        <w:rPr>
          <w:rStyle w:val="VerbatimChar"/>
        </w:rPr>
        <w:t xml:space="preserve">pmatrix*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[r]</w:t>
      </w:r>
      <w:r>
        <w:t xml:space="preserve"> </w:t>
      </w:r>
      <w:r>
        <w:t xml:space="preserve">выравнивает элементы по правому краю.</w:t>
      </w:r>
    </w:p>
    <w:p>
      <w:pPr>
        <w:pStyle w:val="BodyTex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Позволяет более точно управлять форматированием матриц и формул.</w:t>
      </w:r>
    </w:p>
    <w:p>
      <w:r>
        <w:pict>
          <v:rect style="width:0;height:1.5pt" o:hralign="center" o:hrstd="t" o:hr="t"/>
        </w:pict>
      </w:r>
    </w:p>
    <w:bookmarkEnd w:id="47"/>
    <w:bookmarkStart w:id="50" w:name="unicode-math"/>
    <w:p>
      <w:pPr>
        <w:pStyle w:val="Heading4"/>
      </w:pPr>
      <w:r>
        <w:rPr>
          <w:bCs/>
          <w:b/>
        </w:rPr>
        <w:t xml:space="preserve">Unicode Math</w:t>
      </w:r>
    </w:p>
    <w:p>
      <w:pPr>
        <w:pStyle w:val="FirstParagraph"/>
      </w:pPr>
      <w:r>
        <w:rPr>
          <w:bCs/>
          <w:b/>
        </w:rPr>
        <w:t xml:space="preserve">Код:</w:t>
      </w:r>
    </w:p>
    <w:p>
      <w:pPr>
        <w:pStyle w:val="BodyText"/>
      </w:pPr>
      <w:r>
        <w:drawing>
          <wp:inline>
            <wp:extent cx="5334000" cy="256059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2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96836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2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В этом разделе продемонстрировано использование</w:t>
      </w:r>
      <w:r>
        <w:t xml:space="preserve"> </w:t>
      </w:r>
      <w:r>
        <w:rPr>
          <w:bCs/>
          <w:b/>
        </w:rPr>
        <w:t xml:space="preserve">пакета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unicode-math</w:t>
      </w:r>
      <w:r>
        <w:t xml:space="preserve"> </w:t>
      </w:r>
      <w:r>
        <w:t xml:space="preserve">с движком</w:t>
      </w:r>
      <w:r>
        <w:t xml:space="preserve"> </w:t>
      </w:r>
      <w:r>
        <w:rPr>
          <w:bCs/>
          <w:b/>
        </w:rPr>
        <w:t xml:space="preserve">LuaLaTeX</w:t>
      </w:r>
      <w:r>
        <w:t xml:space="preserve"> </w:t>
      </w:r>
      <w:r>
        <w:t xml:space="preserve">для работы с</w:t>
      </w:r>
      <w:r>
        <w:t xml:space="preserve"> </w:t>
      </w:r>
      <w:r>
        <w:rPr>
          <w:bCs/>
          <w:b/>
        </w:rPr>
        <w:t xml:space="preserve">OpenType-шрифтами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Подключается пакет</w:t>
      </w:r>
      <w:r>
        <w:t xml:space="preserve"> </w:t>
      </w:r>
      <w:r>
        <w:rPr>
          <w:rStyle w:val="VerbatimChar"/>
        </w:rPr>
        <w:t xml:space="preserve">unicode-math</w:t>
      </w:r>
      <w:r>
        <w:t xml:space="preserve">, который позволяет использовать современные математические шрифты.</w:t>
      </w:r>
    </w:p>
    <w:p>
      <w:pPr>
        <w:numPr>
          <w:ilvl w:val="0"/>
          <w:numId w:val="1008"/>
        </w:numPr>
        <w:pStyle w:val="Compac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\setmainfont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\setmathfont</w:t>
      </w:r>
      <w:r>
        <w:t xml:space="preserve"> </w:t>
      </w:r>
      <w:r>
        <w:t xml:space="preserve">задают основной и математический шрифты документа.</w:t>
      </w:r>
    </w:p>
    <w:p>
      <w:pPr>
        <w:numPr>
          <w:ilvl w:val="0"/>
          <w:numId w:val="1008"/>
        </w:numPr>
        <w:pStyle w:val="Compact"/>
      </w:pPr>
      <w:r>
        <w:t xml:space="preserve">Используются греческие буквы (</w:t>
      </w:r>
      <w:r>
        <w:rPr>
          <w:rStyle w:val="VerbatimChar"/>
        </w:rPr>
        <w:t xml:space="preserve">\alpha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\beta</w:t>
      </w:r>
      <w:r>
        <w:t xml:space="preserve">) и различные математические начертания:</w:t>
      </w:r>
      <w:r>
        <w:t xml:space="preserve"> </w:t>
      </w:r>
      <w:r>
        <w:rPr>
          <w:rStyle w:val="VerbatimChar"/>
        </w:rPr>
        <w:t xml:space="preserve">\symfrak{A}</w:t>
      </w:r>
      <w:r>
        <w:t xml:space="preserve"> </w:t>
      </w:r>
      <w:r>
        <w:t xml:space="preserve">(готический),</w:t>
      </w:r>
      <w:r>
        <w:t xml:space="preserve"> </w:t>
      </w:r>
      <w:r>
        <w:rPr>
          <w:rStyle w:val="VerbatimChar"/>
        </w:rPr>
        <w:t xml:space="preserve">\symbf{A}</w:t>
      </w:r>
      <w:r>
        <w:t xml:space="preserve"> </w:t>
      </w:r>
      <w:r>
        <w:t xml:space="preserve">(жирный),</w:t>
      </w:r>
      <w:r>
        <w:t xml:space="preserve"> </w:t>
      </w:r>
      <w:r>
        <w:rPr>
          <w:rStyle w:val="VerbatimChar"/>
        </w:rPr>
        <w:t xml:space="preserve">\symcal{A}</w:t>
      </w:r>
      <w:r>
        <w:t xml:space="preserve"> </w:t>
      </w:r>
      <w:r>
        <w:t xml:space="preserve">(каллиграфический),</w:t>
      </w:r>
      <w:r>
        <w:t xml:space="preserve"> </w:t>
      </w:r>
      <w:r>
        <w:rPr>
          <w:rStyle w:val="VerbatimChar"/>
        </w:rPr>
        <w:t xml:space="preserve">\symscr{A}</w:t>
      </w:r>
      <w:r>
        <w:t xml:space="preserve"> </w:t>
      </w:r>
      <w:r>
        <w:t xml:space="preserve">(рукописный),</w:t>
      </w:r>
      <w:r>
        <w:t xml:space="preserve"> </w:t>
      </w:r>
      <w:r>
        <w:rPr>
          <w:rStyle w:val="VerbatimChar"/>
        </w:rPr>
        <w:t xml:space="preserve">\symbb{A}</w:t>
      </w:r>
      <w:r>
        <w:t xml:space="preserve"> </w:t>
      </w:r>
      <w:r>
        <w:t xml:space="preserve">(двойной штрих).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Познакомиться с современным способом отображения математических шрифтов в LaTeX и возможностями использования Unicode-символов.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выводы"/>
    <w:p>
      <w:pPr>
        <w:pStyle w:val="Heading1"/>
      </w:pPr>
      <w:r>
        <w:t xml:space="preserve">Выводы</w:t>
      </w:r>
    </w:p>
    <w:p>
      <w:pPr>
        <w:numPr>
          <w:ilvl w:val="0"/>
          <w:numId w:val="1009"/>
        </w:numPr>
        <w:pStyle w:val="Compact"/>
      </w:pPr>
      <w:r>
        <w:t xml:space="preserve">Были изучены основные принципы математического набора в LaTeX, включая использование различных пакетов, режимов, шрифтов и символов, а также применение Unicode-математики. Полученные знания могут применяться при подготовке научных публикаций, отчётов и учебных материалов, требующих точного и аккуратного математического оформления.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33" Target="media/rId33.jpg" /><Relationship Type="http://schemas.openxmlformats.org/officeDocument/2006/relationships/image" Id="rId35" Target="media/rId35.jpg" /><Relationship Type="http://schemas.openxmlformats.org/officeDocument/2006/relationships/image" Id="rId36" Target="media/rId36.jpg" /><Relationship Type="http://schemas.openxmlformats.org/officeDocument/2006/relationships/image" Id="rId38" Target="media/rId38.jpg" /><Relationship Type="http://schemas.openxmlformats.org/officeDocument/2006/relationships/image" Id="rId39" Target="media/rId39.jpg" /><Relationship Type="http://schemas.openxmlformats.org/officeDocument/2006/relationships/image" Id="rId40" Target="media/rId40.jpg" /><Relationship Type="http://schemas.openxmlformats.org/officeDocument/2006/relationships/image" Id="rId42" Target="media/rId42.jpg" /><Relationship Type="http://schemas.openxmlformats.org/officeDocument/2006/relationships/image" Id="rId43" Target="media/rId43.jpg" /><Relationship Type="http://schemas.openxmlformats.org/officeDocument/2006/relationships/image" Id="rId45" Target="media/rId45.jpg" /><Relationship Type="http://schemas.openxmlformats.org/officeDocument/2006/relationships/image" Id="rId46" Target="media/rId46.jpg" /><Relationship Type="http://schemas.openxmlformats.org/officeDocument/2006/relationships/image" Id="rId22" Target="media/rId22.jpg" /><Relationship Type="http://schemas.openxmlformats.org/officeDocument/2006/relationships/image" Id="rId48" Target="media/rId48.jpg" /><Relationship Type="http://schemas.openxmlformats.org/officeDocument/2006/relationships/image" Id="rId49" Target="media/rId49.jpg" /><Relationship Type="http://schemas.openxmlformats.org/officeDocument/2006/relationships/image" Id="rId23" Target="media/rId23.jpg" /><Relationship Type="http://schemas.openxmlformats.org/officeDocument/2006/relationships/image" Id="rId24" Target="media/rId24.jpg" /><Relationship Type="http://schemas.openxmlformats.org/officeDocument/2006/relationships/image" Id="rId26" Target="media/rId26.jpg" /><Relationship Type="http://schemas.openxmlformats.org/officeDocument/2006/relationships/image" Id="rId27" Target="media/rId27.jpg" /><Relationship Type="http://schemas.openxmlformats.org/officeDocument/2006/relationships/image" Id="rId29" Target="media/rId29.jpg" /><Relationship Type="http://schemas.openxmlformats.org/officeDocument/2006/relationships/image" Id="rId30" Target="media/rId30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Дарижапов Тимур Андреевич</dc:creator>
  <dc:language>ru-RU</dc:language>
  <cp:keywords/>
  <dcterms:created xsi:type="dcterms:W3CDTF">2025-10-11T17:03:15Z</dcterms:created>
  <dcterms:modified xsi:type="dcterms:W3CDTF">2025-10-11T17:03:15Z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Computer Skills for Scientific Writing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