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CU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CU: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Notificar sobre vencimiento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caso de uso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Base (Automático)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Objetivo/Descripción del CU: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Detectar convenios con empresas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próximos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a expirar y enviar notificaciones preventivas al administrador y al responsable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Sistema de Correo Electrónico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Secundario: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Responsable de la empresa, administrador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Helena Cusworth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creación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07/04/2026</w:t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  <w:br w:type="textWrapping"/>
        <w:t xml:space="preserve">1- Existen convenios registrados con fecha de fin válida.</w:t>
        <w:br w:type="textWrapping"/>
        <w:t xml:space="preserve">2- El servidor de sistema de correo electrónico está operativo.</w:t>
        <w:br w:type="textWrapping"/>
        <w:t xml:space="preserve">3- El servidor del servicio de correo electrónico se encuentra vigente.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extensión: N/A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Normal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inicia el proceso de verificación.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recupera los convenios con vencimiento próximo.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recupera los correos de los receptores indicados.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redacta el cuerpo de los correos con la plantilla especificada.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envía al responsable y al administrador las notificaciones correspondientes.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registra en el log el envío de las notificaciones.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Cursos alternativos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2a. El sistema no detecta convenios por vencer:</w:t>
        <w:br w:type="textWrapping"/>
        <w:t xml:space="preserve">2a. 1. El sistema detecta que no hay convenios por vencer.</w:t>
        <w:br w:type="textWrapping"/>
        <w:t xml:space="preserve">2a. 2. Fin.</w:t>
        <w:br w:type="textWrapping"/>
        <w:br w:type="textWrapping"/>
        <w:t xml:space="preserve">2a. Fallo en el sistema de correo electrónico: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2a. 1. El sistema detecta que el servicio de correo electrónico se encuentra caído.</w:t>
        <w:br w:type="textWrapping"/>
        <w:t xml:space="preserve">2a. 2. El administrador del sistema es notificado sobre el fallo.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</w:t>
        <w:br w:type="textWrapping"/>
        <w:t xml:space="preserve">- En caso de éxito: La notificación de los dos actores secundarios exitosa.</w:t>
        <w:br w:type="textWrapping"/>
        <w:t xml:space="preserve">- En caso de fallo: Administrador del sistema notificado sobre el fallo ocurrido.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de Diseño del caso de uso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rafic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nterface)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</w:rPr>
        <w:drawing>
          <wp:inline distB="114300" distT="114300" distL="114300" distR="114300">
            <wp:extent cx="3692843" cy="495176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2843" cy="4951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276" w:top="851" w:left="567" w:right="567" w:header="284" w:footer="8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Ing. Fernando La Rosa </w:t>
      <w:tab/>
      <w:tab/>
      <w:tab/>
      <w:tab/>
      <w:t xml:space="preserve">Año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1899285</wp:posOffset>
          </wp:positionH>
          <wp:positionV relativeFrom="page">
            <wp:posOffset>169545</wp:posOffset>
          </wp:positionV>
          <wp:extent cx="3818255" cy="754380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8255" cy="7543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Universidad de Morón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Escuela Superior de Ingeniería, Informática y Ciencias Agroalimentarias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Diseño de Aplicaciones 03324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