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C9AAF" w14:textId="4CFE7C9F" w:rsidR="001F1489" w:rsidRDefault="001F1489">
      <w:pPr>
        <w:rPr>
          <w:b/>
          <w:bCs/>
          <w:sz w:val="28"/>
          <w:szCs w:val="28"/>
        </w:rPr>
      </w:pPr>
      <w:r>
        <w:rPr>
          <w:b/>
          <w:bCs/>
          <w:sz w:val="28"/>
          <w:szCs w:val="28"/>
        </w:rPr>
        <w:t>What is Radiation Therapy Dosimetry?</w:t>
      </w:r>
    </w:p>
    <w:p w14:paraId="422D2E37" w14:textId="31A653B3" w:rsidR="001F1489" w:rsidRDefault="001F1489">
      <w:r w:rsidRPr="001F1489">
        <w:t>The most common treatment machine used for radiation therapy is the linear accelerator (</w:t>
      </w:r>
      <w:proofErr w:type="spellStart"/>
      <w:r w:rsidRPr="001F1489">
        <w:t>Linac</w:t>
      </w:r>
      <w:proofErr w:type="spellEnd"/>
      <w:r w:rsidRPr="001F1489">
        <w:t>)</w:t>
      </w:r>
      <w:r>
        <w:t>. These machines deliver ionising radiation to tumours with the aim to either cure the disease or improve the quality of life</w:t>
      </w:r>
      <w:r w:rsidR="000A3759">
        <w:t xml:space="preserve"> of patients living with cancer.</w:t>
      </w:r>
    </w:p>
    <w:p w14:paraId="21F8F9DD" w14:textId="28E77E35" w:rsidR="000A3759" w:rsidRDefault="000A3759">
      <w:proofErr w:type="spellStart"/>
      <w:r>
        <w:t>Linacs</w:t>
      </w:r>
      <w:proofErr w:type="spellEnd"/>
      <w:r>
        <w:t xml:space="preserve"> need to be incredible accurate and reliable to ensure the required dose of radiation goes to the disease while minimising the dose to surrounding normal tissue. Often the thing that limits how much dose we can give a patient is amount of dose the surrounding organs can tolerate. </w:t>
      </w:r>
      <w:proofErr w:type="gramStart"/>
      <w:r>
        <w:t>With this in mind, radiation</w:t>
      </w:r>
      <w:proofErr w:type="gramEnd"/>
      <w:r>
        <w:t xml:space="preserve"> treatments have become very complex to maximise tumour control while minimising side effects. </w:t>
      </w:r>
    </w:p>
    <w:p w14:paraId="3319C86F" w14:textId="6E402134" w:rsidR="000A3759" w:rsidRPr="001F1489" w:rsidRDefault="000A3759">
      <w:r>
        <w:t xml:space="preserve">The ACDS are independent auditors who can measure the dose delivered from a </w:t>
      </w:r>
      <w:proofErr w:type="spellStart"/>
      <w:r>
        <w:t>linac</w:t>
      </w:r>
      <w:proofErr w:type="spellEnd"/>
      <w:r>
        <w:t xml:space="preserve"> to ensure the machine is performing correctly, the algorithms are calculating </w:t>
      </w:r>
      <w:proofErr w:type="gramStart"/>
      <w:r>
        <w:t>correctly</w:t>
      </w:r>
      <w:proofErr w:type="gramEnd"/>
      <w:r>
        <w:t xml:space="preserve"> and the software is operating as expected.  </w:t>
      </w:r>
    </w:p>
    <w:p w14:paraId="7579B1CB" w14:textId="77777777" w:rsidR="00606ED1" w:rsidRDefault="00606ED1"/>
    <w:p w14:paraId="73C10B5A" w14:textId="737C26D2" w:rsidR="007D0343" w:rsidRPr="007D0343" w:rsidRDefault="007D0343">
      <w:pPr>
        <w:rPr>
          <w:b/>
          <w:bCs/>
          <w:sz w:val="28"/>
          <w:szCs w:val="28"/>
        </w:rPr>
      </w:pPr>
      <w:r w:rsidRPr="007D0343">
        <w:rPr>
          <w:b/>
          <w:bCs/>
          <w:sz w:val="28"/>
          <w:szCs w:val="28"/>
        </w:rPr>
        <w:t xml:space="preserve">What </w:t>
      </w:r>
      <w:r>
        <w:rPr>
          <w:b/>
          <w:bCs/>
          <w:sz w:val="28"/>
          <w:szCs w:val="28"/>
        </w:rPr>
        <w:t>d</w:t>
      </w:r>
      <w:r w:rsidRPr="007D0343">
        <w:rPr>
          <w:b/>
          <w:bCs/>
          <w:sz w:val="28"/>
          <w:szCs w:val="28"/>
        </w:rPr>
        <w:t>o we measure</w:t>
      </w:r>
      <w:r>
        <w:rPr>
          <w:b/>
          <w:bCs/>
          <w:sz w:val="28"/>
          <w:szCs w:val="28"/>
        </w:rPr>
        <w:t>?</w:t>
      </w:r>
    </w:p>
    <w:p w14:paraId="0CF5AC57" w14:textId="7CEA4570" w:rsidR="00606ED1" w:rsidRDefault="000A3759">
      <w:r>
        <w:rPr>
          <w:noProof/>
        </w:rPr>
        <w:drawing>
          <wp:anchor distT="0" distB="0" distL="114300" distR="114300" simplePos="0" relativeHeight="251658240" behindDoc="0" locked="0" layoutInCell="1" allowOverlap="1" wp14:anchorId="5DC82CF1" wp14:editId="09779440">
            <wp:simplePos x="0" y="0"/>
            <wp:positionH relativeFrom="page">
              <wp:posOffset>5010150</wp:posOffset>
            </wp:positionH>
            <wp:positionV relativeFrom="paragraph">
              <wp:posOffset>9525</wp:posOffset>
            </wp:positionV>
            <wp:extent cx="2144395" cy="164782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5955" r="11156"/>
                    <a:stretch/>
                  </pic:blipFill>
                  <pic:spPr bwMode="auto">
                    <a:xfrm>
                      <a:off x="0" y="0"/>
                      <a:ext cx="2144395" cy="164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ED1">
        <w:t xml:space="preserve">Sometimes we use models (called phantoms) which </w:t>
      </w:r>
      <w:r w:rsidR="007D0343">
        <w:t>simulate</w:t>
      </w:r>
      <w:r w:rsidR="00606ED1">
        <w:t xml:space="preserve"> the shape of patients. They even have </w:t>
      </w:r>
      <w:r w:rsidR="007D0343">
        <w:t>lungs that are a lower density than the rest of the phantom and a spine which is a higher density like bone.</w:t>
      </w:r>
    </w:p>
    <w:p w14:paraId="0EAE7DBC" w14:textId="1D13CA54" w:rsidR="007D0343" w:rsidRDefault="007D0343">
      <w:r>
        <w:t xml:space="preserve">Each ‘case’ is a different treatment delivery or beam configuration. </w:t>
      </w:r>
    </w:p>
    <w:p w14:paraId="05F62AD4" w14:textId="3E42438E" w:rsidR="007D0343" w:rsidRDefault="007D0343">
      <w:r>
        <w:t>Each ‘point’ is a different location measured within the phantom.</w:t>
      </w:r>
    </w:p>
    <w:p w14:paraId="0F266A44" w14:textId="1442230D" w:rsidR="007D0343" w:rsidRDefault="007D0343">
      <w:r>
        <w:t>Each case may be delivered several times to measure multiple energies (beam strengths) or different planning algorithms.</w:t>
      </w:r>
    </w:p>
    <w:p w14:paraId="7FFA7E35" w14:textId="52C3E97B" w:rsidR="000A3759" w:rsidRDefault="00606ED1" w:rsidP="000A3759">
      <w:pPr>
        <w:jc w:val="center"/>
      </w:pPr>
      <w:r>
        <w:rPr>
          <w:noProof/>
        </w:rPr>
        <w:drawing>
          <wp:inline distT="0" distB="0" distL="0" distR="0" wp14:anchorId="272852E9" wp14:editId="62C40759">
            <wp:extent cx="5479986" cy="363855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1252" cy="3652670"/>
                    </a:xfrm>
                    <a:prstGeom prst="rect">
                      <a:avLst/>
                    </a:prstGeom>
                    <a:noFill/>
                    <a:ln>
                      <a:noFill/>
                    </a:ln>
                  </pic:spPr>
                </pic:pic>
              </a:graphicData>
            </a:graphic>
          </wp:inline>
        </w:drawing>
      </w:r>
    </w:p>
    <w:p w14:paraId="79D9B92F" w14:textId="77777777" w:rsidR="000A3759" w:rsidRPr="0050670B" w:rsidRDefault="000A3759" w:rsidP="000A3759">
      <w:pPr>
        <w:rPr>
          <w:b/>
          <w:bCs/>
          <w:sz w:val="28"/>
          <w:szCs w:val="28"/>
        </w:rPr>
      </w:pPr>
      <w:r w:rsidRPr="0050670B">
        <w:rPr>
          <w:b/>
          <w:bCs/>
          <w:sz w:val="28"/>
          <w:szCs w:val="28"/>
        </w:rPr>
        <w:lastRenderedPageBreak/>
        <w:t>Calibration</w:t>
      </w:r>
      <w:r>
        <w:rPr>
          <w:b/>
          <w:bCs/>
          <w:sz w:val="28"/>
          <w:szCs w:val="28"/>
        </w:rPr>
        <w:t xml:space="preserve"> and </w:t>
      </w:r>
      <w:r w:rsidRPr="0050670B">
        <w:rPr>
          <w:b/>
          <w:bCs/>
          <w:sz w:val="28"/>
          <w:szCs w:val="28"/>
        </w:rPr>
        <w:t>ionization chambers</w:t>
      </w:r>
    </w:p>
    <w:p w14:paraId="30A22621" w14:textId="77777777" w:rsidR="000A3759" w:rsidRDefault="000A3759" w:rsidP="000A3759">
      <w:r>
        <w:t>To make sure the treatment machines delivery the correct dose we measure each one with ionization chambers and electrometers.</w:t>
      </w:r>
    </w:p>
    <w:p w14:paraId="579D82C0" w14:textId="782A4D7D" w:rsidR="000A3759" w:rsidRDefault="000A3759" w:rsidP="000A3759">
      <w:r>
        <w:t xml:space="preserve">There are variations from chamber to chamber which need to be accounted for when we calculate the dose. To work out what the chambers’ individual correction factor is, it is compared to the Primary Standard Dosimetry Lab’s (PSDLs) </w:t>
      </w:r>
      <w:r w:rsidRPr="00445684">
        <w:rPr>
          <w:vertAlign w:val="superscript"/>
        </w:rPr>
        <w:t>60</w:t>
      </w:r>
      <w:r>
        <w:t>Co gamma ray source. Cobalt-60 (</w:t>
      </w:r>
      <w:r w:rsidRPr="00445684">
        <w:rPr>
          <w:vertAlign w:val="superscript"/>
        </w:rPr>
        <w:t>60</w:t>
      </w:r>
      <w:r>
        <w:t xml:space="preserve">Co) is used as the dose is highly accurate due to it being a radioactive source, constantly emitting a uniform dose. </w:t>
      </w:r>
      <w:proofErr w:type="spellStart"/>
      <w:r w:rsidR="00A65B6F">
        <w:t>Linacs</w:t>
      </w:r>
      <w:proofErr w:type="spellEnd"/>
      <w:r>
        <w:t xml:space="preserve"> are driven by electricity and can have many points of uncertainty in the production of the radioactive beam. </w:t>
      </w:r>
    </w:p>
    <w:p w14:paraId="50ADD385" w14:textId="77777777" w:rsidR="000A3759" w:rsidRDefault="000A3759" w:rsidP="000A3759">
      <w:r>
        <w:t xml:space="preserve">Chambers can also be cross calibrated (or compared) against a chamber which has been calibrated at the PSDL. An example of this would be </w:t>
      </w:r>
      <w:proofErr w:type="spellStart"/>
      <w:r>
        <w:t>Roos</w:t>
      </w:r>
      <w:proofErr w:type="spellEnd"/>
      <w:r>
        <w:t xml:space="preserve"> chambers used to measure electron beams. As the primary standard is an x-ray beam, </w:t>
      </w:r>
      <w:proofErr w:type="spellStart"/>
      <w:r>
        <w:t>Roos</w:t>
      </w:r>
      <w:proofErr w:type="spellEnd"/>
      <w:r>
        <w:t xml:space="preserve"> chambers can be cross calibrated with farmer chambers or similar.</w:t>
      </w:r>
    </w:p>
    <w:p w14:paraId="37987201" w14:textId="77777777" w:rsidR="000A3759" w:rsidRDefault="000A3759" w:rsidP="000A3759">
      <w:pPr>
        <w:sectPr w:rsidR="000A3759" w:rsidSect="000A3759">
          <w:type w:val="continuous"/>
          <w:pgSz w:w="11906" w:h="16838"/>
          <w:pgMar w:top="1440" w:right="1440" w:bottom="1440" w:left="1440" w:header="708" w:footer="708" w:gutter="0"/>
          <w:cols w:space="708"/>
          <w:docGrid w:linePitch="360"/>
        </w:sectPr>
      </w:pPr>
      <w:r>
        <w:t>Dose can be measured in air or in water. For our purposes water is used, as this closely resembles human tissue. We use a combination of water tanks and solid water phantoms (water equivalent density).</w:t>
      </w:r>
    </w:p>
    <w:p w14:paraId="03EF403E" w14:textId="4D2440C4" w:rsidR="00C175EE" w:rsidRDefault="00C175EE"/>
    <w:p w14:paraId="2E2ADF6F" w14:textId="7ABE5E4E" w:rsidR="00C175EE" w:rsidRDefault="00C175EE">
      <w:pPr>
        <w:rPr>
          <w:b/>
          <w:bCs/>
          <w:sz w:val="28"/>
          <w:szCs w:val="28"/>
        </w:rPr>
      </w:pPr>
      <w:r w:rsidRPr="00C175EE">
        <w:rPr>
          <w:b/>
          <w:bCs/>
          <w:sz w:val="28"/>
          <w:szCs w:val="28"/>
        </w:rPr>
        <w:t>Chambers</w:t>
      </w:r>
    </w:p>
    <w:p w14:paraId="6306BB6B" w14:textId="68590C0B" w:rsidR="00FB7B23" w:rsidRPr="00FB7B23" w:rsidRDefault="00FB7B23" w:rsidP="00FB7B23">
      <w:pPr>
        <w:pStyle w:val="ListParagraph"/>
        <w:numPr>
          <w:ilvl w:val="0"/>
          <w:numId w:val="1"/>
        </w:numPr>
      </w:pPr>
      <w:r w:rsidRPr="00FB7B23">
        <w:t>Convert dose to charge</w:t>
      </w:r>
    </w:p>
    <w:p w14:paraId="70675FE4" w14:textId="02D578F9" w:rsidR="00F65CCF" w:rsidRDefault="00FB7B23" w:rsidP="00F65CCF">
      <w:pPr>
        <w:rPr>
          <w:noProof/>
        </w:rPr>
      </w:pPr>
      <w:r>
        <w:rPr>
          <w:noProof/>
        </w:rPr>
        <w:drawing>
          <wp:anchor distT="0" distB="0" distL="114300" distR="114300" simplePos="0" relativeHeight="251659264" behindDoc="0" locked="0" layoutInCell="1" allowOverlap="1" wp14:anchorId="7032CF45" wp14:editId="26617D7D">
            <wp:simplePos x="0" y="0"/>
            <wp:positionH relativeFrom="column">
              <wp:posOffset>114300</wp:posOffset>
            </wp:positionH>
            <wp:positionV relativeFrom="paragraph">
              <wp:posOffset>9525</wp:posOffset>
            </wp:positionV>
            <wp:extent cx="2876550" cy="15906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anchor>
        </w:drawing>
      </w:r>
      <w:r w:rsidR="00515D27" w:rsidRPr="00F05B75">
        <w:rPr>
          <w:noProof/>
        </w:rPr>
        <w:t xml:space="preserve"> </w:t>
      </w:r>
    </w:p>
    <w:p w14:paraId="2BAB008D" w14:textId="1BF03B63" w:rsidR="00142411" w:rsidRDefault="00142411" w:rsidP="00142411"/>
    <w:p w14:paraId="41BC4B9F" w14:textId="77777777" w:rsidR="00FB7B23" w:rsidRDefault="00FB7B23" w:rsidP="00142411">
      <w:pPr>
        <w:rPr>
          <w:b/>
          <w:bCs/>
          <w:sz w:val="28"/>
          <w:szCs w:val="28"/>
        </w:rPr>
      </w:pPr>
    </w:p>
    <w:p w14:paraId="00012E9C" w14:textId="77777777" w:rsidR="00FB7B23" w:rsidRDefault="00FB7B23" w:rsidP="00142411">
      <w:pPr>
        <w:rPr>
          <w:b/>
          <w:bCs/>
          <w:sz w:val="28"/>
          <w:szCs w:val="28"/>
        </w:rPr>
      </w:pPr>
    </w:p>
    <w:p w14:paraId="052E184A" w14:textId="77777777" w:rsidR="00FB7B23" w:rsidRDefault="00FB7B23" w:rsidP="00142411">
      <w:pPr>
        <w:rPr>
          <w:b/>
          <w:bCs/>
          <w:sz w:val="28"/>
          <w:szCs w:val="28"/>
        </w:rPr>
      </w:pPr>
    </w:p>
    <w:p w14:paraId="7DE59B19" w14:textId="77777777" w:rsidR="00FB7B23" w:rsidRDefault="00FB7B23" w:rsidP="00142411">
      <w:pPr>
        <w:rPr>
          <w:b/>
          <w:bCs/>
          <w:sz w:val="28"/>
          <w:szCs w:val="28"/>
        </w:rPr>
      </w:pPr>
    </w:p>
    <w:p w14:paraId="73D7422A" w14:textId="5466916B" w:rsidR="00142411" w:rsidRPr="00C175EE" w:rsidRDefault="00142411" w:rsidP="00142411">
      <w:pPr>
        <w:rPr>
          <w:b/>
          <w:bCs/>
          <w:sz w:val="28"/>
          <w:szCs w:val="28"/>
        </w:rPr>
      </w:pPr>
      <w:r w:rsidRPr="00C175EE">
        <w:rPr>
          <w:b/>
          <w:bCs/>
          <w:sz w:val="28"/>
          <w:szCs w:val="28"/>
        </w:rPr>
        <w:t>Electrometers</w:t>
      </w:r>
    </w:p>
    <w:p w14:paraId="08227D0B" w14:textId="54E47443" w:rsidR="003269E3" w:rsidRDefault="004136B9" w:rsidP="004136B9">
      <w:pPr>
        <w:pStyle w:val="ListParagraph"/>
        <w:numPr>
          <w:ilvl w:val="0"/>
          <w:numId w:val="1"/>
        </w:numPr>
      </w:pPr>
      <w:r>
        <w:t>Measure charge</w:t>
      </w:r>
    </w:p>
    <w:p w14:paraId="47BC4E90" w14:textId="5B4D22B4" w:rsidR="003269E3" w:rsidRDefault="00FB7B23" w:rsidP="00142411">
      <w:pPr>
        <w:rPr>
          <w:noProof/>
        </w:rPr>
      </w:pPr>
      <w:r>
        <w:rPr>
          <w:noProof/>
        </w:rPr>
        <w:drawing>
          <wp:anchor distT="0" distB="0" distL="114300" distR="114300" simplePos="0" relativeHeight="251660288" behindDoc="0" locked="0" layoutInCell="1" allowOverlap="1" wp14:anchorId="49D306AC" wp14:editId="3939309A">
            <wp:simplePos x="0" y="0"/>
            <wp:positionH relativeFrom="margin">
              <wp:align>left</wp:align>
            </wp:positionH>
            <wp:positionV relativeFrom="paragraph">
              <wp:posOffset>121920</wp:posOffset>
            </wp:positionV>
            <wp:extent cx="2847975" cy="1600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anchor>
        </w:drawing>
      </w:r>
    </w:p>
    <w:p w14:paraId="63F49F82" w14:textId="77777777" w:rsidR="00FB7B23" w:rsidRDefault="00FB7B23">
      <w:pPr>
        <w:rPr>
          <w:b/>
          <w:bCs/>
          <w:sz w:val="28"/>
          <w:szCs w:val="28"/>
        </w:rPr>
      </w:pPr>
      <w:r>
        <w:rPr>
          <w:b/>
          <w:bCs/>
          <w:sz w:val="28"/>
          <w:szCs w:val="28"/>
        </w:rPr>
        <w:br w:type="page"/>
      </w:r>
    </w:p>
    <w:p w14:paraId="220B8771" w14:textId="2C160618" w:rsidR="00593327" w:rsidRPr="0005537F" w:rsidRDefault="00593327" w:rsidP="0005537F">
      <w:pPr>
        <w:rPr>
          <w:b/>
          <w:bCs/>
          <w:sz w:val="28"/>
          <w:szCs w:val="28"/>
        </w:rPr>
      </w:pPr>
      <w:r w:rsidRPr="0005537F">
        <w:rPr>
          <w:b/>
          <w:bCs/>
          <w:sz w:val="28"/>
          <w:szCs w:val="28"/>
        </w:rPr>
        <w:lastRenderedPageBreak/>
        <w:t>Glossary</w:t>
      </w:r>
    </w:p>
    <w:p w14:paraId="16094240" w14:textId="77777777" w:rsidR="00593327" w:rsidRPr="00593327" w:rsidRDefault="00593327" w:rsidP="00C175EE">
      <w:pPr>
        <w:spacing w:after="0" w:line="240" w:lineRule="auto"/>
        <w:rPr>
          <w:rFonts w:eastAsia="Times New Roman" w:cstheme="minorHAnsi"/>
          <w:color w:val="000000"/>
          <w:lang w:eastAsia="en-AU"/>
        </w:rPr>
      </w:pPr>
    </w:p>
    <w:p w14:paraId="32FA7DC5" w14:textId="77777777" w:rsidR="00593327" w:rsidRPr="00593327" w:rsidRDefault="00593327" w:rsidP="00593327">
      <w:pPr>
        <w:rPr>
          <w:rFonts w:cstheme="minorHAnsi"/>
        </w:rPr>
      </w:pPr>
      <w:r w:rsidRPr="00593327">
        <w:rPr>
          <w:rFonts w:cstheme="minorHAnsi"/>
        </w:rPr>
        <w:t>k – Correction factor</w:t>
      </w:r>
    </w:p>
    <w:p w14:paraId="4EB7C4E2" w14:textId="77777777" w:rsidR="00593327" w:rsidRPr="00593327" w:rsidRDefault="00593327" w:rsidP="00593327">
      <w:pPr>
        <w:rPr>
          <w:rFonts w:cstheme="minorHAnsi"/>
        </w:rPr>
      </w:pPr>
      <w:r w:rsidRPr="00593327">
        <w:rPr>
          <w:rFonts w:cstheme="minorHAnsi"/>
        </w:rPr>
        <w:t>N – Calibration Factor</w:t>
      </w:r>
    </w:p>
    <w:p w14:paraId="7B08F587" w14:textId="77777777" w:rsidR="00593327" w:rsidRPr="00593327" w:rsidRDefault="00593327" w:rsidP="00593327">
      <w:pPr>
        <w:rPr>
          <w:rFonts w:cstheme="minorHAnsi"/>
        </w:rPr>
      </w:pPr>
      <w:r w:rsidRPr="00593327">
        <w:rPr>
          <w:rFonts w:cstheme="minorHAnsi"/>
        </w:rPr>
        <w:t>D – Dose</w:t>
      </w:r>
    </w:p>
    <w:p w14:paraId="21C03DAC" w14:textId="77777777" w:rsidR="00593327" w:rsidRPr="00593327" w:rsidRDefault="00593327" w:rsidP="00593327">
      <w:pPr>
        <w:rPr>
          <w:rFonts w:cstheme="minorHAnsi"/>
        </w:rPr>
      </w:pPr>
      <w:r w:rsidRPr="00593327">
        <w:rPr>
          <w:rFonts w:cstheme="minorHAnsi"/>
        </w:rPr>
        <w:t>w – Water</w:t>
      </w:r>
    </w:p>
    <w:p w14:paraId="670AAC40" w14:textId="77777777" w:rsidR="00593327" w:rsidRPr="00593327" w:rsidRDefault="00593327" w:rsidP="00593327">
      <w:pPr>
        <w:rPr>
          <w:rFonts w:cstheme="minorHAnsi"/>
        </w:rPr>
      </w:pPr>
      <w:r w:rsidRPr="00593327">
        <w:rPr>
          <w:rFonts w:cstheme="minorHAnsi"/>
        </w:rPr>
        <w:t>a - Air</w:t>
      </w:r>
    </w:p>
    <w:p w14:paraId="1F7EF901" w14:textId="620A5C49" w:rsidR="00593327" w:rsidRDefault="00593327" w:rsidP="00593327">
      <w:pPr>
        <w:rPr>
          <w:rFonts w:cstheme="minorHAnsi"/>
        </w:rPr>
      </w:pPr>
      <w:r w:rsidRPr="00593327">
        <w:rPr>
          <w:rFonts w:cstheme="minorHAnsi"/>
        </w:rPr>
        <w:t>Q – Beam Quality (or beam energy)</w:t>
      </w:r>
    </w:p>
    <w:p w14:paraId="42833C47" w14:textId="5BB5D3DF" w:rsidR="00FB7B23" w:rsidRPr="00593327" w:rsidRDefault="00FB7B23" w:rsidP="00593327">
      <w:pPr>
        <w:rPr>
          <w:rFonts w:cstheme="minorHAnsi"/>
        </w:rPr>
      </w:pPr>
      <w:r>
        <w:rPr>
          <w:rFonts w:cstheme="minorHAnsi"/>
        </w:rPr>
        <w:t>B – Magnetic field</w:t>
      </w:r>
    </w:p>
    <w:p w14:paraId="65236876" w14:textId="54ED8300" w:rsidR="00593327" w:rsidRPr="00593327" w:rsidRDefault="00593327" w:rsidP="00593327">
      <w:pPr>
        <w:rPr>
          <w:rFonts w:cstheme="minorHAnsi"/>
        </w:rPr>
      </w:pPr>
      <w:r w:rsidRPr="00C175EE">
        <w:rPr>
          <w:rFonts w:eastAsia="Times New Roman" w:cstheme="minorHAnsi"/>
          <w:color w:val="000000"/>
          <w:lang w:eastAsia="en-AU"/>
        </w:rPr>
        <w:t>Q</w:t>
      </w:r>
      <w:r w:rsidRPr="00593327">
        <w:rPr>
          <w:rFonts w:eastAsia="Times New Roman" w:cstheme="minorHAnsi"/>
          <w:color w:val="000000"/>
          <w:lang w:eastAsia="en-AU"/>
        </w:rPr>
        <w:t>_</w:t>
      </w:r>
      <w:r w:rsidRPr="00C175EE">
        <w:rPr>
          <w:rFonts w:eastAsia="Times New Roman" w:cstheme="minorHAnsi"/>
          <w:color w:val="000000"/>
          <w:lang w:eastAsia="en-AU"/>
        </w:rPr>
        <w:t>o</w:t>
      </w:r>
      <w:r w:rsidRPr="00593327">
        <w:rPr>
          <w:rFonts w:eastAsia="Times New Roman" w:cstheme="minorHAnsi"/>
          <w:color w:val="000000"/>
          <w:lang w:eastAsia="en-AU"/>
        </w:rPr>
        <w:t xml:space="preserve"> </w:t>
      </w:r>
      <w:r w:rsidRPr="00593327">
        <w:rPr>
          <w:rFonts w:cstheme="minorHAnsi"/>
        </w:rPr>
        <w:t>- Reference quality used for the calibration</w:t>
      </w:r>
    </w:p>
    <w:p w14:paraId="1A6B738D" w14:textId="77777777" w:rsidR="00593327" w:rsidRPr="00593327" w:rsidRDefault="00593327" w:rsidP="00593327">
      <w:pPr>
        <w:rPr>
          <w:rFonts w:cstheme="minorHAnsi"/>
        </w:rPr>
      </w:pPr>
      <w:proofErr w:type="spellStart"/>
      <w:r w:rsidRPr="00593327">
        <w:rPr>
          <w:rFonts w:cstheme="minorHAnsi"/>
        </w:rPr>
        <w:t>Gy</w:t>
      </w:r>
      <w:proofErr w:type="spellEnd"/>
      <w:r w:rsidRPr="00593327">
        <w:rPr>
          <w:rFonts w:cstheme="minorHAnsi"/>
        </w:rPr>
        <w:t xml:space="preserve"> – Unit of dose (Gray)</w:t>
      </w:r>
    </w:p>
    <w:p w14:paraId="273CA54B" w14:textId="21B68FD9" w:rsidR="00593327" w:rsidRPr="00593327" w:rsidRDefault="00593327" w:rsidP="00593327">
      <w:pPr>
        <w:pStyle w:val="ListParagraph"/>
        <w:numPr>
          <w:ilvl w:val="0"/>
          <w:numId w:val="1"/>
        </w:numPr>
        <w:rPr>
          <w:rFonts w:cstheme="minorHAnsi"/>
        </w:rPr>
      </w:pPr>
      <w:proofErr w:type="spellStart"/>
      <w:r w:rsidRPr="00593327">
        <w:rPr>
          <w:rFonts w:cstheme="minorHAnsi"/>
        </w:rPr>
        <w:t>mGy</w:t>
      </w:r>
      <w:proofErr w:type="spellEnd"/>
      <w:r w:rsidRPr="00593327">
        <w:rPr>
          <w:rFonts w:cstheme="minorHAnsi"/>
        </w:rPr>
        <w:t xml:space="preserve"> - </w:t>
      </w:r>
      <w:proofErr w:type="spellStart"/>
      <w:r w:rsidR="000A3759">
        <w:rPr>
          <w:rFonts w:cstheme="minorHAnsi"/>
        </w:rPr>
        <w:t>m</w:t>
      </w:r>
      <w:r w:rsidRPr="00593327">
        <w:rPr>
          <w:rFonts w:cstheme="minorHAnsi"/>
        </w:rPr>
        <w:t>illiGray</w:t>
      </w:r>
      <w:proofErr w:type="spellEnd"/>
    </w:p>
    <w:p w14:paraId="5C9DE325" w14:textId="77777777" w:rsidR="00593327" w:rsidRPr="00593327" w:rsidRDefault="00593327" w:rsidP="00593327">
      <w:pPr>
        <w:rPr>
          <w:rFonts w:cstheme="minorHAnsi"/>
        </w:rPr>
      </w:pPr>
      <w:r w:rsidRPr="00593327">
        <w:rPr>
          <w:rFonts w:cstheme="minorHAnsi"/>
        </w:rPr>
        <w:t>C – Unit for electrical charge (Coulomb)</w:t>
      </w:r>
    </w:p>
    <w:p w14:paraId="5752711F" w14:textId="5EEBEFC1" w:rsidR="00E07196" w:rsidRPr="00291616" w:rsidRDefault="00593327" w:rsidP="00593327">
      <w:pPr>
        <w:pStyle w:val="ListParagraph"/>
        <w:numPr>
          <w:ilvl w:val="0"/>
          <w:numId w:val="1"/>
        </w:numPr>
        <w:rPr>
          <w:rFonts w:cstheme="minorHAnsi"/>
        </w:rPr>
      </w:pPr>
      <w:proofErr w:type="spellStart"/>
      <w:r w:rsidRPr="00593327">
        <w:rPr>
          <w:rFonts w:cstheme="minorHAnsi"/>
        </w:rPr>
        <w:t>nC</w:t>
      </w:r>
      <w:proofErr w:type="spellEnd"/>
      <w:r w:rsidRPr="00593327">
        <w:rPr>
          <w:rFonts w:cstheme="minorHAnsi"/>
        </w:rPr>
        <w:t xml:space="preserve"> – </w:t>
      </w:r>
      <w:proofErr w:type="spellStart"/>
      <w:r w:rsidR="000A3759">
        <w:rPr>
          <w:rFonts w:cstheme="minorHAnsi"/>
        </w:rPr>
        <w:t>n</w:t>
      </w:r>
      <w:r w:rsidRPr="00593327">
        <w:rPr>
          <w:rFonts w:cstheme="minorHAnsi"/>
        </w:rPr>
        <w:t>anoCoulomb</w:t>
      </w:r>
      <w:proofErr w:type="spellEnd"/>
    </w:p>
    <w:p w14:paraId="7263A24B" w14:textId="77777777" w:rsidR="00291616" w:rsidRDefault="00291616" w:rsidP="00291616">
      <w:pPr>
        <w:rPr>
          <w:rFonts w:cstheme="minorHAnsi"/>
        </w:rPr>
      </w:pPr>
      <w:r>
        <w:rPr>
          <w:rFonts w:cstheme="minorHAnsi"/>
        </w:rPr>
        <w:t xml:space="preserve">FS - Field size – the size of the beam at the ISO </w:t>
      </w:r>
    </w:p>
    <w:p w14:paraId="73560098" w14:textId="77777777" w:rsidR="00291616" w:rsidRDefault="00291616" w:rsidP="00291616">
      <w:pPr>
        <w:rPr>
          <w:rFonts w:cstheme="minorHAnsi"/>
        </w:rPr>
      </w:pPr>
      <w:r>
        <w:rPr>
          <w:rFonts w:cstheme="minorHAnsi"/>
        </w:rPr>
        <w:t>LR – Left to Right</w:t>
      </w:r>
    </w:p>
    <w:p w14:paraId="4561B00B" w14:textId="77777777" w:rsidR="00291616" w:rsidRDefault="00291616" w:rsidP="00291616">
      <w:pPr>
        <w:rPr>
          <w:rFonts w:cstheme="minorHAnsi"/>
        </w:rPr>
      </w:pPr>
      <w:r>
        <w:rPr>
          <w:rFonts w:cstheme="minorHAnsi"/>
        </w:rPr>
        <w:t>SI – Superior (head) to Inferior (feet)</w:t>
      </w:r>
    </w:p>
    <w:p w14:paraId="4FAB7455" w14:textId="77777777" w:rsidR="00291616" w:rsidRDefault="00291616" w:rsidP="00291616">
      <w:pPr>
        <w:rPr>
          <w:rFonts w:cstheme="minorHAnsi"/>
        </w:rPr>
      </w:pPr>
      <w:r>
        <w:rPr>
          <w:rFonts w:cstheme="minorHAnsi"/>
        </w:rPr>
        <w:t>GT – Gun to Target – direction moving from the back of the machine to the front (mostly the same as SI)</w:t>
      </w:r>
    </w:p>
    <w:p w14:paraId="7F9AAEA7" w14:textId="77777777" w:rsidR="00291616" w:rsidRDefault="00291616" w:rsidP="00291616">
      <w:pPr>
        <w:rPr>
          <w:rFonts w:cstheme="minorHAnsi"/>
        </w:rPr>
      </w:pPr>
      <w:r>
        <w:rPr>
          <w:rFonts w:cstheme="minorHAnsi"/>
        </w:rPr>
        <w:t>RLAT – Right lateral</w:t>
      </w:r>
    </w:p>
    <w:p w14:paraId="6C2B2B56" w14:textId="77777777" w:rsidR="00291616" w:rsidRDefault="00291616" w:rsidP="00291616">
      <w:pPr>
        <w:rPr>
          <w:rFonts w:cstheme="minorHAnsi"/>
        </w:rPr>
      </w:pPr>
      <w:r>
        <w:rPr>
          <w:rFonts w:cstheme="minorHAnsi"/>
        </w:rPr>
        <w:t>LLAT – Left lateral</w:t>
      </w:r>
    </w:p>
    <w:p w14:paraId="45EA8234" w14:textId="77777777" w:rsidR="00291616" w:rsidRDefault="00291616" w:rsidP="00291616">
      <w:pPr>
        <w:rPr>
          <w:rFonts w:cstheme="minorHAnsi"/>
        </w:rPr>
      </w:pPr>
      <w:r>
        <w:rPr>
          <w:rFonts w:cstheme="minorHAnsi"/>
        </w:rPr>
        <w:t>AP – Anterior to Posterior (generally means gantry = 0 in our situation)</w:t>
      </w:r>
      <w:r w:rsidRPr="00291616">
        <w:rPr>
          <w:rFonts w:cstheme="minorHAnsi"/>
        </w:rPr>
        <w:t xml:space="preserve"> </w:t>
      </w:r>
    </w:p>
    <w:p w14:paraId="11AB6304" w14:textId="6A57D09A" w:rsidR="00291616" w:rsidRDefault="00291616" w:rsidP="00291616">
      <w:pPr>
        <w:rPr>
          <w:rFonts w:cstheme="minorHAnsi"/>
        </w:rPr>
      </w:pPr>
      <w:proofErr w:type="spellStart"/>
      <w:r>
        <w:rPr>
          <w:rFonts w:cstheme="minorHAnsi"/>
        </w:rPr>
        <w:t>Sym</w:t>
      </w:r>
      <w:proofErr w:type="spellEnd"/>
      <w:r>
        <w:rPr>
          <w:rFonts w:cstheme="minorHAnsi"/>
        </w:rPr>
        <w:t>/</w:t>
      </w:r>
      <w:proofErr w:type="spellStart"/>
      <w:r>
        <w:rPr>
          <w:rFonts w:cstheme="minorHAnsi"/>
        </w:rPr>
        <w:t>Asym</w:t>
      </w:r>
      <w:proofErr w:type="spellEnd"/>
      <w:r>
        <w:rPr>
          <w:rFonts w:cstheme="minorHAnsi"/>
        </w:rPr>
        <w:t xml:space="preserve"> – symmetric and asymmetric fields. Symmetric beams have field edges equidistant from the isocentre. </w:t>
      </w:r>
    </w:p>
    <w:p w14:paraId="7702414E" w14:textId="77777777" w:rsidR="00291616" w:rsidRDefault="00291616" w:rsidP="00291616">
      <w:pPr>
        <w:rPr>
          <w:rFonts w:cstheme="minorHAnsi"/>
        </w:rPr>
      </w:pPr>
      <w:r>
        <w:rPr>
          <w:rFonts w:cstheme="minorHAnsi"/>
        </w:rPr>
        <w:t xml:space="preserve">Wedge – beams can be modified to have more dose on one side of the field than the other. </w:t>
      </w:r>
    </w:p>
    <w:p w14:paraId="2C9037A9" w14:textId="77777777" w:rsidR="00291616" w:rsidRDefault="00291616" w:rsidP="00291616">
      <w:pPr>
        <w:rPr>
          <w:rFonts w:cstheme="minorHAnsi"/>
        </w:rPr>
      </w:pPr>
      <w:r>
        <w:rPr>
          <w:rFonts w:cstheme="minorHAnsi"/>
        </w:rPr>
        <w:t xml:space="preserve">Col. Angle – Collimator angle – the collimator houses the jaws (what defines the field size). As the collimator turns, the field rotates. </w:t>
      </w:r>
    </w:p>
    <w:p w14:paraId="33B41EA5" w14:textId="77777777" w:rsidR="00291616" w:rsidRDefault="00291616" w:rsidP="00291616">
      <w:pPr>
        <w:rPr>
          <w:rFonts w:cstheme="minorHAnsi"/>
        </w:rPr>
      </w:pPr>
      <w:r>
        <w:rPr>
          <w:rFonts w:cstheme="minorHAnsi"/>
        </w:rPr>
        <w:t>MLC – Multi leaf collimator – long fingers of lead so that the beam can be shaped in unique patterns</w:t>
      </w:r>
    </w:p>
    <w:p w14:paraId="20086806" w14:textId="77777777" w:rsidR="00291616" w:rsidRDefault="00291616" w:rsidP="00291616">
      <w:pPr>
        <w:rPr>
          <w:rFonts w:cstheme="minorHAnsi"/>
        </w:rPr>
      </w:pPr>
      <w:r w:rsidRPr="00E91714">
        <w:rPr>
          <w:noProof/>
        </w:rPr>
        <w:t xml:space="preserve"> </w:t>
      </w:r>
      <w:r>
        <w:rPr>
          <w:rFonts w:cstheme="minorHAnsi"/>
        </w:rPr>
        <w:t>IMRT – Intensity Modulated Radiation Therapy – The MLCs can move while the beam is being delivered to modulate (or alter) the dose, giving higher doses in some regions and lower doses in others. With IMRT the gantry is static (still</w:t>
      </w:r>
      <w:proofErr w:type="gramStart"/>
      <w:r>
        <w:rPr>
          <w:rFonts w:cstheme="minorHAnsi"/>
        </w:rPr>
        <w:t>)</w:t>
      </w:r>
      <w:proofErr w:type="gramEnd"/>
      <w:r>
        <w:rPr>
          <w:rFonts w:cstheme="minorHAnsi"/>
        </w:rPr>
        <w:t xml:space="preserve"> but the leaves move.</w:t>
      </w:r>
    </w:p>
    <w:p w14:paraId="7D8B7DFA" w14:textId="77777777" w:rsidR="00291616" w:rsidRDefault="00291616" w:rsidP="00291616">
      <w:pPr>
        <w:rPr>
          <w:rFonts w:cstheme="minorHAnsi"/>
        </w:rPr>
      </w:pPr>
      <w:r>
        <w:rPr>
          <w:rFonts w:cstheme="minorHAnsi"/>
        </w:rPr>
        <w:t xml:space="preserve">VMAT - </w:t>
      </w:r>
      <w:r w:rsidRPr="00147F60">
        <w:rPr>
          <w:rFonts w:cstheme="minorHAnsi"/>
        </w:rPr>
        <w:t>Volumetric modulated arc therapy</w:t>
      </w:r>
      <w:r>
        <w:rPr>
          <w:rFonts w:cstheme="minorHAnsi"/>
        </w:rPr>
        <w:t xml:space="preserve"> – Similar to IMRT however the gantry also moves while the dose is being delivered. VMAT can also use beams of different intensities as the gantry moves around.</w:t>
      </w:r>
    </w:p>
    <w:p w14:paraId="2E08EC0D" w14:textId="43B02944" w:rsidR="00E07196" w:rsidRDefault="00E07196" w:rsidP="00593327">
      <w:pPr>
        <w:rPr>
          <w:rFonts w:cstheme="minorHAnsi"/>
        </w:rPr>
      </w:pPr>
      <w:r>
        <w:rPr>
          <w:rFonts w:cstheme="minorHAnsi"/>
        </w:rPr>
        <w:lastRenderedPageBreak/>
        <w:t>SSD – Source to Surface Distance – distance from the source</w:t>
      </w:r>
      <w:r w:rsidR="006F347F">
        <w:rPr>
          <w:rFonts w:cstheme="minorHAnsi"/>
        </w:rPr>
        <w:t xml:space="preserve"> (or x-ray target)</w:t>
      </w:r>
      <w:r>
        <w:rPr>
          <w:rFonts w:cstheme="minorHAnsi"/>
        </w:rPr>
        <w:t xml:space="preserve"> to the surface of the phantom/patient</w:t>
      </w:r>
    </w:p>
    <w:p w14:paraId="555CFA00" w14:textId="3F4A74F1" w:rsidR="00E07196" w:rsidRDefault="00E07196" w:rsidP="00593327">
      <w:pPr>
        <w:rPr>
          <w:rFonts w:cstheme="minorHAnsi"/>
        </w:rPr>
      </w:pPr>
      <w:r>
        <w:rPr>
          <w:rFonts w:cstheme="minorHAnsi"/>
        </w:rPr>
        <w:t>SAD – Source to Axis Distance – distance from the source</w:t>
      </w:r>
      <w:r w:rsidR="006F347F">
        <w:rPr>
          <w:rFonts w:cstheme="minorHAnsi"/>
        </w:rPr>
        <w:t xml:space="preserve"> (or x-ray target)</w:t>
      </w:r>
      <w:r>
        <w:rPr>
          <w:rFonts w:cstheme="minorHAnsi"/>
        </w:rPr>
        <w:t xml:space="preserve"> to the ISO</w:t>
      </w:r>
    </w:p>
    <w:p w14:paraId="099BEE40" w14:textId="44211543" w:rsidR="00E07196" w:rsidRDefault="00E07196" w:rsidP="00593327">
      <w:pPr>
        <w:rPr>
          <w:rFonts w:cstheme="minorHAnsi"/>
        </w:rPr>
      </w:pPr>
      <w:r>
        <w:rPr>
          <w:rFonts w:cstheme="minorHAnsi"/>
        </w:rPr>
        <w:t xml:space="preserve">ISO – isocentre – point in air that the machine moves around. Wherever the machine is moved, the centre of the beam points towards the isocentre. </w:t>
      </w:r>
      <w:proofErr w:type="spellStart"/>
      <w:r>
        <w:rPr>
          <w:rFonts w:cstheme="minorHAnsi"/>
        </w:rPr>
        <w:t>Linacs</w:t>
      </w:r>
      <w:proofErr w:type="spellEnd"/>
      <w:r>
        <w:rPr>
          <w:rFonts w:cstheme="minorHAnsi"/>
        </w:rPr>
        <w:t xml:space="preserve"> typically have an isocentre 100cm from the “source” of the beam.</w:t>
      </w:r>
    </w:p>
    <w:p w14:paraId="4E7B6B6C" w14:textId="1B223019" w:rsidR="00E07196" w:rsidRDefault="00E07196" w:rsidP="00593327">
      <w:pPr>
        <w:rPr>
          <w:rFonts w:cstheme="minorHAnsi"/>
        </w:rPr>
      </w:pPr>
      <w:r>
        <w:rPr>
          <w:rFonts w:cstheme="minorHAnsi"/>
        </w:rPr>
        <w:t>TAR - Tissue Air Ratio – ratio of absorbed dose in tissue to absorbed dose at the same point in air. Dependant on beam energy, field size and measured depth.</w:t>
      </w:r>
    </w:p>
    <w:p w14:paraId="649C7D5F" w14:textId="02415F92" w:rsidR="00E07196" w:rsidRDefault="00E07196" w:rsidP="00593327">
      <w:pPr>
        <w:rPr>
          <w:rFonts w:cstheme="minorHAnsi"/>
        </w:rPr>
      </w:pPr>
      <w:r>
        <w:rPr>
          <w:rFonts w:cstheme="minorHAnsi"/>
        </w:rPr>
        <w:t>TPR – Tissue Phantom Ratio – ratio of dose at a point in a phantom to the dose at the same point with a fixed reference depth.</w:t>
      </w:r>
    </w:p>
    <w:p w14:paraId="73C02010" w14:textId="7B4235BF" w:rsidR="00593327" w:rsidRPr="00593327" w:rsidRDefault="00593327" w:rsidP="00593327">
      <w:pPr>
        <w:rPr>
          <w:rFonts w:cstheme="minorHAnsi"/>
        </w:rPr>
      </w:pPr>
      <w:r w:rsidRPr="00593327">
        <w:rPr>
          <w:rFonts w:cstheme="minorHAnsi"/>
        </w:rPr>
        <w:t>TPR</w:t>
      </w:r>
      <w:r w:rsidRPr="00593327">
        <w:rPr>
          <w:rFonts w:cstheme="minorHAnsi"/>
          <w:vertAlign w:val="subscript"/>
        </w:rPr>
        <w:t xml:space="preserve">20,10 </w:t>
      </w:r>
      <w:r w:rsidRPr="00593327">
        <w:rPr>
          <w:rFonts w:cstheme="minorHAnsi"/>
        </w:rPr>
        <w:t>- Tissue-phantom ratio in water at depths of 20 and 10 g/cm-2, for a field size of 10cm x 10cm and a SCD</w:t>
      </w:r>
      <w:r w:rsidR="0050670B">
        <w:rPr>
          <w:rFonts w:cstheme="minorHAnsi"/>
        </w:rPr>
        <w:t xml:space="preserve"> (source to </w:t>
      </w:r>
      <w:r w:rsidR="00E07196">
        <w:rPr>
          <w:rFonts w:cstheme="minorHAnsi"/>
        </w:rPr>
        <w:t xml:space="preserve">point of calibration </w:t>
      </w:r>
      <w:r w:rsidR="0050670B">
        <w:rPr>
          <w:rFonts w:cstheme="minorHAnsi"/>
        </w:rPr>
        <w:t>distance)</w:t>
      </w:r>
      <w:r w:rsidRPr="00593327">
        <w:rPr>
          <w:rFonts w:cstheme="minorHAnsi"/>
        </w:rPr>
        <w:t xml:space="preserve"> of 100cm, used as the beam quality index for high-energy photon radiation.</w:t>
      </w:r>
    </w:p>
    <w:p w14:paraId="74F498A6" w14:textId="6244D066" w:rsidR="00116A0E" w:rsidRPr="00593327" w:rsidRDefault="00116A0E" w:rsidP="00116A0E">
      <w:pPr>
        <w:rPr>
          <w:rFonts w:cstheme="minorHAnsi"/>
        </w:rPr>
      </w:pPr>
      <w:r w:rsidRPr="00593327">
        <w:rPr>
          <w:rFonts w:cstheme="minorHAnsi"/>
        </w:rPr>
        <w:t>R</w:t>
      </w:r>
      <w:r w:rsidRPr="00593327">
        <w:rPr>
          <w:rFonts w:cstheme="minorHAnsi"/>
          <w:vertAlign w:val="subscript"/>
        </w:rPr>
        <w:t>50</w:t>
      </w:r>
      <w:r w:rsidRPr="00593327">
        <w:rPr>
          <w:rFonts w:cstheme="minorHAnsi"/>
        </w:rPr>
        <w:t xml:space="preserve"> - Half-value depth in water (in g cm-2), used as the beam quality index for</w:t>
      </w:r>
      <w:r w:rsidRPr="00F8535F">
        <w:rPr>
          <w:rFonts w:cstheme="minorHAnsi"/>
        </w:rPr>
        <w:t xml:space="preserve"> </w:t>
      </w:r>
      <w:r w:rsidRPr="00593327">
        <w:rPr>
          <w:rFonts w:cstheme="minorHAnsi"/>
        </w:rPr>
        <w:t>e</w:t>
      </w:r>
      <w:r>
        <w:rPr>
          <w:rFonts w:cstheme="minorHAnsi"/>
        </w:rPr>
        <w:t>le</w:t>
      </w:r>
      <w:r w:rsidRPr="00593327">
        <w:rPr>
          <w:rFonts w:cstheme="minorHAnsi"/>
        </w:rPr>
        <w:t>ctron beams.</w:t>
      </w:r>
    </w:p>
    <w:p w14:paraId="66910938" w14:textId="77777777" w:rsidR="00116A0E" w:rsidRPr="00593327" w:rsidRDefault="00116A0E" w:rsidP="00116A0E">
      <w:pPr>
        <w:rPr>
          <w:rFonts w:cstheme="minorHAnsi"/>
        </w:rPr>
      </w:pPr>
      <w:proofErr w:type="gramStart"/>
      <w:r w:rsidRPr="00593327">
        <w:rPr>
          <w:rFonts w:cstheme="minorHAnsi"/>
          <w:color w:val="333333"/>
        </w:rPr>
        <w:t>k</w:t>
      </w:r>
      <w:r w:rsidRPr="00593327">
        <w:rPr>
          <w:rFonts w:cstheme="minorHAnsi"/>
          <w:color w:val="333333"/>
          <w:vertAlign w:val="subscript"/>
        </w:rPr>
        <w:t>Q,B</w:t>
      </w:r>
      <w:proofErr w:type="gramEnd"/>
      <w:r w:rsidRPr="00593327">
        <w:rPr>
          <w:rFonts w:cstheme="minorHAnsi"/>
          <w:color w:val="333333"/>
        </w:rPr>
        <w:t xml:space="preserve"> - For MR </w:t>
      </w:r>
      <w:proofErr w:type="spellStart"/>
      <w:r w:rsidRPr="00593327">
        <w:rPr>
          <w:rFonts w:cstheme="minorHAnsi"/>
          <w:color w:val="333333"/>
        </w:rPr>
        <w:t>Linacs</w:t>
      </w:r>
      <w:proofErr w:type="spellEnd"/>
      <w:r w:rsidRPr="00593327">
        <w:rPr>
          <w:rFonts w:cstheme="minorHAnsi"/>
          <w:color w:val="333333"/>
        </w:rPr>
        <w:t xml:space="preserve"> a factor needs to be applied that corrects for both beam quality </w:t>
      </w:r>
      <w:r w:rsidRPr="00593327">
        <w:rPr>
          <w:rFonts w:cstheme="minorHAnsi"/>
          <w:i/>
          <w:iCs/>
          <w:color w:val="333333"/>
          <w:bdr w:val="none" w:sz="0" w:space="0" w:color="auto" w:frame="1"/>
        </w:rPr>
        <w:t>Q</w:t>
      </w:r>
      <w:r w:rsidRPr="00593327">
        <w:rPr>
          <w:rFonts w:cstheme="minorHAnsi"/>
          <w:color w:val="333333"/>
        </w:rPr>
        <w:t> and the presence of the magnetic field </w:t>
      </w:r>
      <w:r w:rsidRPr="00593327">
        <w:rPr>
          <w:rFonts w:cstheme="minorHAnsi"/>
          <w:i/>
          <w:iCs/>
          <w:color w:val="333333"/>
          <w:bdr w:val="none" w:sz="0" w:space="0" w:color="auto" w:frame="1"/>
        </w:rPr>
        <w:t>B</w:t>
      </w:r>
      <w:r w:rsidRPr="00593327">
        <w:rPr>
          <w:rFonts w:cstheme="minorHAnsi"/>
          <w:color w:val="333333"/>
        </w:rPr>
        <w:t xml:space="preserve">. </w:t>
      </w:r>
    </w:p>
    <w:p w14:paraId="651B9F5B" w14:textId="77777777" w:rsidR="00116A0E" w:rsidRPr="00593327" w:rsidRDefault="00116A0E" w:rsidP="00116A0E">
      <w:pPr>
        <w:spacing w:after="0" w:line="240" w:lineRule="auto"/>
        <w:rPr>
          <w:rFonts w:eastAsia="Times New Roman" w:cstheme="minorHAnsi"/>
          <w:color w:val="000000"/>
          <w:lang w:eastAsia="en-AU"/>
        </w:rPr>
      </w:pPr>
      <w:r w:rsidRPr="00C175EE">
        <w:rPr>
          <w:rFonts w:eastAsia="Times New Roman" w:cstheme="minorHAnsi"/>
          <w:color w:val="000000"/>
          <w:lang w:eastAsia="en-AU"/>
        </w:rPr>
        <w:t>N_</w:t>
      </w:r>
      <w:proofErr w:type="gramStart"/>
      <w:r w:rsidRPr="00C175EE">
        <w:rPr>
          <w:rFonts w:eastAsia="Times New Roman" w:cstheme="minorHAnsi"/>
          <w:color w:val="000000"/>
          <w:lang w:eastAsia="en-AU"/>
        </w:rPr>
        <w:t>D,w</w:t>
      </w:r>
      <w:proofErr w:type="gramEnd"/>
      <w:r w:rsidRPr="00C175EE">
        <w:rPr>
          <w:rFonts w:eastAsia="Times New Roman" w:cstheme="minorHAnsi"/>
          <w:color w:val="000000"/>
          <w:lang w:eastAsia="en-AU"/>
        </w:rPr>
        <w:t>,Q_o</w:t>
      </w:r>
    </w:p>
    <w:p w14:paraId="6FBD431E"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Calibration factor in terms of absorbed dose to water for a dosimeter at a reference beam</w:t>
      </w:r>
    </w:p>
    <w:p w14:paraId="4AC4C6AA"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 xml:space="preserve">quality Q_o.     </w:t>
      </w:r>
      <w:proofErr w:type="spellStart"/>
      <w:r w:rsidRPr="00593327">
        <w:rPr>
          <w:rFonts w:eastAsia="Times New Roman" w:cstheme="minorHAnsi"/>
          <w:color w:val="000000"/>
          <w:lang w:eastAsia="en-AU"/>
        </w:rPr>
        <w:t>mGy</w:t>
      </w:r>
      <w:proofErr w:type="spellEnd"/>
      <w:r w:rsidRPr="00593327">
        <w:rPr>
          <w:rFonts w:eastAsia="Times New Roman" w:cstheme="minorHAnsi"/>
          <w:color w:val="000000"/>
          <w:lang w:eastAsia="en-AU"/>
        </w:rPr>
        <w:t>/</w:t>
      </w:r>
      <w:proofErr w:type="spellStart"/>
      <w:r w:rsidRPr="00593327">
        <w:rPr>
          <w:rFonts w:eastAsia="Times New Roman" w:cstheme="minorHAnsi"/>
          <w:color w:val="000000"/>
          <w:lang w:eastAsia="en-AU"/>
        </w:rPr>
        <w:t>nC</w:t>
      </w:r>
      <w:proofErr w:type="spellEnd"/>
    </w:p>
    <w:p w14:paraId="7A064FD4" w14:textId="77777777" w:rsidR="00116A0E" w:rsidRPr="00593327" w:rsidRDefault="00116A0E" w:rsidP="00116A0E">
      <w:pPr>
        <w:spacing w:after="0" w:line="240" w:lineRule="auto"/>
        <w:rPr>
          <w:rFonts w:eastAsia="Times New Roman" w:cstheme="minorHAnsi"/>
          <w:color w:val="000000"/>
          <w:lang w:eastAsia="en-AU"/>
        </w:rPr>
      </w:pPr>
    </w:p>
    <w:p w14:paraId="5F3183AE" w14:textId="77777777" w:rsidR="00116A0E" w:rsidRPr="00593327" w:rsidRDefault="00116A0E" w:rsidP="00116A0E">
      <w:pPr>
        <w:spacing w:after="0" w:line="240" w:lineRule="auto"/>
        <w:rPr>
          <w:rFonts w:eastAsia="Times New Roman" w:cstheme="minorHAnsi"/>
          <w:color w:val="000000"/>
          <w:lang w:eastAsia="en-AU"/>
        </w:rPr>
      </w:pPr>
      <w:r w:rsidRPr="007A623A">
        <w:rPr>
          <w:rFonts w:eastAsia="Times New Roman" w:cstheme="minorHAnsi"/>
          <w:color w:val="000000"/>
          <w:lang w:eastAsia="en-AU"/>
        </w:rPr>
        <w:t>N_</w:t>
      </w:r>
      <w:proofErr w:type="gramStart"/>
      <w:r w:rsidRPr="007A623A">
        <w:rPr>
          <w:rFonts w:eastAsia="Times New Roman" w:cstheme="minorHAnsi"/>
          <w:color w:val="000000"/>
          <w:lang w:eastAsia="en-AU"/>
        </w:rPr>
        <w:t>D,w</w:t>
      </w:r>
      <w:proofErr w:type="gramEnd"/>
      <w:r w:rsidRPr="007A623A">
        <w:rPr>
          <w:rFonts w:eastAsia="Times New Roman" w:cstheme="minorHAnsi"/>
          <w:color w:val="000000"/>
          <w:lang w:eastAsia="en-AU"/>
        </w:rPr>
        <w:t>,Q_cross</w:t>
      </w:r>
    </w:p>
    <w:p w14:paraId="09959A3B"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Calibration factor in terms of water of absorbed dose for a dosimeter cross calibrated with another chamber</w:t>
      </w:r>
    </w:p>
    <w:p w14:paraId="4B4A921D" w14:textId="77777777" w:rsidR="00116A0E" w:rsidRPr="00593327" w:rsidRDefault="00116A0E" w:rsidP="00116A0E">
      <w:pPr>
        <w:spacing w:after="0" w:line="240" w:lineRule="auto"/>
        <w:rPr>
          <w:rFonts w:eastAsia="Times New Roman" w:cstheme="minorHAnsi"/>
          <w:color w:val="000000"/>
          <w:lang w:eastAsia="en-AU"/>
        </w:rPr>
      </w:pPr>
    </w:p>
    <w:p w14:paraId="06D443B9"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k_s</w:t>
      </w:r>
    </w:p>
    <w:p w14:paraId="1836B3E0"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Factor to correct the response of an ionization chamber for the lack of complete charge</w:t>
      </w:r>
    </w:p>
    <w:p w14:paraId="059F5D8A"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collection (due to ion recombination).</w:t>
      </w:r>
    </w:p>
    <w:p w14:paraId="4DD41D59" w14:textId="77777777" w:rsidR="00116A0E" w:rsidRPr="00593327" w:rsidRDefault="00116A0E" w:rsidP="00116A0E">
      <w:pPr>
        <w:spacing w:after="0" w:line="240" w:lineRule="auto"/>
        <w:rPr>
          <w:rFonts w:eastAsia="Times New Roman" w:cstheme="minorHAnsi"/>
          <w:color w:val="000000"/>
          <w:lang w:eastAsia="en-AU"/>
        </w:rPr>
      </w:pPr>
    </w:p>
    <w:p w14:paraId="5D76AB3C" w14:textId="77777777" w:rsidR="00116A0E" w:rsidRPr="00593327" w:rsidRDefault="00116A0E" w:rsidP="00116A0E">
      <w:pPr>
        <w:spacing w:after="0" w:line="240" w:lineRule="auto"/>
        <w:rPr>
          <w:rFonts w:eastAsia="Times New Roman" w:cstheme="minorHAnsi"/>
          <w:color w:val="000000"/>
          <w:lang w:eastAsia="en-AU"/>
        </w:rPr>
      </w:pPr>
      <w:r w:rsidRPr="002A0743">
        <w:rPr>
          <w:rFonts w:eastAsia="Times New Roman" w:cstheme="minorHAnsi"/>
          <w:color w:val="000000"/>
          <w:lang w:eastAsia="en-AU"/>
        </w:rPr>
        <w:t>k_pol</w:t>
      </w:r>
    </w:p>
    <w:p w14:paraId="2C93F6B6"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Factor to correct the response of an ionization chamber for the effect of a change in polarity</w:t>
      </w:r>
    </w:p>
    <w:p w14:paraId="436C7CC2"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of the polarizing voltage applied to the chamber.</w:t>
      </w:r>
    </w:p>
    <w:p w14:paraId="33FAF3BF" w14:textId="77777777" w:rsidR="00116A0E" w:rsidRPr="00593327" w:rsidRDefault="00116A0E" w:rsidP="00116A0E">
      <w:pPr>
        <w:spacing w:after="0" w:line="240" w:lineRule="auto"/>
        <w:rPr>
          <w:rFonts w:eastAsia="Times New Roman" w:cstheme="minorHAnsi"/>
          <w:color w:val="000000"/>
          <w:lang w:eastAsia="en-AU"/>
        </w:rPr>
      </w:pPr>
    </w:p>
    <w:p w14:paraId="3D65B4FD" w14:textId="77777777" w:rsidR="00116A0E" w:rsidRPr="00593327" w:rsidRDefault="00116A0E" w:rsidP="00116A0E">
      <w:pPr>
        <w:spacing w:after="0" w:line="240" w:lineRule="auto"/>
        <w:rPr>
          <w:rFonts w:eastAsia="Times New Roman" w:cstheme="minorHAnsi"/>
          <w:color w:val="000000"/>
          <w:lang w:eastAsia="en-AU"/>
        </w:rPr>
      </w:pPr>
      <w:proofErr w:type="gramStart"/>
      <w:r w:rsidRPr="00593327">
        <w:rPr>
          <w:rFonts w:eastAsia="Times New Roman" w:cstheme="minorHAnsi"/>
          <w:color w:val="000000"/>
          <w:lang w:eastAsia="en-AU"/>
        </w:rPr>
        <w:t>kQ,Q</w:t>
      </w:r>
      <w:proofErr w:type="gramEnd"/>
      <w:r w:rsidRPr="00593327">
        <w:rPr>
          <w:rFonts w:eastAsia="Times New Roman" w:cstheme="minorHAnsi"/>
          <w:color w:val="000000"/>
          <w:lang w:eastAsia="en-AU"/>
        </w:rPr>
        <w:t xml:space="preserve">_o </w:t>
      </w:r>
    </w:p>
    <w:p w14:paraId="01DD1625"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Factor to correct for the difference between the response of an ionization chamber in the</w:t>
      </w:r>
    </w:p>
    <w:p w14:paraId="19A740D1"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reference beam quality Qo used for calibrating the chamber and in the actual user beam</w:t>
      </w:r>
    </w:p>
    <w:p w14:paraId="406E4E52"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quality, Q. The subscript Qo is omitted when the reference quality is 60Co gamma radiation</w:t>
      </w:r>
    </w:p>
    <w:p w14:paraId="62BF79B4" w14:textId="77777777" w:rsidR="00116A0E" w:rsidRPr="00593327" w:rsidRDefault="00116A0E" w:rsidP="00116A0E">
      <w:pPr>
        <w:spacing w:after="0" w:line="240" w:lineRule="auto"/>
        <w:rPr>
          <w:rFonts w:eastAsia="Times New Roman" w:cstheme="minorHAnsi"/>
          <w:color w:val="000000"/>
          <w:lang w:eastAsia="en-AU"/>
        </w:rPr>
      </w:pPr>
      <w:r w:rsidRPr="00593327">
        <w:rPr>
          <w:rFonts w:eastAsia="Times New Roman" w:cstheme="minorHAnsi"/>
          <w:color w:val="000000"/>
          <w:lang w:eastAsia="en-AU"/>
        </w:rPr>
        <w:t>(i.e., the reduced notation kQ always corresponds to the reference quality 60Co).</w:t>
      </w:r>
    </w:p>
    <w:p w14:paraId="66ACC707" w14:textId="77777777" w:rsidR="00116A0E" w:rsidRDefault="00116A0E" w:rsidP="00116A0E">
      <w:pPr>
        <w:rPr>
          <w:rFonts w:cstheme="minorHAnsi"/>
        </w:rPr>
      </w:pPr>
    </w:p>
    <w:p w14:paraId="46FBAB2B" w14:textId="0D5C532E" w:rsidR="00574031" w:rsidRDefault="00116A0E" w:rsidP="00116A0E">
      <w:pPr>
        <w:rPr>
          <w:rFonts w:cstheme="minorHAnsi"/>
        </w:rPr>
      </w:pPr>
      <w:proofErr w:type="spellStart"/>
      <w:r>
        <w:rPr>
          <w:rFonts w:cstheme="minorHAnsi"/>
        </w:rPr>
        <w:t>K_Shad</w:t>
      </w:r>
      <w:proofErr w:type="spellEnd"/>
      <w:r>
        <w:rPr>
          <w:rFonts w:cstheme="minorHAnsi"/>
        </w:rPr>
        <w:t xml:space="preserve"> - Shadowing – correction to </w:t>
      </w:r>
      <w:proofErr w:type="gramStart"/>
      <w:r>
        <w:rPr>
          <w:rFonts w:cstheme="minorHAnsi"/>
        </w:rPr>
        <w:t>take into account</w:t>
      </w:r>
      <w:proofErr w:type="gramEnd"/>
      <w:r>
        <w:rPr>
          <w:rFonts w:cstheme="minorHAnsi"/>
        </w:rPr>
        <w:t xml:space="preserve"> the effect of the density of the dosimeter in the phantom. A beam travelling through a dosimeter will not be as strong on the back side due to attenuation</w:t>
      </w:r>
    </w:p>
    <w:p w14:paraId="0A001C3E" w14:textId="77777777" w:rsidR="00291616" w:rsidRDefault="00291616">
      <w:pPr>
        <w:rPr>
          <w:rFonts w:cstheme="minorHAnsi"/>
        </w:rPr>
      </w:pPr>
      <w:r>
        <w:rPr>
          <w:rFonts w:cstheme="minorHAnsi"/>
        </w:rPr>
        <w:br w:type="page"/>
      </w:r>
    </w:p>
    <w:p w14:paraId="6A414FBF" w14:textId="5091F20F" w:rsidR="00A65B6F" w:rsidRDefault="00A65B6F">
      <w:pPr>
        <w:rPr>
          <w:rFonts w:cstheme="minorHAnsi"/>
        </w:rPr>
      </w:pPr>
      <w:r>
        <w:rPr>
          <w:rFonts w:cstheme="minorHAnsi"/>
        </w:rPr>
        <w:lastRenderedPageBreak/>
        <w:t>Linear accelerator diagrams:</w:t>
      </w:r>
    </w:p>
    <w:p w14:paraId="3588FFA5" w14:textId="0A128192" w:rsidR="00A65B6F" w:rsidRDefault="006F347F" w:rsidP="007A623A">
      <w:pPr>
        <w:rPr>
          <w:rFonts w:cstheme="minorHAnsi"/>
        </w:rPr>
      </w:pPr>
      <w:r>
        <w:rPr>
          <w:noProof/>
        </w:rPr>
        <w:drawing>
          <wp:inline distT="0" distB="0" distL="0" distR="0" wp14:anchorId="7C9CC3C7" wp14:editId="01653F1B">
            <wp:extent cx="4333875" cy="2998085"/>
            <wp:effectExtent l="0" t="0" r="0" b="0"/>
            <wp:docPr id="22" name="Picture 22" descr="Schematic depiction of a linear accelerator (LINAC) used in Extern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hematic depiction of a linear accelerator (LINAC) used in External...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922" cy="3008494"/>
                    </a:xfrm>
                    <a:prstGeom prst="rect">
                      <a:avLst/>
                    </a:prstGeom>
                    <a:noFill/>
                    <a:ln>
                      <a:noFill/>
                    </a:ln>
                  </pic:spPr>
                </pic:pic>
              </a:graphicData>
            </a:graphic>
          </wp:inline>
        </w:drawing>
      </w:r>
      <w:r w:rsidR="00F8535F">
        <w:rPr>
          <w:rFonts w:cstheme="minorHAnsi"/>
          <w:noProof/>
        </w:rPr>
        <w:drawing>
          <wp:inline distT="0" distB="0" distL="0" distR="0" wp14:anchorId="42C3E794" wp14:editId="44F93A28">
            <wp:extent cx="4461023" cy="2609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06" cy="2613643"/>
                    </a:xfrm>
                    <a:prstGeom prst="rect">
                      <a:avLst/>
                    </a:prstGeom>
                    <a:noFill/>
                    <a:ln>
                      <a:noFill/>
                    </a:ln>
                  </pic:spPr>
                </pic:pic>
              </a:graphicData>
            </a:graphic>
          </wp:inline>
        </w:drawing>
      </w:r>
    </w:p>
    <w:p w14:paraId="78A1B1E5" w14:textId="6E329BFE" w:rsidR="00A65B6F" w:rsidRDefault="00A65B6F" w:rsidP="007A623A">
      <w:pPr>
        <w:rPr>
          <w:rFonts w:cstheme="minorHAnsi"/>
        </w:rPr>
      </w:pPr>
    </w:p>
    <w:p w14:paraId="6FEF84E8" w14:textId="77777777" w:rsidR="00291616" w:rsidRDefault="00291616" w:rsidP="007A623A">
      <w:pPr>
        <w:rPr>
          <w:rFonts w:cstheme="minorHAnsi"/>
        </w:rPr>
      </w:pPr>
    </w:p>
    <w:p w14:paraId="0CD6B80F" w14:textId="551A605C" w:rsidR="00A338FE" w:rsidRDefault="00A338FE" w:rsidP="007A623A">
      <w:pPr>
        <w:rPr>
          <w:rFonts w:cstheme="minorHAnsi"/>
        </w:rPr>
      </w:pPr>
      <w:r>
        <w:rPr>
          <w:rFonts w:cstheme="minorHAnsi"/>
        </w:rPr>
        <w:t>References</w:t>
      </w:r>
    </w:p>
    <w:p w14:paraId="6F2028C5" w14:textId="77777777" w:rsidR="008E0801" w:rsidRDefault="008E0801" w:rsidP="007A623A">
      <w:pPr>
        <w:rPr>
          <w:rFonts w:cstheme="minorHAnsi"/>
        </w:rPr>
      </w:pPr>
    </w:p>
    <w:p w14:paraId="7BEE0A94" w14:textId="6DAF0A04" w:rsidR="00A338FE" w:rsidRDefault="00A338FE" w:rsidP="007A623A">
      <w:pPr>
        <w:rPr>
          <w:rFonts w:cstheme="minorHAnsi"/>
        </w:rPr>
      </w:pPr>
      <w:r>
        <w:rPr>
          <w:rFonts w:cstheme="minorHAnsi"/>
        </w:rPr>
        <w:t>TRS</w:t>
      </w:r>
      <w:r w:rsidR="008E0801">
        <w:rPr>
          <w:rFonts w:cstheme="minorHAnsi"/>
        </w:rPr>
        <w:t>-398</w:t>
      </w:r>
    </w:p>
    <w:p w14:paraId="0FB421BE" w14:textId="707C5AA9" w:rsidR="008E0801" w:rsidRDefault="008E0801" w:rsidP="008E0801">
      <w:pPr>
        <w:rPr>
          <w:rFonts w:cstheme="minorHAnsi"/>
        </w:rPr>
      </w:pPr>
      <w:r w:rsidRPr="008E0801">
        <w:rPr>
          <w:rFonts w:cstheme="minorHAnsi"/>
        </w:rPr>
        <w:t>Absorbed Dose Determination in</w:t>
      </w:r>
      <w:r>
        <w:rPr>
          <w:rFonts w:cstheme="minorHAnsi"/>
        </w:rPr>
        <w:t xml:space="preserve"> </w:t>
      </w:r>
      <w:r w:rsidRPr="008E0801">
        <w:rPr>
          <w:rFonts w:cstheme="minorHAnsi"/>
        </w:rPr>
        <w:t>External Beam Radiotherapy:</w:t>
      </w:r>
      <w:r>
        <w:rPr>
          <w:rFonts w:cstheme="minorHAnsi"/>
        </w:rPr>
        <w:t xml:space="preserve"> </w:t>
      </w:r>
      <w:r w:rsidRPr="008E0801">
        <w:rPr>
          <w:rFonts w:cstheme="minorHAnsi"/>
        </w:rPr>
        <w:t>An International Code of Practice for Dosimetry</w:t>
      </w:r>
      <w:r>
        <w:rPr>
          <w:rFonts w:cstheme="minorHAnsi"/>
        </w:rPr>
        <w:t xml:space="preserve"> </w:t>
      </w:r>
      <w:r w:rsidRPr="008E0801">
        <w:rPr>
          <w:rFonts w:cstheme="minorHAnsi"/>
        </w:rPr>
        <w:t>based on Standards of Absorbed Dose to Water</w:t>
      </w:r>
    </w:p>
    <w:p w14:paraId="2F30780C" w14:textId="3FC90E5E" w:rsidR="008E0801" w:rsidRDefault="008E0801" w:rsidP="008E0801">
      <w:pPr>
        <w:rPr>
          <w:rFonts w:cstheme="minorHAnsi"/>
        </w:rPr>
      </w:pPr>
      <w:r w:rsidRPr="008E0801">
        <w:rPr>
          <w:rFonts w:cstheme="minorHAnsi"/>
        </w:rPr>
        <w:t>PUBLISHED BY THE IAEA ON BEHALF OF IAEA, WHO, PAHO, AND ESTRO</w:t>
      </w:r>
    </w:p>
    <w:p w14:paraId="16645DC9" w14:textId="77777777" w:rsidR="00F36690" w:rsidRPr="002A0743" w:rsidRDefault="00F36690" w:rsidP="008E0801">
      <w:pPr>
        <w:rPr>
          <w:rFonts w:cstheme="minorHAnsi"/>
        </w:rPr>
      </w:pPr>
    </w:p>
    <w:sectPr w:rsidR="00F36690" w:rsidRPr="002A0743" w:rsidSect="00F65CC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43C8"/>
    <w:multiLevelType w:val="hybridMultilevel"/>
    <w:tmpl w:val="240AF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360916"/>
    <w:multiLevelType w:val="multilevel"/>
    <w:tmpl w:val="90E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258E6"/>
    <w:multiLevelType w:val="multilevel"/>
    <w:tmpl w:val="76DC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955F5"/>
    <w:multiLevelType w:val="hybridMultilevel"/>
    <w:tmpl w:val="0DE2F77C"/>
    <w:lvl w:ilvl="0" w:tplc="9788E0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FA5BA3"/>
    <w:multiLevelType w:val="hybridMultilevel"/>
    <w:tmpl w:val="C394A27C"/>
    <w:lvl w:ilvl="0" w:tplc="E22C41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68144B"/>
    <w:multiLevelType w:val="multilevel"/>
    <w:tmpl w:val="6C6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D5"/>
    <w:rsid w:val="000002C5"/>
    <w:rsid w:val="00013F29"/>
    <w:rsid w:val="0005537F"/>
    <w:rsid w:val="000A3759"/>
    <w:rsid w:val="00116A0E"/>
    <w:rsid w:val="00142411"/>
    <w:rsid w:val="00147F60"/>
    <w:rsid w:val="001F1489"/>
    <w:rsid w:val="00291616"/>
    <w:rsid w:val="002A0743"/>
    <w:rsid w:val="002E4460"/>
    <w:rsid w:val="003269E3"/>
    <w:rsid w:val="0033630E"/>
    <w:rsid w:val="003666D5"/>
    <w:rsid w:val="004136B9"/>
    <w:rsid w:val="00445684"/>
    <w:rsid w:val="0050670B"/>
    <w:rsid w:val="00515D27"/>
    <w:rsid w:val="00574031"/>
    <w:rsid w:val="00593327"/>
    <w:rsid w:val="00602659"/>
    <w:rsid w:val="00606ED1"/>
    <w:rsid w:val="006B1536"/>
    <w:rsid w:val="006F347F"/>
    <w:rsid w:val="0073125A"/>
    <w:rsid w:val="007A39EC"/>
    <w:rsid w:val="007A623A"/>
    <w:rsid w:val="007B36F0"/>
    <w:rsid w:val="007D0343"/>
    <w:rsid w:val="008E0801"/>
    <w:rsid w:val="00A0269C"/>
    <w:rsid w:val="00A30BCF"/>
    <w:rsid w:val="00A338FE"/>
    <w:rsid w:val="00A65B6F"/>
    <w:rsid w:val="00AA1910"/>
    <w:rsid w:val="00AC46E2"/>
    <w:rsid w:val="00BF65B1"/>
    <w:rsid w:val="00C06506"/>
    <w:rsid w:val="00C175EE"/>
    <w:rsid w:val="00C73A91"/>
    <w:rsid w:val="00CC2E30"/>
    <w:rsid w:val="00D64B6D"/>
    <w:rsid w:val="00E07196"/>
    <w:rsid w:val="00E463B0"/>
    <w:rsid w:val="00E91714"/>
    <w:rsid w:val="00EE2F31"/>
    <w:rsid w:val="00F05B75"/>
    <w:rsid w:val="00F36690"/>
    <w:rsid w:val="00F65CCF"/>
    <w:rsid w:val="00F8535F"/>
    <w:rsid w:val="00FB7B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E017"/>
  <w15:chartTrackingRefBased/>
  <w15:docId w15:val="{4A109E60-A459-4B39-B76C-2B04F47A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B75"/>
    <w:pPr>
      <w:ind w:left="720"/>
      <w:contextualSpacing/>
    </w:pPr>
  </w:style>
  <w:style w:type="character" w:styleId="Emphasis">
    <w:name w:val="Emphasis"/>
    <w:basedOn w:val="DefaultParagraphFont"/>
    <w:uiPriority w:val="20"/>
    <w:qFormat/>
    <w:rsid w:val="00142411"/>
    <w:rPr>
      <w:i/>
      <w:iCs/>
    </w:rPr>
  </w:style>
  <w:style w:type="character" w:styleId="Strong">
    <w:name w:val="Strong"/>
    <w:basedOn w:val="DefaultParagraphFont"/>
    <w:uiPriority w:val="22"/>
    <w:qFormat/>
    <w:rsid w:val="00142411"/>
    <w:rPr>
      <w:b/>
      <w:bCs/>
    </w:rPr>
  </w:style>
  <w:style w:type="character" w:styleId="Hyperlink">
    <w:name w:val="Hyperlink"/>
    <w:basedOn w:val="DefaultParagraphFont"/>
    <w:uiPriority w:val="99"/>
    <w:semiHidden/>
    <w:unhideWhenUsed/>
    <w:rsid w:val="003269E3"/>
    <w:rPr>
      <w:color w:val="0000FF"/>
      <w:u w:val="single"/>
    </w:rPr>
  </w:style>
  <w:style w:type="paragraph" w:customStyle="1" w:styleId="footnotepopupitem">
    <w:name w:val="footnotepopup__item"/>
    <w:basedOn w:val="Normal"/>
    <w:rsid w:val="00F3669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057869">
      <w:bodyDiv w:val="1"/>
      <w:marLeft w:val="0"/>
      <w:marRight w:val="0"/>
      <w:marTop w:val="0"/>
      <w:marBottom w:val="0"/>
      <w:divBdr>
        <w:top w:val="none" w:sz="0" w:space="0" w:color="auto"/>
        <w:left w:val="none" w:sz="0" w:space="0" w:color="auto"/>
        <w:bottom w:val="none" w:sz="0" w:space="0" w:color="auto"/>
        <w:right w:val="none" w:sz="0" w:space="0" w:color="auto"/>
      </w:divBdr>
    </w:div>
    <w:div w:id="535243507">
      <w:bodyDiv w:val="1"/>
      <w:marLeft w:val="0"/>
      <w:marRight w:val="0"/>
      <w:marTop w:val="0"/>
      <w:marBottom w:val="0"/>
      <w:divBdr>
        <w:top w:val="none" w:sz="0" w:space="0" w:color="auto"/>
        <w:left w:val="none" w:sz="0" w:space="0" w:color="auto"/>
        <w:bottom w:val="none" w:sz="0" w:space="0" w:color="auto"/>
        <w:right w:val="none" w:sz="0" w:space="0" w:color="auto"/>
      </w:divBdr>
    </w:div>
    <w:div w:id="569998104">
      <w:bodyDiv w:val="1"/>
      <w:marLeft w:val="0"/>
      <w:marRight w:val="0"/>
      <w:marTop w:val="0"/>
      <w:marBottom w:val="0"/>
      <w:divBdr>
        <w:top w:val="none" w:sz="0" w:space="0" w:color="auto"/>
        <w:left w:val="none" w:sz="0" w:space="0" w:color="auto"/>
        <w:bottom w:val="none" w:sz="0" w:space="0" w:color="auto"/>
        <w:right w:val="none" w:sz="0" w:space="0" w:color="auto"/>
      </w:divBdr>
      <w:divsChild>
        <w:div w:id="1701316859">
          <w:marLeft w:val="0"/>
          <w:marRight w:val="0"/>
          <w:marTop w:val="0"/>
          <w:marBottom w:val="0"/>
          <w:divBdr>
            <w:top w:val="none" w:sz="0" w:space="0" w:color="auto"/>
            <w:left w:val="none" w:sz="0" w:space="0" w:color="auto"/>
            <w:bottom w:val="none" w:sz="0" w:space="0" w:color="auto"/>
            <w:right w:val="none" w:sz="0" w:space="0" w:color="auto"/>
          </w:divBdr>
          <w:divsChild>
            <w:div w:id="1951009465">
              <w:marLeft w:val="0"/>
              <w:marRight w:val="0"/>
              <w:marTop w:val="600"/>
              <w:marBottom w:val="600"/>
              <w:divBdr>
                <w:top w:val="none" w:sz="0" w:space="0" w:color="auto"/>
                <w:left w:val="none" w:sz="0" w:space="0" w:color="auto"/>
                <w:bottom w:val="none" w:sz="0" w:space="0" w:color="auto"/>
                <w:right w:val="none" w:sz="0" w:space="0" w:color="auto"/>
              </w:divBdr>
              <w:divsChild>
                <w:div w:id="33385563">
                  <w:marLeft w:val="0"/>
                  <w:marRight w:val="0"/>
                  <w:marTop w:val="0"/>
                  <w:marBottom w:val="0"/>
                  <w:divBdr>
                    <w:top w:val="none" w:sz="0" w:space="0" w:color="auto"/>
                    <w:left w:val="none" w:sz="0" w:space="0" w:color="auto"/>
                    <w:bottom w:val="none" w:sz="0" w:space="0" w:color="auto"/>
                    <w:right w:val="none" w:sz="0" w:space="0" w:color="auto"/>
                  </w:divBdr>
                  <w:divsChild>
                    <w:div w:id="1172791406">
                      <w:marLeft w:val="0"/>
                      <w:marRight w:val="0"/>
                      <w:marTop w:val="0"/>
                      <w:marBottom w:val="0"/>
                      <w:divBdr>
                        <w:top w:val="none" w:sz="0" w:space="0" w:color="auto"/>
                        <w:left w:val="none" w:sz="0" w:space="0" w:color="auto"/>
                        <w:bottom w:val="none" w:sz="0" w:space="0" w:color="auto"/>
                        <w:right w:val="none" w:sz="0" w:space="0" w:color="auto"/>
                      </w:divBdr>
                      <w:divsChild>
                        <w:div w:id="280235464">
                          <w:marLeft w:val="0"/>
                          <w:marRight w:val="0"/>
                          <w:marTop w:val="0"/>
                          <w:marBottom w:val="0"/>
                          <w:divBdr>
                            <w:top w:val="none" w:sz="0" w:space="0" w:color="auto"/>
                            <w:left w:val="none" w:sz="0" w:space="0" w:color="auto"/>
                            <w:bottom w:val="none" w:sz="0" w:space="0" w:color="auto"/>
                            <w:right w:val="none" w:sz="0" w:space="0" w:color="auto"/>
                          </w:divBdr>
                          <w:divsChild>
                            <w:div w:id="2113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795059">
      <w:bodyDiv w:val="1"/>
      <w:marLeft w:val="0"/>
      <w:marRight w:val="0"/>
      <w:marTop w:val="0"/>
      <w:marBottom w:val="0"/>
      <w:divBdr>
        <w:top w:val="none" w:sz="0" w:space="0" w:color="auto"/>
        <w:left w:val="none" w:sz="0" w:space="0" w:color="auto"/>
        <w:bottom w:val="none" w:sz="0" w:space="0" w:color="auto"/>
        <w:right w:val="none" w:sz="0" w:space="0" w:color="auto"/>
      </w:divBdr>
    </w:div>
    <w:div w:id="1473064569">
      <w:bodyDiv w:val="1"/>
      <w:marLeft w:val="0"/>
      <w:marRight w:val="0"/>
      <w:marTop w:val="0"/>
      <w:marBottom w:val="0"/>
      <w:divBdr>
        <w:top w:val="none" w:sz="0" w:space="0" w:color="auto"/>
        <w:left w:val="none" w:sz="0" w:space="0" w:color="auto"/>
        <w:bottom w:val="none" w:sz="0" w:space="0" w:color="auto"/>
        <w:right w:val="none" w:sz="0" w:space="0" w:color="auto"/>
      </w:divBdr>
    </w:div>
    <w:div w:id="1727071849">
      <w:bodyDiv w:val="1"/>
      <w:marLeft w:val="0"/>
      <w:marRight w:val="0"/>
      <w:marTop w:val="0"/>
      <w:marBottom w:val="0"/>
      <w:divBdr>
        <w:top w:val="none" w:sz="0" w:space="0" w:color="auto"/>
        <w:left w:val="none" w:sz="0" w:space="0" w:color="auto"/>
        <w:bottom w:val="none" w:sz="0" w:space="0" w:color="auto"/>
        <w:right w:val="none" w:sz="0" w:space="0" w:color="auto"/>
      </w:divBdr>
    </w:div>
    <w:div w:id="1771583432">
      <w:bodyDiv w:val="1"/>
      <w:marLeft w:val="0"/>
      <w:marRight w:val="0"/>
      <w:marTop w:val="0"/>
      <w:marBottom w:val="0"/>
      <w:divBdr>
        <w:top w:val="none" w:sz="0" w:space="0" w:color="auto"/>
        <w:left w:val="none" w:sz="0" w:space="0" w:color="auto"/>
        <w:bottom w:val="none" w:sz="0" w:space="0" w:color="auto"/>
        <w:right w:val="none" w:sz="0" w:space="0" w:color="auto"/>
      </w:divBdr>
    </w:div>
    <w:div w:id="1966083089">
      <w:bodyDiv w:val="1"/>
      <w:marLeft w:val="0"/>
      <w:marRight w:val="0"/>
      <w:marTop w:val="0"/>
      <w:marBottom w:val="0"/>
      <w:divBdr>
        <w:top w:val="none" w:sz="0" w:space="0" w:color="auto"/>
        <w:left w:val="none" w:sz="0" w:space="0" w:color="auto"/>
        <w:bottom w:val="none" w:sz="0" w:space="0" w:color="auto"/>
        <w:right w:val="none" w:sz="0" w:space="0" w:color="auto"/>
      </w:divBdr>
    </w:div>
    <w:div w:id="1969317311">
      <w:bodyDiv w:val="1"/>
      <w:marLeft w:val="0"/>
      <w:marRight w:val="0"/>
      <w:marTop w:val="0"/>
      <w:marBottom w:val="0"/>
      <w:divBdr>
        <w:top w:val="none" w:sz="0" w:space="0" w:color="auto"/>
        <w:left w:val="none" w:sz="0" w:space="0" w:color="auto"/>
        <w:bottom w:val="none" w:sz="0" w:space="0" w:color="auto"/>
        <w:right w:val="none" w:sz="0" w:space="0" w:color="auto"/>
      </w:divBdr>
    </w:div>
    <w:div w:id="21098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Francis</dc:creator>
  <cp:keywords/>
  <dc:description/>
  <cp:lastModifiedBy>Kate Francis</cp:lastModifiedBy>
  <cp:revision>5</cp:revision>
  <dcterms:created xsi:type="dcterms:W3CDTF">2021-12-16T00:43:00Z</dcterms:created>
  <dcterms:modified xsi:type="dcterms:W3CDTF">2022-01-25T00:46:00Z</dcterms:modified>
</cp:coreProperties>
</file>