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2"/>
        <w:ind w:left="0" w:right="0" w:firstLine="709"/>
        <w:jc w:val="both"/>
        <w:spacing w:before="299" w:after="299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Лабораторно-практическая работа №</w:t>
      </w:r>
      <w:r>
        <w:rPr>
          <w:rFonts w:ascii="Times New Roman" w:hAnsi="Times New Roman" w:cs="Times New Roman" w:eastAsia="Times New Roman"/>
          <w:b/>
          <w:color w:val="000000"/>
          <w:sz w:val="24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. «Составление словаря данных»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42"/>
        <w:ind w:left="0" w:right="0" w:firstLine="709"/>
        <w:jc w:val="both"/>
        <w:spacing w:before="299" w:after="299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формирование навыков в проектировании и разработке словаря данных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/>
    </w:p>
    <w:p>
      <w:pPr>
        <w:pStyle w:val="642"/>
        <w:ind w:left="0" w:right="0" w:firstLine="709"/>
        <w:jc w:val="both"/>
        <w:spacing w:before="299" w:after="299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Справочная информация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709"/>
        <w:jc w:val="both"/>
        <w:spacing w:before="240" w:after="24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Словарь данных, описанный в 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Словаре вычислений от IBM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(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IBM Dictionary of Computing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как «центральное хранилище информации о данных, такой как значение, взаимосвязи с другими данными, их источник, применение и формат.» Термин может иметь одно из близких по смыслу значений, относясь к базам данных и СУБД: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20"/>
        <w:numPr>
          <w:ilvl w:val="0"/>
          <w:numId w:val="1"/>
        </w:numPr>
        <w:ind w:left="0" w:right="0" w:firstLine="709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документ, описывающий базу данных или комплект баз данных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20"/>
        <w:numPr>
          <w:ilvl w:val="0"/>
          <w:numId w:val="2"/>
        </w:numPr>
        <w:ind w:left="0" w:right="0" w:firstLine="709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целый компонент СУБД, необходимый для определения её структуры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20"/>
        <w:numPr>
          <w:ilvl w:val="0"/>
          <w:numId w:val="3"/>
        </w:numPr>
        <w:ind w:left="0" w:right="0" w:firstLine="709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часть подпрограммного ПО, расширяющее или подменяющее встроенные словари данных СУБД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42"/>
        <w:ind w:left="0" w:right="0" w:firstLine="709"/>
        <w:jc w:val="both"/>
        <w:spacing w:before="299" w:after="299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709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1. Дан пример таблицы, отражающий сведения о сотрудниках компании, работающих над различными проектами, с ее содержимым. </w:t>
      </w:r>
      <w:r/>
    </w:p>
    <w:tbl>
      <w:tblPr>
        <w:tblStyle w:val="67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40"/>
        <w:gridCol w:w="1652"/>
        <w:gridCol w:w="1234"/>
        <w:gridCol w:w="5428"/>
      </w:tblGrid>
      <w:tr>
        <w:trPr/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0" w:type="dxa"/>
            <w:vAlign w:val="top"/>
            <w:textDirection w:val="lrTb"/>
            <w:noWrap w:val="false"/>
          </w:tcPr>
          <w:p>
            <w:pPr>
              <w:ind w:left="0" w:right="0" w:firstLine="709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Код сотрудника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2" w:type="dxa"/>
            <w:vAlign w:val="top"/>
            <w:textDirection w:val="lrTb"/>
            <w:noWrap w:val="false"/>
          </w:tcPr>
          <w:p>
            <w:pPr>
              <w:ind w:left="0" w:right="0" w:firstLine="709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ФИО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4" w:type="dxa"/>
            <w:vAlign w:val="top"/>
            <w:textDirection w:val="lrTb"/>
            <w:noWrap w:val="false"/>
          </w:tcPr>
          <w:p>
            <w:pPr>
              <w:ind w:left="0" w:right="0" w:firstLine="709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Должность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28" w:type="dxa"/>
            <w:vAlign w:val="top"/>
            <w:textDirection w:val="lrTb"/>
            <w:noWrap w:val="false"/>
          </w:tcPr>
          <w:p>
            <w:pPr>
              <w:ind w:left="0" w:right="0" w:firstLine="709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Проекты</w:t>
            </w:r>
            <w:r/>
          </w:p>
        </w:tc>
      </w:tr>
      <w:tr>
        <w:trPr/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0" w:type="dxa"/>
            <w:vAlign w:val="top"/>
            <w:textDirection w:val="lrTb"/>
            <w:noWrap w:val="false"/>
          </w:tcPr>
          <w:p>
            <w:pPr>
              <w:ind w:left="0" w:right="0" w:firstLine="709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52" w:type="dxa"/>
            <w:vAlign w:val="top"/>
            <w:textDirection w:val="lrTb"/>
            <w:noWrap w:val="false"/>
          </w:tcPr>
          <w:p>
            <w:pPr>
              <w:ind w:left="0" w:right="0" w:firstLine="709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Иванов Иван Иванович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4" w:type="dxa"/>
            <w:vAlign w:val="top"/>
            <w:textDirection w:val="lrTb"/>
            <w:noWrap w:val="false"/>
          </w:tcPr>
          <w:p>
            <w:pPr>
              <w:ind w:left="0" w:right="0" w:firstLine="709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Программист</w:t>
            </w:r>
            <w:r/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28" w:type="dxa"/>
            <w:vAlign w:val="top"/>
            <w:textDirection w:val="lrTb"/>
            <w:noWrap w:val="false"/>
          </w:tcPr>
          <w:p>
            <w:pPr>
              <w:ind w:left="0" w:right="0" w:firstLine="709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ID: 123; Название: Система управления паровым котлом; Дата сдачи: 30.09.2011</w:t>
            </w:r>
            <w:r/>
          </w:p>
          <w:p>
            <w:pPr>
              <w:ind w:left="0" w:right="0" w:firstLine="709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ID: 231; Название: ПС для контроля и оповещения о превышениях ПДК различных газов в помещении; Дата сдачи: 30.11.2011</w:t>
            </w:r>
            <w:r/>
          </w:p>
          <w:p>
            <w:pPr>
              <w:ind w:left="0" w:right="0" w:firstLine="709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ID: 321; Название: Модуль распознавания лиц для защитной системы; Дата сдачи: 01.12.2011</w:t>
            </w:r>
            <w:r/>
          </w:p>
        </w:tc>
      </w:tr>
    </w:tbl>
    <w:p>
      <w:pPr>
        <w:ind w:left="0" w:right="0" w:firstLine="709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Построить логическую модель базы данных с учетом принципов нормализации,  принимая во внимание, что один сотрудник может быть занят во многих проектах, и то, что в одном проекте сотрудник может выступать в качестве исполнителя, а в другом - в качестве 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уководителя</w:t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709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Составить логическую схему БД и словарь данных для этой схемы.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br w:type="page" w:clear="all"/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709"/>
        <w:jc w:val="both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Примечание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709"/>
        <w:jc w:val="both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ru-RU"/>
        </w:rPr>
        <w:t xml:space="preserve">В примере словаря представлены индексы, вам указывать их не нужно.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Выбираете удобную среду разработки для логической модели (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Draw.io, MS Visio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 или др...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). </w:t>
      </w:r>
      <w:r>
        <w:rPr>
          <w:rFonts w:ascii="Times New Roman" w:hAnsi="Times New Roman" w:cs="Times New Roman" w:eastAsia="Times New Roman"/>
          <w:b w:val="0"/>
          <w:sz w:val="24"/>
        </w:rPr>
      </w:r>
      <w:r/>
    </w:p>
    <w:p>
      <w:pPr>
        <w:ind w:left="0" w:right="0" w:firstLine="709"/>
        <w:jc w:val="both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После логической модели, составить словарь данных. Вы можете составить таблицы (Пример на рисунке 1) в текстовом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процессоре (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MS Word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 или др...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) </w:t>
      </w:r>
      <w:r>
        <w:rPr>
          <w:rFonts w:ascii="Times New Roman" w:hAnsi="Times New Roman" w:cs="Times New Roman" w:eastAsia="Times New Roman"/>
          <w:b w:val="0"/>
          <w:sz w:val="24"/>
        </w:rPr>
        <w:t xml:space="preserve">или в файле шаблоне словаря (</w:t>
      </w:r>
      <w:r>
        <w:rPr>
          <w:rFonts w:ascii="Times New Roman" w:hAnsi="Times New Roman" w:cs="Times New Roman" w:eastAsia="Times New Roman"/>
          <w:b w:val="0"/>
          <w:sz w:val="24"/>
        </w:rPr>
        <w:t xml:space="preserve">DataDictionary_Template</w:t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  <w:t xml:space="preserve">.xslx</w:t>
      </w:r>
      <w:r>
        <w:rPr>
          <w:rFonts w:ascii="Times New Roman" w:hAnsi="Times New Roman" w:cs="Times New Roman" w:eastAsia="Times New Roman"/>
          <w:b w:val="0"/>
          <w:sz w:val="24"/>
        </w:rPr>
        <w:t xml:space="preserve">). Формат словарей может отличаться от места к месту, но основные части всегда остаются прежними.</w:t>
      </w:r>
      <w:r/>
    </w:p>
    <w:p>
      <w:pPr>
        <w:ind w:left="0" w:right="0" w:firstLine="709"/>
        <w:jc w:val="both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3595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9294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535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20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</w:rPr>
      </w:r>
      <w:r/>
    </w:p>
    <w:p>
      <w:pPr>
        <w:ind w:left="0" w:right="0" w:firstLine="709"/>
        <w:jc w:val="center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Рис.1 Словарь данных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2022-09-08T14:43:52Z</dcterms:modified>
</cp:coreProperties>
</file>