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Memorystore for Valkey – Consumer Intake &amp; Onboarding Requirements</w:t>
      </w:r>
    </w:p>
    <w:p>
      <w:pPr/>
      <w:r>
        <w:t xml:space="preserve">Oct 15, 2026</w:t>
      </w:r>
      <w:r>
        <w:t xml:space="preserve"> · </w:t>
      </w:r>
      <w:r>
        <w:t xml:space="preserve">@Sifu</w:t>
      </w:r>
    </w:p>
    <w:p>
      <w:pPr>
        <w:pStyle w:val="Heading2"/>
      </w:pPr>
      <w:r>
        <w:t xml:space="preserve">1. Purpose</w:t>
      </w:r>
    </w:p>
    <w:p>
      <w:pPr/>
      <w:r>
        <w:t xml:space="preserve">This form collects everything the platform team needs to provision a Memorystore for Valkey instance through the </w:t>
      </w:r>
      <w:r>
        <w:rPr>
          <w:rStyle w:val="CodeChar"/>
        </w:rPr>
        <w:t xml:space="preserve">terraform-google-h4ppy-memorystore-valkey</w:t>
      </w:r>
      <w:r>
        <w:t xml:space="preserve"> onboarding template, and to migrate an existing Memorystore for Redis workload onto it. One completed form produces one onboarding request file (</w:t>
      </w:r>
      <w:r>
        <w:rPr>
          <w:rStyle w:val="CodeChar"/>
        </w:rPr>
        <w:t xml:space="preserve">config/onboarding-files-valkey/&lt;name&gt;.json</w:t>
      </w:r>
      <w:r>
        <w:t xml:space="preserve">) per environment.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Who fills it in:</w:t>
      </w:r>
      <w:r>
        <w:t xml:space="preserve"> the consuming application team, with the business owner signing off on criticality, RTO and RPO.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What it decides:</w:t>
      </w:r>
      <w:r>
        <w:t xml:space="preserve"> topology (STANDALONE, HA or DR), node type, shards and replicas, region, network path, security settings and alert routing.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Out of scope:</w:t>
      </w:r>
      <w:r>
        <w:t xml:space="preserve"> application code, key design and TTLs, Shared VPC and Service Connection Policy creation, private DNS zones and cross-cloud routing. Network engineering owns those.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Fixed by the platform (not negotiable):</w:t>
      </w:r>
      <w:r>
        <w:t xml:space="preserve"> IAM authentication (</w:t>
      </w:r>
      <w:r>
        <w:rPr>
          <w:rStyle w:val="CodeChar"/>
        </w:rPr>
        <w:t xml:space="preserve">IAM_AUTH</w:t>
      </w:r>
      <w:r>
        <w:t xml:space="preserve">) and TLS in transit (</w:t>
      </w:r>
      <w:r>
        <w:rPr>
          <w:rStyle w:val="CodeChar"/>
        </w:rPr>
        <w:t xml:space="preserve">SERVER_AUTHENTICATION</w:t>
      </w:r>
      <w:r>
        <w:t xml:space="preserve">) on every instance; </w:t>
      </w:r>
      <w:r>
        <w:rPr>
          <w:rStyle w:val="CodeChar"/>
        </w:rPr>
        <w:t xml:space="preserve">SHARED_CORE_NANO</w:t>
      </w:r>
      <w:r>
        <w:t xml:space="preserve"> is blocked in prod.</w:t>
      </w:r>
    </w:p>
    <w:p>
      <w:pPr/>
      <w:r>
        <w:t xml:space="preserve">Fields marked </w:t>
      </w:r>
      <w:r>
        <w:rPr>
          <w:b/>
        </w:rPr>
        <w:t xml:space="preserve">Required</w:t>
      </w:r>
      <w:r>
        <w:t xml:space="preserve"> must be filled before the request is accepted. Fields marked </w:t>
      </w:r>
      <w:r>
        <w:rPr>
          <w:b/>
        </w:rPr>
        <w:t xml:space="preserve">Platform default</w:t>
      </w:r>
      <w:r>
        <w:t xml:space="preserve"> can be left blank to inherit </w:t>
      </w:r>
      <w:r>
        <w:rPr>
          <w:rStyle w:val="CodeChar"/>
        </w:rPr>
        <w:t xml:space="preserve">default.json</w:t>
      </w:r>
      <w:r>
        <w:t xml:space="preserve">.</w:t>
      </w:r>
    </w:p>
    <w:p>
      <w:pPr>
        <w:pStyle w:val="Heading2"/>
      </w:pPr>
      <w:r>
        <w:t xml:space="preserve">2. Migration from Memorystore for Redis</w:t>
      </w:r>
    </w:p>
    <w:p>
      <w:pPr/>
      <w:r>
        <w:t xml:space="preserve">Fill one column per environment. Leave this section blank for a net-new (greenfield) onboarding. The "Target" rows map directly to request-file fields.</w:t>
      </w:r>
    </w:p>
    <w:p>
      <w:pPr>
        <w:pStyle w:val="Heading3"/>
      </w:pPr>
      <w:r>
        <w:t xml:space="preserve">2a. Existing (source) instance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Dev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QA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UAT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Prod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Source product (Memorystore for Redis / Memorystore for Redis Cluster)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Existing instance name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GCP project ID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Region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SKU / tier (Basic, Standard HA; or Redis Cluster node type)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Provisioned size (GB)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Used memory today (GB)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Shard count (Redis Cluster only)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Replica count / read replicas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Topology (standalone / HA / cross-region)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Redis version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Cluster mode enabled? (Y/N)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Connect mode (Direct peering / Private Service Access / PSC)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AUTH enabled? / TLS enabled?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Persistence (RDB / AOF / none)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maxmemory-policy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Peak ops/sec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Uses Lua, pub/sub, keyspace notifications, or multi-key commands?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</w:tbl>
    <w:p>
      <w:pPr>
        <w:pStyle w:val="Heading3"/>
      </w:pPr>
      <w:r>
        <w:t xml:space="preserve">2b. Target (Valkey) instance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Request-file key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Dev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QA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UAT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Prod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Target instance base name (no env suffix; ≤ 56 chars, </w:t>
            </w:r>
            <w:r>
              <w:rPr>
                <w:rStyle w:val="CodeChar"/>
              </w:rPr>
              <w:t xml:space="preserve">^[a-z][a-z0-9-]*[a-z0-9]$</w:t>
            </w:r>
            <w:r>
              <w:t xml:space="preserve">)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instance.name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</w:tr>
      <w:tr>
        <w:tc>
          <w:tcPr>
            <w:tcW w:w="1560" w:type="dxa"/>
          </w:tcPr>
          <w:p>
            <w:pPr/>
            <w:r>
              <w:t xml:space="preserve">Target region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instance.location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</w:tr>
      <w:tr>
        <w:tc>
          <w:tcPr>
            <w:tcW w:w="1560" w:type="dxa"/>
          </w:tcPr>
          <w:p>
            <w:pPr/>
            <w:r>
              <w:t xml:space="preserve">Target SKU (node type)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instance.server_type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</w:tr>
      <w:tr>
        <w:tc>
          <w:tcPr>
            <w:tcW w:w="1560" w:type="dxa"/>
          </w:tcPr>
          <w:p>
            <w:pPr/>
            <w:r>
              <w:t xml:space="preserve">Cluster mode (CLUSTER / CLUSTER_DISABLED)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instance.cluster_mode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</w:tr>
      <w:tr>
        <w:tc>
          <w:tcPr>
            <w:tcW w:w="1560" w:type="dxa"/>
          </w:tcPr>
          <w:p>
            <w:pPr/>
            <w:r>
              <w:t xml:space="preserve">Target shard count (1–125)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instance.shard_count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</w:tr>
      <w:tr>
        <w:tc>
          <w:tcPr>
            <w:tcW w:w="1560" w:type="dxa"/>
          </w:tcPr>
          <w:p>
            <w:pPr/>
            <w:r>
              <w:t xml:space="preserve">Target replicas per shard (0–5)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instance.replica_count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</w:tr>
      <w:tr>
        <w:tc>
          <w:tcPr>
            <w:tcW w:w="1560" w:type="dxa"/>
          </w:tcPr>
          <w:p>
            <w:pPr/>
            <w:r>
              <w:t xml:space="preserve">Target topology (STANDALONE / HA / DR)</w:t>
            </w:r>
          </w:p>
        </w:tc>
        <w:tc>
          <w:tcPr>
            <w:tcW w:w="1560" w:type="dxa"/>
          </w:tcPr>
          <w:p>
            <w:pPr/>
            <w:r>
              <w:t xml:space="preserve">derived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</w:tr>
      <w:tr>
        <w:tc>
          <w:tcPr>
            <w:tcW w:w="1560" w:type="dxa"/>
          </w:tcPr>
          <w:p>
            <w:pPr/>
            <w:r>
              <w:t xml:space="preserve">Valkey version (VALKEY_7_2 / 8_0 / 9_0)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instance.version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</w:tr>
    </w:tbl>
    <w:p>
      <w:pPr/>
      <w:r>
        <w:t xml:space="preserve">The final instance ID is </w:t>
      </w:r>
      <w:r>
        <w:rPr>
          <w:rStyle w:val="CodeChar"/>
        </w:rPr>
        <w:t xml:space="preserve">&lt;name&gt;-&lt;env&gt;</w:t>
      </w:r>
      <w:r>
        <w:t xml:space="preserve"> (for example </w:t>
      </w:r>
      <w:r>
        <w:rPr>
          <w:rStyle w:val="CodeChar"/>
        </w:rPr>
        <w:t xml:space="preserve">orders-cache-prod</w:t>
      </w:r>
      <w:r>
        <w:t xml:space="preserve">); Terraform adds the suffix.</w:t>
      </w:r>
    </w:p>
    <w:p>
      <w:pPr>
        <w:pStyle w:val="Heading3"/>
      </w:pPr>
      <w:r>
        <w:t xml:space="preserve">2c. Migration approach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Question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Answer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Migration method (rebuild cache from source of truth / dual-write / RDB export to GCS and import / online replication tool)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Is the data reproducible if lost during cutover? (Y/N)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Acceptable cutover downtime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Target cutover date per environment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Rollback plan and how long the Redis instance is kept after cutover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Redis decommission date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Client changes needed (IAM token auth, TLS, cluster-aware client)</w:t>
            </w:r>
          </w:p>
        </w:tc>
        <w:tc>
          <w:tcPr>
            <w:tcW w:w="4680" w:type="dxa"/>
          </w:tcPr>
          <w:p>
            <w:pPr/>
          </w:p>
        </w:tc>
      </w:tr>
    </w:tbl>
    <w:p>
      <w:pPr>
        <w:pStyle w:val="Heading2"/>
      </w:pPr>
      <w:r>
        <w:t xml:space="preserve">3. Application ownership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Value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Request-file key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Required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Application name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Application ID (lowercase, hyphens; becomes the </w:t>
            </w:r>
            <w:r>
              <w:rPr>
                <w:rStyle w:val="CodeChar"/>
              </w:rPr>
              <w:t xml:space="preserve">application_id</w:t>
            </w:r>
            <w:r>
              <w:t xml:space="preserve"> label)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instance.application_id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Line of business / cost center (becomes the </w:t>
            </w:r>
            <w:r>
              <w:rPr>
                <w:rStyle w:val="CodeChar"/>
              </w:rPr>
              <w:t xml:space="preserve">lob</w:t>
            </w:r>
            <w:r>
              <w:t xml:space="preserve"> label)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instance.lob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Business owner (name, email)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Technical owner / tech support lead (name, email)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Support team name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ADO project / support (assignment) group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Requested by (person or team; paper trail)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requested_by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App team alert emails (at least one; distribution list preferred)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instance.appteam_emails</w:t>
            </w:r>
          </w:p>
        </w:tc>
        <w:tc>
          <w:tcPr>
            <w:tcW w:w="2340" w:type="dxa"/>
          </w:tcPr>
          <w:p>
            <w:pPr/>
            <w:r>
              <w:t xml:space="preserve">Yes, when alerting is 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Additional labels, e.g. </w:t>
            </w:r>
            <w:r>
              <w:rPr>
                <w:rStyle w:val="CodeChar"/>
              </w:rPr>
              <w:t xml:space="preserve">criticality</w:t>
            </w:r>
            <w:r>
              <w:t xml:space="preserve">, </w:t>
            </w:r>
            <w:r>
              <w:rPr>
                <w:rStyle w:val="CodeChar"/>
              </w:rPr>
              <w:t xml:space="preserve">pod</w:t>
            </w:r>
            <w:r>
              <w:t xml:space="preserve"> (lowercase, digits, </w:t>
            </w:r>
            <w:r>
              <w:rPr>
                <w:rStyle w:val="CodeChar"/>
              </w:rPr>
              <w:t xml:space="preserve">_</w:t>
            </w:r>
            <w:r>
              <w:t xml:space="preserve">, </w:t>
            </w:r>
            <w:r>
              <w:rPr>
                <w:rStyle w:val="CodeChar"/>
              </w:rPr>
              <w:t xml:space="preserve">-</w:t>
            </w:r>
            <w:r>
              <w:t xml:space="preserve"> only)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instance.tags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</w:tr>
    </w:tbl>
    <w:p>
      <w:pPr/>
      <w:r>
        <w:t xml:space="preserve">The labels </w:t>
      </w:r>
      <w:r>
        <w:rPr>
          <w:rStyle w:val="CodeChar"/>
        </w:rPr>
        <w:t xml:space="preserve">topology</w:t>
      </w:r>
      <w:r>
        <w:t xml:space="preserve">, </w:t>
      </w:r>
      <w:r>
        <w:rPr>
          <w:rStyle w:val="CodeChar"/>
        </w:rPr>
        <w:t xml:space="preserve">environment</w:t>
      </w:r>
      <w:r>
        <w:t xml:space="preserve"> and </w:t>
      </w:r>
      <w:r>
        <w:rPr>
          <w:rStyle w:val="CodeChar"/>
        </w:rPr>
        <w:t xml:space="preserve">managed_by</w:t>
      </w:r>
      <w:r>
        <w:t xml:space="preserve"> are set by Terraform; values sent for them are ignored.</w:t>
      </w:r>
    </w:p>
    <w:p>
      <w:pPr>
        <w:pStyle w:val="Heading2"/>
      </w:pPr>
      <w:r>
        <w:t xml:space="preserve">4. Required environments</w:t>
      </w:r>
    </w:p>
    <w:p>
      <w:pPr/>
      <w:r>
        <w:t xml:space="preserve">Each environment is a separate request file and a separate Terraform Cloud workspace (</w:t>
      </w:r>
      <w:r>
        <w:rPr>
          <w:rStyle w:val="CodeChar"/>
        </w:rPr>
        <w:t xml:space="preserve">env</w:t>
      </w:r>
      <w:r>
        <w:t xml:space="preserve"> = dev, qa, uat or prod). Project ID, default region and Shared VPC come from the platform's </w:t>
      </w:r>
      <w:r>
        <w:rPr>
          <w:rStyle w:val="CodeChar"/>
        </w:rPr>
        <w:t xml:space="preserve">default.json</w:t>
      </w:r>
      <w:r>
        <w:t xml:space="preserve">, not from the request.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Environment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Needed? (Y/N)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Target go-live date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Request type (create / delete)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Deletion protection? (Y/N)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Dev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QA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UAT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Prod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</w:tbl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create</w:t>
      </w:r>
      <w:r>
        <w:t xml:space="preserve"> covers both new instances and changes to an existing one; resubmit the same file with the changed fields.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deletion_protection_enabled</w:t>
      </w:r>
      <w:r>
        <w:t xml:space="preserve"> blocks deletion at the GCP API. Recommended </w:t>
      </w:r>
      <w:r>
        <w:rPr>
          <w:b/>
        </w:rPr>
        <w:t xml:space="preserve">Y</w:t>
      </w:r>
      <w:r>
        <w:t xml:space="preserve"> for prod. It must be turned off in an earlier apply before a delete request can succeed.</w:t>
      </w:r>
    </w:p>
    <w:p>
      <w:pPr>
        <w:pStyle w:val="Heading2"/>
      </w:pPr>
      <w:r>
        <w:t xml:space="preserve">5. Application criticality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Value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App tier (Tier 0 / 1 / 2 / 3)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  <w:r>
              <w:t xml:space="preserve">Per enterprise BCP classification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RTO (max time to restore service)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  <w:r>
              <w:t xml:space="preserve">Drives STANDALONE vs HA vs DR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RPO (max acceptable data loss)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  <w:r>
              <w:t xml:space="preserve">Drives persistence mode and snapshot period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Is Valkey the system of record, or a cache of data held elsewhere?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  <w:r>
              <w:t xml:space="preserve">A pure cache can usually use RDB 24h or DISABLED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Business impact if unavailable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</w:p>
        </w:tc>
      </w:tr>
    </w:tbl>
    <w:p>
      <w:pPr/>
      <w:r>
        <w:t xml:space="preserve">RPO maps to persistence settings: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RPO need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Persistence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Request-file keys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Data can be rebuilt; loss is fine</w:t>
            </w:r>
          </w:p>
        </w:tc>
        <w:tc>
          <w:tcPr>
            <w:tcW w:w="3120" w:type="dxa"/>
          </w:tcPr>
          <w:p>
            <w:pPr/>
            <w:r>
              <w:t xml:space="preserve">DISABLED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persistence.mode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Up to 1, 6, 12 or 24 hours</w:t>
            </w:r>
          </w:p>
        </w:tc>
        <w:tc>
          <w:tcPr>
            <w:tcW w:w="3120" w:type="dxa"/>
          </w:tcPr>
          <w:p>
            <w:pPr/>
            <w:r>
              <w:t xml:space="preserve">RDB snapshots (default 24h)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persistence.mode</w:t>
            </w:r>
            <w:r>
              <w:t xml:space="preserve">, </w:t>
            </w:r>
            <w:r>
              <w:rPr>
                <w:rStyle w:val="CodeChar"/>
              </w:rPr>
              <w:t xml:space="preserve">persistence.rdb_config.rdb_snapshot_period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About 1 second</w:t>
            </w:r>
          </w:p>
        </w:tc>
        <w:tc>
          <w:tcPr>
            <w:tcW w:w="3120" w:type="dxa"/>
          </w:tcPr>
          <w:p>
            <w:pPr/>
            <w:r>
              <w:t xml:space="preserve">AOF, EVERY_SEC (default)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persistence.mode</w:t>
            </w:r>
            <w:r>
              <w:t xml:space="preserve">, </w:t>
            </w:r>
            <w:r>
              <w:rPr>
                <w:rStyle w:val="CodeChar"/>
              </w:rPr>
              <w:t xml:space="preserve">persistence.aof_config.append_fsync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Every write (highest latency)</w:t>
            </w:r>
          </w:p>
        </w:tc>
        <w:tc>
          <w:tcPr>
            <w:tcW w:w="3120" w:type="dxa"/>
          </w:tcPr>
          <w:p>
            <w:pPr/>
            <w:r>
              <w:t xml:space="preserve">AOF, ALWAYS</w:t>
            </w:r>
          </w:p>
        </w:tc>
        <w:tc>
          <w:tcPr>
            <w:tcW w:w="3120" w:type="dxa"/>
          </w:tcPr>
          <w:p>
            <w:pPr/>
            <w:r>
              <w:t xml:space="preserve">same</w:t>
            </w:r>
          </w:p>
        </w:tc>
      </w:tr>
    </w:tbl>
    <w:p>
      <w:pPr/>
      <w:r>
        <w:t xml:space="preserve">Automated daily backups (</w:t>
      </w:r>
      <w:r>
        <w:rPr>
          <w:rStyle w:val="CodeChar"/>
        </w:rPr>
        <w:t xml:space="preserve">instance.backup</w:t>
      </w:r>
      <w:r>
        <w:t xml:space="preserve">, default on) run at 03:00 UTC with 35-day retention. Schedule and retention are fixed by the platform.</w:t>
      </w:r>
    </w:p>
    <w:p>
      <w:pPr>
        <w:pStyle w:val="Heading2"/>
      </w:pPr>
      <w:r>
        <w:t xml:space="preserve">6. Availability requirements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Dev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QA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UAT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Prod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Topology (STANDALONE / HA / DR)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Primary region (</w:t>
            </w:r>
            <w:r>
              <w:rPr>
                <w:rStyle w:val="CodeChar"/>
              </w:rPr>
              <w:t xml:space="preserve">instance.location</w:t>
            </w:r>
            <w:r>
              <w:t xml:space="preserve">)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Secondary (DR) region</w:t>
            </w:r>
          </w:p>
        </w:tc>
        <w:tc>
          <w:tcPr>
            <w:tcW w:w="1872" w:type="dxa"/>
          </w:tcPr>
          <w:p>
            <w:pPr/>
            <w:r>
              <w:t xml:space="preserve">derived</w:t>
            </w:r>
          </w:p>
        </w:tc>
        <w:tc>
          <w:tcPr>
            <w:tcW w:w="1872" w:type="dxa"/>
          </w:tcPr>
          <w:p>
            <w:pPr/>
            <w:r>
              <w:t xml:space="preserve">derived</w:t>
            </w:r>
          </w:p>
        </w:tc>
        <w:tc>
          <w:tcPr>
            <w:tcW w:w="1872" w:type="dxa"/>
          </w:tcPr>
          <w:p>
            <w:pPr/>
            <w:r>
              <w:t xml:space="preserve">derived</w:t>
            </w:r>
          </w:p>
        </w:tc>
        <w:tc>
          <w:tcPr>
            <w:tcW w:w="1872" w:type="dxa"/>
          </w:tcPr>
          <w:p>
            <w:pPr/>
            <w:r>
              <w:t xml:space="preserve">derived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Zone distribution (SINGLE_ZONE / MULTI_ZONE)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Preferred zone, SINGLE_ZONE only (</w:t>
            </w:r>
            <w:r>
              <w:rPr>
                <w:rStyle w:val="CodeChar"/>
              </w:rPr>
              <w:t xml:space="preserve">instance.zone</w:t>
            </w:r>
            <w:r>
              <w:t xml:space="preserve">)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</w:tbl>
    <w:p>
      <w:pPr/>
      <w:r>
        <w:t xml:space="preserve">How topology is set (Terraform derives it; there is no topology field):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Topology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Set in request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you get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STANDALONE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replica_count: 0</w:t>
            </w:r>
            <w:r>
              <w:t xml:space="preserve">, </w:t>
            </w:r>
            <w:r>
              <w:rPr>
                <w:rStyle w:val="CodeChar"/>
              </w:rPr>
              <w:t xml:space="preserve">cross_region_replica: false</w:t>
            </w:r>
          </w:p>
        </w:tc>
        <w:tc>
          <w:tcPr>
            <w:tcW w:w="3120" w:type="dxa"/>
          </w:tcPr>
          <w:p>
            <w:pPr/>
            <w:r>
              <w:t xml:space="preserve">One primary per shard, no failover. Dev/test or rebuildable caches.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HA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replica_count ≥ 1</w:t>
            </w:r>
            <w:r>
              <w:t xml:space="preserve">, </w:t>
            </w:r>
            <w:r>
              <w:rPr>
                <w:rStyle w:val="CodeChar"/>
              </w:rPr>
              <w:t xml:space="preserve">cross_region_replica: false</w:t>
            </w:r>
          </w:p>
        </w:tc>
        <w:tc>
          <w:tcPr>
            <w:tcW w:w="3120" w:type="dxa"/>
          </w:tcPr>
          <w:p>
            <w:pPr/>
            <w:r>
              <w:t xml:space="preserve">In-region replicas with automatic failover; replication-lag alert on. MULTI_ZONE recommended.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DR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replica_count ≥ 1</w:t>
            </w:r>
            <w:r>
              <w:t xml:space="preserve">, </w:t>
            </w:r>
            <w:r>
              <w:rPr>
                <w:rStyle w:val="CodeChar"/>
              </w:rPr>
              <w:t xml:space="preserve">cross_region_replica: true</w:t>
            </w:r>
          </w:p>
        </w:tc>
        <w:tc>
          <w:tcPr>
            <w:tcW w:w="3120" w:type="dxa"/>
          </w:tcPr>
          <w:p>
            <w:pPr/>
            <w:r>
              <w:t xml:space="preserve">HA plus a secondary instance in the paired region via cross-region replication.</w:t>
            </w:r>
          </w:p>
        </w:tc>
      </w:tr>
    </w:tbl>
    <w:p>
      <w:pPr>
        <w:pStyle w:val="ListParagraph"/>
        <w:numPr>
          <w:ilvl w:val="0"/>
          <w:numId w:val="4"/>
        </w:numPr>
      </w:pPr>
      <w:r>
        <w:t xml:space="preserve">The DR secondary region is not chosen by the requester. It is looked up from </w:t>
      </w:r>
      <w:r>
        <w:rPr>
          <w:rStyle w:val="CodeChar"/>
        </w:rPr>
        <w:t xml:space="preserve">default.json.dr_region_pairs</w:t>
      </w:r>
      <w:r>
        <w:t xml:space="preserve"> using the primary region. A primary outside a supported pair is flagged at plan and fails at apply (see 12d, item 6).</w:t>
      </w:r>
    </w:p>
    <w:p>
      <w:pPr>
        <w:pStyle w:val="ListParagraph"/>
        <w:numPr>
          <w:ilvl w:val="0"/>
          <w:numId w:val="4"/>
        </w:numPr>
      </w:pPr>
      <w:r>
        <w:t xml:space="preserve">Today's pair in </w:t>
      </w:r>
      <w:r>
        <w:rPr>
          <w:rStyle w:val="CodeChar"/>
        </w:rPr>
        <w:t xml:space="preserve">default.json</w:t>
      </w:r>
      <w:r>
        <w:t xml:space="preserve"> is </w:t>
      </w:r>
      <w:r>
        <w:rPr>
          <w:b/>
        </w:rPr>
        <w:t xml:space="preserve">us-central1 ↔ us-east1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Allowed primary regions in the module: us-central1, us-east1, us-east4, us-east5, us-south1, us-west1–west4.</w:t>
      </w:r>
    </w:p>
    <w:p>
      <w:pPr/>
      <w:r>
        <w:t xml:space="preserve">Also capture: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Question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Answer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Who decides and executes DR failover (promote secondary), and is there a runbook?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How will clients switch endpoints on failover (DNS </w:t>
            </w:r>
            <w:r>
              <w:rPr>
                <w:rStyle w:val="CodeChar"/>
              </w:rPr>
              <w:t xml:space="preserve">-dr</w:t>
            </w:r>
            <w:r>
              <w:t xml:space="preserve"> record, config change, app restart)?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Preferred weekly maintenance window (</w:t>
            </w:r>
            <w:r>
              <w:rPr>
                <w:rStyle w:val="CodeChar"/>
              </w:rPr>
              <w:t xml:space="preserve">maintenance_window.day_of_week</w:t>
            </w:r>
            <w:r>
              <w:t xml:space="preserve">, </w:t>
            </w:r>
            <w:r>
              <w:rPr>
                <w:rStyle w:val="CodeChar"/>
              </w:rPr>
              <w:t xml:space="preserve">start_hour</w:t>
            </w:r>
            <w:r>
              <w:t xml:space="preserve"> UTC; default Sunday 04:00)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Blackout periods when no changes may be applied</w:t>
            </w:r>
          </w:p>
        </w:tc>
        <w:tc>
          <w:tcPr>
            <w:tcW w:w="4680" w:type="dxa"/>
          </w:tcPr>
          <w:p>
            <w:pPr/>
          </w:p>
        </w:tc>
      </w:tr>
    </w:tbl>
    <w:p>
      <w:pPr>
        <w:pStyle w:val="Heading2"/>
      </w:pPr>
      <w:r>
        <w:t xml:space="preserve">7. Sizing and capacity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Dev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QA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UAT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Prod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Current dataset size (GB)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Projected growth, next 12 months (GB or %)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Projected growth, next 24 months (GB or %)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Peak recorded client connections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Expected max concurrent connections (sets </w:t>
            </w:r>
            <w:r>
              <w:rPr>
                <w:rStyle w:val="CodeChar"/>
              </w:rPr>
              <w:t xml:space="preserve">config.maxclients</w:t>
            </w:r>
            <w:r>
              <w:t xml:space="preserve">; default 5000)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Peak operations/sec (reads / writes)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Average and largest value/key size (KB)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Number of keys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Read:write ratio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Latency target (p99, ms)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Do keys have TTLs? (Y/N)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Eviction policy when full (</w:t>
            </w:r>
            <w:r>
              <w:rPr>
                <w:rStyle w:val="CodeChar"/>
              </w:rPr>
              <w:t xml:space="preserve">config.maxmemory_policy</w:t>
            </w:r>
            <w:r>
              <w:t xml:space="preserve">; default </w:t>
            </w:r>
            <w:r>
              <w:rPr>
                <w:rStyle w:val="CodeChar"/>
              </w:rPr>
              <w:t xml:space="preserve">volatile-lru</w:t>
            </w:r>
            <w:r>
              <w:t xml:space="preserve">)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</w:tbl>
    <w:p>
      <w:pPr/>
      <w:r>
        <w:t xml:space="preserve">The platform team turns these numbers into node type × shards × replicas: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server_type</w:t>
      </w:r>
      <w:r>
        <w:t xml:space="preserve"> options: SHARED_CORE_NANO (no SLA, blocked in prod), CUSTOM_PICO / CUSTOM_MICRO / CUSTOM_MINI (CLUSTER_DISABLED only), STANDARD_SMALL (default), STANDARD_LARGE, HIGHMEM_MEDIUM, HIGHMEM_XLARGE, HIGHMEM_2XLARGE, HIGHCPU_MEDIUM. The HIGHMEM family has the lowest cost per GB.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cluster_mode: CLUSTER_DISABLED</w:t>
      </w:r>
      <w:r>
        <w:t xml:space="preserve"> is fixed at one shard and can never grow. Choose CLUSTER (default) if the 24-month projection could exceed one node.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volatile-lru</w:t>
      </w:r>
      <w:r>
        <w:t xml:space="preserve"> only evicts keys that have a TTL. If keys have no TTL, writes fail when memory is full; pick </w:t>
      </w:r>
      <w:r>
        <w:rPr>
          <w:rStyle w:val="CodeChar"/>
        </w:rPr>
        <w:t xml:space="preserve">allkeys-lru</w:t>
      </w:r>
      <w:r>
        <w:t xml:space="preserve"> / </w:t>
      </w:r>
      <w:r>
        <w:rPr>
          <w:rStyle w:val="CodeChar"/>
        </w:rPr>
        <w:t xml:space="preserve">allkeys-lfu</w:t>
      </w:r>
      <w:r>
        <w:t xml:space="preserve"> or </w:t>
      </w:r>
      <w:r>
        <w:rPr>
          <w:rStyle w:val="CodeChar"/>
        </w:rPr>
        <w:t xml:space="preserve">noeviction</w:t>
      </w:r>
      <w:r>
        <w:t xml:space="preserve"> deliberately.</w:t>
      </w:r>
    </w:p>
    <w:p>
      <w:pPr>
        <w:pStyle w:val="Heading2"/>
      </w:pPr>
      <w:r>
        <w:t xml:space="preserve">8. Network connectivity</w:t>
      </w:r>
    </w:p>
    <w:p>
      <w:pPr/>
      <w:r>
        <w:t xml:space="preserve">The module exposes the instance only through Private Service Connect on the environment's Shared VPC (</w:t>
      </w:r>
      <w:r>
        <w:rPr>
          <w:rStyle w:val="CodeChar"/>
        </w:rPr>
        <w:t xml:space="preserve">psc_connectivity_mode: SHARED_VPC</w:t>
      </w:r>
      <w:r>
        <w:t xml:space="preserve">, default). There is no public endpoint. Any client outside that Shared VPC needs a routed path that network engineering provides.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Where the client runs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Needed? (Y/N)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Source project / VNet / subnet CIDRs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Environments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Path (to be confirmed by network engineering)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GCP 3.0 (service project on the Shared VPC)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Direct, same Shared VPC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Azure 3.0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Cross-cloud interconnect / VPN to GCP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On-prem LDC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Interconnect to GCP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On-prem SDC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Interconnect to GCP</w:t>
            </w:r>
          </w:p>
        </w:tc>
      </w:tr>
    </w:tbl>
    <w:p>
      <w:pPr/>
      <w:r>
        <w:t xml:space="preserve">Also capture: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Question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Answer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Client compute type (GKE, Cloud Run, GCE, App Service, AKS, VM)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Firewall rules needed to port 6379 on the PSC endpoint (source ranges)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Private DNS name wanted? Preferred host label (default </w:t>
            </w:r>
            <w:r>
              <w:rPr>
                <w:rStyle w:val="CodeChar"/>
              </w:rPr>
              <w:t xml:space="preserve">&lt;name&gt;-&lt;env&gt;</w:t>
            </w:r>
            <w:r>
              <w:t xml:space="preserve">)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Clients in the DR region need a path to the secondary as well? (Y/N)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Non-default Service Connection Policy name (</w:t>
            </w:r>
            <w:r>
              <w:rPr>
                <w:rStyle w:val="CodeChar"/>
              </w:rPr>
              <w:t xml:space="preserve">existing_scp_name</w:t>
            </w:r>
            <w:r>
              <w:t xml:space="preserve">; normally blank)</w:t>
            </w:r>
          </w:p>
        </w:tc>
        <w:tc>
          <w:tcPr>
            <w:tcW w:w="4680" w:type="dxa"/>
          </w:tcPr>
          <w:p>
            <w:pPr/>
          </w:p>
        </w:tc>
      </w:tr>
    </w:tbl>
    <w:p>
      <w:pPr>
        <w:pStyle w:val="Heading2"/>
      </w:pPr>
      <w:r>
        <w:t xml:space="preserve">9. Security and authentication</w:t>
      </w:r>
    </w:p>
    <w:p>
      <w:pPr/>
      <w:r>
        <w:t xml:space="preserve">Every instance uses IAM authentication and TLS. These are enforced by module validation (</w:t>
      </w:r>
      <w:r>
        <w:rPr>
          <w:rStyle w:val="CodeChar"/>
        </w:rPr>
        <w:t xml:space="preserve">authorization_mode = IAM_AUTH</w:t>
      </w:r>
      <w:r>
        <w:t xml:space="preserve">, </w:t>
      </w:r>
      <w:r>
        <w:rPr>
          <w:rStyle w:val="CodeChar"/>
        </w:rPr>
        <w:t xml:space="preserve">transit_encryption_mode = SERVER_AUTHENTICATION</w:t>
      </w:r>
      <w:r>
        <w:t xml:space="preserve">) and are not request fields. Clients pass a short-lived IAM access token as the password over a TLS connection.</w:t>
      </w:r>
    </w:p>
    <w:p>
      <w:pPr>
        <w:pStyle w:val="Heading3"/>
      </w:pPr>
      <w:r>
        <w:t xml:space="preserve">9a. IAM access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Value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Service account(s) that will connect, per environment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  <w:r>
              <w:t xml:space="preserve">Granted </w:t>
            </w:r>
            <w:r>
              <w:rPr>
                <w:rStyle w:val="CodeChar"/>
              </w:rPr>
              <w:t xml:space="preserve">roles/memorystore.dbConnectionUser</w:t>
            </w:r>
            <w:r>
              <w:t xml:space="preserve">, scoped to the instance by IAM condition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Group needing read-only console/metadata access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  <w:r>
              <w:t xml:space="preserve">Granted </w:t>
            </w:r>
            <w:r>
              <w:rPr>
                <w:rStyle w:val="CodeChar"/>
              </w:rPr>
              <w:t xml:space="preserve">roles/memorystore.viewer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Service account lives in which project?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  <w:r>
              <w:t xml:space="preserve">Must be resolvable for the IAM grant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Workload identity used (GKE Workload Identity, Azure workload identity federation, on-prem key)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  <w:r>
              <w:t xml:space="preserve">Non-GCP clients need a way to mint Google tokens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Token refresh handled by the app (tokens expire after about 1 hour)? (Y/N)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Need read-only vs read-write separation? (Y/N)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  <w:r>
              <w:t xml:space="preserve">Not possible on one instance; needs separate instances or a proxy</w:t>
            </w:r>
          </w:p>
        </w:tc>
      </w:tr>
    </w:tbl>
    <w:p>
      <w:pPr>
        <w:pStyle w:val="Heading3"/>
      </w:pPr>
      <w:r>
        <w:t xml:space="preserve">9b. Certificates (TLS)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Request-file key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Value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Options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Server CA mode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server_ca_mode</w:t>
            </w:r>
            <w:r>
              <w:t xml:space="preserve"> (platform default today)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GOOGLE_MANAGED_PER_INSTANCE_CA (default), GOOGLE_MANAGED_SHARED_CA, CUSTOMER_MANAGED_CAS_CA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CAS CA pool resource ID (only for CUSTOMER_MANAGED_CAS_CA; same region)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server_ca_pool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projects/P/locations/R/caPools/POOL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How the client will load and rotate the CA cert (secret store, Vault, baked image)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Client verifies hostname? (Y/N)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If Y and connecting by DNS name, test early: the cert is issued for endpoint IPs, not the custom DNS name</w:t>
            </w:r>
          </w:p>
        </w:tc>
      </w:tr>
    </w:tbl>
    <w:p>
      <w:pPr/>
      <w:r>
        <w:rPr>
          <w:rStyle w:val="CodeChar"/>
        </w:rPr>
        <w:t xml:space="preserve">server_ca_mode</w:t>
      </w:r>
      <w:r>
        <w:t xml:space="preserve"> is immutable after creation.</w:t>
      </w:r>
    </w:p>
    <w:p>
      <w:pPr>
        <w:pStyle w:val="Heading3"/>
      </w:pPr>
      <w:r>
        <w:t xml:space="preserve">9c. Encryption at rest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Request-file key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Value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Options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Encryption type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instance.encryption_type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GOOGLE_MANAGED (default), CUSTOMER_MANAGED (CMEK)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KMS key resource ID (CMEK only)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instance.kms_key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projects/P/locations/R/keyRings/RING/cryptoKeys/KEY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Data classification (Public / Internal / Confidential / PHI / PCI)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Drives CMEK and CA mode decisions</w:t>
            </w:r>
          </w:p>
        </w:tc>
      </w:tr>
    </w:tbl>
    <w:p>
      <w:pPr>
        <w:pStyle w:val="Heading2"/>
      </w:pPr>
      <w:r>
        <w:t xml:space="preserve">10. Client integration details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Value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Programming language and version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Framework (Spring Boot, .NET, Node/Express, Django)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Redis/Valkey client library and version (Lettuce, Jedis, StackExchange.Redis, ioredis, redis-py, valkey-glide, go-redis)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Client is cluster-aware (follows </w:t>
            </w:r>
            <w:r>
              <w:rPr>
                <w:rStyle w:val="CodeChar"/>
              </w:rPr>
              <w:t xml:space="preserve">MOVED</w:t>
            </w:r>
            <w:r>
              <w:t xml:space="preserve">/</w:t>
            </w:r>
            <w:r>
              <w:rPr>
                <w:rStyle w:val="CodeChar"/>
              </w:rPr>
              <w:t xml:space="preserve">ASK</w:t>
            </w:r>
            <w:r>
              <w:t xml:space="preserve">)? Required for </w:t>
            </w:r>
            <w:r>
              <w:rPr>
                <w:rStyle w:val="CodeChar"/>
              </w:rPr>
              <w:t xml:space="preserve">cluster_mode: CLUSTER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Client supports TLS with a custom CA and IAM token as password, with token refresh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Connection pooling settings (pool size per pod × pod count)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Commands or features used: Lua/EVAL, transactions (MULTI), pub/sub, streams, multi-key ops across slots, </w:t>
            </w:r>
            <w:r>
              <w:rPr>
                <w:rStyle w:val="CodeChar"/>
              </w:rPr>
              <w:t xml:space="preserve">KEYS</w:t>
            </w:r>
            <w:r>
              <w:t xml:space="preserve">/</w:t>
            </w:r>
            <w:r>
              <w:rPr>
                <w:rStyle w:val="CodeChar"/>
              </w:rPr>
              <w:t xml:space="preserve">SCAN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Needs keyspace notifications? Which classes (</w:t>
            </w:r>
            <w:r>
              <w:rPr>
                <w:rStyle w:val="CodeChar"/>
              </w:rPr>
              <w:t xml:space="preserve">config.notify_keyspace_events</w:t>
            </w:r>
            <w:r>
              <w:t xml:space="preserve">, e.g. </w:t>
            </w:r>
            <w:r>
              <w:rPr>
                <w:rStyle w:val="CodeChar"/>
              </w:rPr>
              <w:t xml:space="preserve">Ex</w:t>
            </w:r>
            <w:r>
              <w:t xml:space="preserve">)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Uses read replicas for reads?</w:t>
            </w:r>
          </w:p>
        </w:tc>
        <w:tc>
          <w:tcPr>
            <w:tcW w:w="4680" w:type="dxa"/>
          </w:tcPr>
          <w:p>
            <w:pPr/>
          </w:p>
        </w:tc>
      </w:tr>
    </w:tbl>
    <w:p>
      <w:pPr/>
      <w:r>
        <w:t xml:space="preserve">In CLUSTER mode, multi-key commands only work when all keys share a hash slot (use </w:t>
      </w:r>
      <w:r>
        <w:rPr>
          <w:rStyle w:val="CodeChar"/>
        </w:rPr>
        <w:t xml:space="preserve">{hash-tags}</w:t>
      </w:r>
      <w:r>
        <w:t xml:space="preserve">). Confirm this before migrating from a non-clustered Redis instance.</w:t>
      </w:r>
    </w:p>
    <w:p>
      <w:pPr>
        <w:pStyle w:val="Heading2"/>
      </w:pPr>
      <w:r>
        <w:t xml:space="preserve">11. Connection model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Model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Select one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Implication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Single application / team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  <w:r>
              <w:t xml:space="preserve">Dedicated instance; simplest IAM and alert routing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Multiple applications, one team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  <w:r>
              <w:t xml:space="preserve">Agree key prefixes per app; one owner for sizing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Multiple teams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  <w:r>
              <w:t xml:space="preserve">Shared blast radius and identical command access for all grantees; name a single accountable owner and chargeback split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Shared enterprise service</w:t>
            </w:r>
          </w:p>
        </w:tc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  <w:r>
              <w:t xml:space="preserve">Platform-owned; strict key namespacing, quotas via </w:t>
            </w:r>
            <w:r>
              <w:rPr>
                <w:rStyle w:val="CodeChar"/>
              </w:rPr>
              <w:t xml:space="preserve">maxclients</w:t>
            </w:r>
            <w:r>
              <w:t xml:space="preserve"> / </w:t>
            </w:r>
            <w:r>
              <w:rPr>
                <w:rStyle w:val="CodeChar"/>
              </w:rPr>
              <w:t xml:space="preserve">maxmemory_clients</w:t>
            </w:r>
            <w:r>
              <w:t xml:space="preserve">, change approval across consumers</w:t>
            </w:r>
          </w:p>
        </w:tc>
      </w:tr>
    </w:tbl>
    <w:p>
      <w:pPr/>
      <w:r>
        <w:t xml:space="preserve">If not single-app, list each consuming application, its service account and key prefix: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Application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Owner team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Service account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Key prefix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Environments</w:t>
            </w:r>
          </w:p>
        </w:tc>
      </w:tr>
      <w:tr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</w:tbl>
    <w:p>
      <w:pPr>
        <w:pStyle w:val="Heading2"/>
      </w:pPr>
      <w:r>
        <w:t xml:space="preserve">12. Additional sections (gaps found in the Terraform template)</w:t>
      </w:r>
    </w:p>
    <w:p>
      <w:pPr/>
      <w:r>
        <w:t xml:space="preserve">The 11 original sections did not cover these module inputs. Each needs an answer before a request file can be built.</w:t>
      </w:r>
    </w:p>
    <w:p>
      <w:pPr>
        <w:pStyle w:val="Heading3"/>
      </w:pPr>
      <w:r>
        <w:t xml:space="preserve">12a. Engine and data settings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Request-file key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Value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Default / options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Valkey version (immutable)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instance.version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VALKEY_9_0 (default), VALKEY_8_0, VALKEY_7_2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Persistence mode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instance.persistence.mode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RDB (default), AOF, DISABLED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RDB snapshot period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persistence.rdb_config.rdb_snapshot_period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ONE_HOUR, SIX_HOURS, TWELVE_HOURS, TWENTY_FOUR_HOURS (default)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AOF fsync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persistence.aof_config.append_fsync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EVERY_SEC (default), ALWAYS, NO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Automated backups on?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instance.backup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true (default)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Client output-buffer cap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config.maxmemory_clients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10% (default) or e.g. </w:t>
            </w:r>
            <w:r>
              <w:rPr>
                <w:rStyle w:val="CodeChar"/>
              </w:rPr>
              <w:t xml:space="preserve">100mb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Slow-log threshold (µs)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config.slowlog_log_slower_than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5000 (default); -1 off</w:t>
            </w:r>
          </w:p>
        </w:tc>
      </w:tr>
    </w:tbl>
    <w:p>
      <w:pPr>
        <w:pStyle w:val="Heading3"/>
      </w:pPr>
      <w:r>
        <w:t xml:space="preserve">12b. Monitoring and alerting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Request-file key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Value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Alerting on?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instance.enable_alerting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true (default)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App team alert emails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instance.appteam_emails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Required when alerting is on; plan fails if empty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Extra platform emails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instance.platformteam_emails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Leave blank to inherit the standing platform list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Need ServiceNow / PagerDuty / Teams routing?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The alerts module supports email channels only today</w:t>
            </w:r>
          </w:p>
        </w:tc>
      </w:tr>
    </w:tbl>
    <w:p>
      <w:pPr/>
      <w:r>
        <w:t xml:space="preserve">Alerts created: instance down, CPU warning/critical, memory warning/critical, rejected connections warning/critical, connected clients high, and replication lag (HA/DR only). Thresholds are fixed by the platform.</w:t>
      </w:r>
    </w:p>
    <w:p>
      <w:pPr>
        <w:pStyle w:val="Heading3"/>
      </w:pPr>
      <w:r>
        <w:t xml:space="preserve">12c. Governance and acceptance</w:t>
      </w:r>
    </w:p>
    <w:p>
      <w:pPr>
        <w:pStyle w:val="ListParagraph"/>
        <w:numPr>
          <w:ilvl w:val="0"/>
          <w:numId w:val="6"/>
        </w:numPr>
      </w:pPr>
      <w:r>
        <w:t xml:space="preserve">☐ Business owner approval of tier, RTO and RPO</w:t>
      </w:r>
    </w:p>
    <w:p>
      <w:pPr>
        <w:pStyle w:val="ListParagraph"/>
        <w:numPr>
          <w:ilvl w:val="0"/>
          <w:numId w:val="6"/>
        </w:numPr>
      </w:pPr>
      <w:r>
        <w:t xml:space="preserve">☐ Security review complete (data classification, CMEK and CA decision)</w:t>
      </w:r>
    </w:p>
    <w:p>
      <w:pPr>
        <w:pStyle w:val="ListParagraph"/>
        <w:numPr>
          <w:ilvl w:val="0"/>
          <w:numId w:val="6"/>
        </w:numPr>
      </w:pPr>
      <w:r>
        <w:t xml:space="preserve">☐ Network path confirmed by network engineering for every client location in section 8</w:t>
      </w:r>
    </w:p>
    <w:p>
      <w:pPr>
        <w:pStyle w:val="ListParagraph"/>
        <w:numPr>
          <w:ilvl w:val="0"/>
          <w:numId w:val="6"/>
        </w:numPr>
      </w:pPr>
      <w:r>
        <w:t xml:space="preserve">☐ IAM grants requested for every connecting service account</w:t>
      </w:r>
    </w:p>
    <w:p>
      <w:pPr>
        <w:pStyle w:val="ListParagraph"/>
        <w:numPr>
          <w:ilvl w:val="0"/>
          <w:numId w:val="6"/>
        </w:numPr>
      </w:pPr>
      <w:r>
        <w:t xml:space="preserve">☐ Non-prod smoke test passed: </w:t>
      </w:r>
      <w:r>
        <w:rPr>
          <w:rStyle w:val="CodeChar"/>
        </w:rPr>
        <w:t xml:space="preserve">PING</w:t>
      </w:r>
      <w:r>
        <w:t xml:space="preserve">, then </w:t>
      </w:r>
      <w:r>
        <w:rPr>
          <w:rStyle w:val="CodeChar"/>
        </w:rPr>
        <w:t xml:space="preserve">SET</w:t>
      </w:r>
      <w:r>
        <w:t xml:space="preserve">/</w:t>
      </w:r>
      <w:r>
        <w:rPr>
          <w:rStyle w:val="CodeChar"/>
        </w:rPr>
        <w:t xml:space="preserve">GET</w:t>
      </w:r>
      <w:r>
        <w:t xml:space="preserve"> over TLS with an IAM token</w:t>
      </w:r>
    </w:p>
    <w:p>
      <w:pPr>
        <w:pStyle w:val="ListParagraph"/>
        <w:numPr>
          <w:ilvl w:val="0"/>
          <w:numId w:val="6"/>
        </w:numPr>
      </w:pPr>
      <w:r>
        <w:t xml:space="preserve">☐ Load / failover test in UAT for HA and DR</w:t>
      </w:r>
    </w:p>
    <w:p>
      <w:pPr>
        <w:pStyle w:val="ListParagraph"/>
        <w:numPr>
          <w:ilvl w:val="0"/>
          <w:numId w:val="6"/>
        </w:numPr>
      </w:pPr>
      <w:r>
        <w:t xml:space="preserve">☐ Cost estimate acknowledged by the LOB owner</w:t>
      </w:r>
    </w:p>
    <w:p>
      <w:pPr>
        <w:pStyle w:val="Heading3"/>
      </w:pPr>
      <w:r>
        <w:t xml:space="preserve">12d. Template issues to fix before publishing this form</w:t>
      </w:r>
    </w:p>
    <w:p>
      <w:pPr/>
      <w:r>
        <w:t xml:space="preserve">These came up while mapping the form to the code. They do not change what consumers fill in, but they change what the form can promise.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Finding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Where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Suggested fix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DR pair is </w:t>
            </w:r>
            <w:r>
              <w:rPr>
                <w:b/>
              </w:rPr>
              <w:t xml:space="preserve">us-central1 ↔ us-east1</w:t>
            </w:r>
            <w:r>
              <w:t xml:space="preserve"> in </w:t>
            </w:r>
            <w:r>
              <w:rPr>
                <w:rStyle w:val="CodeChar"/>
              </w:rPr>
              <w:t xml:space="preserve">default.json</w:t>
            </w:r>
            <w:r>
              <w:t xml:space="preserve"> but </w:t>
            </w:r>
            <w:r>
              <w:rPr>
                <w:b/>
              </w:rPr>
              <w:t xml:space="preserve">us-central1 ↔ us-east4</w:t>
            </w:r>
            <w:r>
              <w:t xml:space="preserve"> in the SOP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default.json</w:t>
            </w:r>
            <w:r>
              <w:t xml:space="preserve">, SOP § DR region pairs</w:t>
            </w:r>
          </w:p>
        </w:tc>
        <w:tc>
          <w:tcPr>
            <w:tcW w:w="2340" w:type="dxa"/>
          </w:tcPr>
          <w:p>
            <w:pPr/>
            <w:r>
              <w:t xml:space="preserve">Pick one and align both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SOP describes DNS A records (</w:t>
            </w:r>
            <w:r>
              <w:rPr>
                <w:rStyle w:val="CodeChar"/>
              </w:rPr>
              <w:t xml:space="preserve">dns</w:t>
            </w:r>
            <w:r>
              <w:t xml:space="preserve">, </w:t>
            </w:r>
            <w:r>
              <w:rPr>
                <w:rStyle w:val="CodeChar"/>
              </w:rPr>
              <w:t xml:space="preserve">dns_record_name</w:t>
            </w:r>
            <w:r>
              <w:t xml:space="preserve">, </w:t>
            </w:r>
            <w:r>
              <w:rPr>
                <w:rStyle w:val="CodeChar"/>
              </w:rPr>
              <w:t xml:space="preserve">dns_config</w:t>
            </w:r>
            <w:r>
              <w:t xml:space="preserve">, v2.1.0) but no </w:t>
            </w:r>
            <w:r>
              <w:rPr>
                <w:rStyle w:val="CodeChar"/>
              </w:rPr>
              <w:t xml:space="preserve">dns.tf</w:t>
            </w:r>
            <w:r>
              <w:t xml:space="preserve"> or </w:t>
            </w:r>
            <w:r>
              <w:rPr>
                <w:rStyle w:val="CodeChar"/>
              </w:rPr>
              <w:t xml:space="preserve">dns_config</w:t>
            </w:r>
            <w:r>
              <w:t xml:space="preserve"> exists in the module or </w:t>
            </w:r>
            <w:r>
              <w:rPr>
                <w:rStyle w:val="CodeChar"/>
              </w:rPr>
              <w:t xml:space="preserve">locals.tf</w:t>
            </w:r>
            <w:r>
              <w:t xml:space="preserve"> in this package</w:t>
            </w:r>
          </w:p>
        </w:tc>
        <w:tc>
          <w:tcPr>
            <w:tcW w:w="2340" w:type="dxa"/>
          </w:tcPr>
          <w:p>
            <w:pPr/>
            <w:r>
              <w:t xml:space="preserve">module, </w:t>
            </w:r>
            <w:r>
              <w:rPr>
                <w:rStyle w:val="CodeChar"/>
              </w:rPr>
              <w:t xml:space="preserve">locals.tf</w:t>
            </w:r>
          </w:p>
        </w:tc>
        <w:tc>
          <w:tcPr>
            <w:tcW w:w="2340" w:type="dxa"/>
          </w:tcPr>
          <w:p>
            <w:pPr/>
            <w:r>
              <w:t xml:space="preserve">Add the DNS code, or drop DNS from the SOP and this form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locals.tf</w:t>
            </w:r>
            <w:r>
              <w:t xml:space="preserve"> reads </w:t>
            </w:r>
            <w:r>
              <w:rPr>
                <w:rStyle w:val="CodeChar"/>
              </w:rPr>
              <w:t xml:space="preserve">instance.server_ca_mode</w:t>
            </w:r>
            <w:r>
              <w:t xml:space="preserve"> and </w:t>
            </w:r>
            <w:r>
              <w:rPr>
                <w:rStyle w:val="CodeChar"/>
              </w:rPr>
              <w:t xml:space="preserve">instance.rdb_snapshot_start_time</w:t>
            </w:r>
            <w:r>
              <w:t xml:space="preserve"> from the request, but the intake schema says they are not request fields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locals.tf</w:t>
            </w:r>
            <w:r>
              <w:t xml:space="preserve">, </w:t>
            </w:r>
            <w:r>
              <w:rPr>
                <w:rStyle w:val="CodeChar"/>
              </w:rPr>
              <w:t xml:space="preserve">valkey-intake-schema.json</w:t>
            </w:r>
          </w:p>
        </w:tc>
        <w:tc>
          <w:tcPr>
            <w:tcW w:w="2340" w:type="dxa"/>
          </w:tcPr>
          <w:p>
            <w:pPr/>
            <w:r>
              <w:t xml:space="preserve">Add them to the schema, or stop reading them from the request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deletion_protection_enabled</w:t>
            </w:r>
            <w:r>
              <w:t xml:space="preserve"> is </w:t>
            </w:r>
            <w:r>
              <w:rPr>
                <w:rStyle w:val="CodeChar"/>
              </w:rPr>
              <w:t xml:space="preserve">false</w:t>
            </w:r>
            <w:r>
              <w:t xml:space="preserve"> in </w:t>
            </w:r>
            <w:r>
              <w:rPr>
                <w:rStyle w:val="CodeChar"/>
              </w:rPr>
              <w:t xml:space="preserve">default.json</w:t>
            </w:r>
            <w:r>
              <w:t xml:space="preserve"> for all environments, although the module documents </w:t>
            </w:r>
            <w:r>
              <w:rPr>
                <w:rStyle w:val="CodeChar"/>
              </w:rPr>
              <w:t xml:space="preserve">true</w:t>
            </w:r>
            <w:r>
              <w:t xml:space="preserve"> as its intended default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default.json</w:t>
            </w:r>
          </w:p>
        </w:tc>
        <w:tc>
          <w:tcPr>
            <w:tcW w:w="2340" w:type="dxa"/>
          </w:tcPr>
          <w:p>
            <w:pPr/>
            <w:r>
              <w:t xml:space="preserve">Default prod to </w:t>
            </w:r>
            <w:r>
              <w:rPr>
                <w:rStyle w:val="CodeChar"/>
              </w:rPr>
              <w:t xml:space="preserve">true</w:t>
            </w:r>
            <w:r>
              <w:t xml:space="preserve">, or make it required for prod in the form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notify_keyspace_events</w:t>
            </w:r>
            <w:r>
              <w:t xml:space="preserve"> is </w:t>
            </w:r>
            <w:r>
              <w:rPr>
                <w:rStyle w:val="CodeChar"/>
              </w:rPr>
              <w:t xml:space="preserve">KEA</w:t>
            </w:r>
            <w:r>
              <w:t xml:space="preserve"> (all events) in </w:t>
            </w:r>
            <w:r>
              <w:rPr>
                <w:rStyle w:val="CodeChar"/>
              </w:rPr>
              <w:t xml:space="preserve">default.json</w:t>
            </w:r>
            <w:r>
              <w:t xml:space="preserve">; the schema and module say the default is empty (lowest overhead)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default.json</w:t>
            </w:r>
          </w:p>
        </w:tc>
        <w:tc>
          <w:tcPr>
            <w:tcW w:w="2340" w:type="dxa"/>
          </w:tcPr>
          <w:p>
            <w:pPr/>
            <w:r>
              <w:t xml:space="preserve">Set to </w:t>
            </w:r>
            <w:r>
              <w:rPr>
                <w:rStyle w:val="CodeChar"/>
              </w:rPr>
              <w:t xml:space="preserve">""</w:t>
            </w:r>
            <w:r>
              <w:t xml:space="preserve"> and let consumers opt in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Topology and DR-pair rules are Terraform </w:t>
            </w:r>
            <w:r>
              <w:rPr>
                <w:rStyle w:val="CodeChar"/>
              </w:rPr>
              <w:t xml:space="preserve">check</w:t>
            </w:r>
            <w:r>
              <w:t xml:space="preserve"> blocks, which only warn at plan; they do not stop the run. A DR request with </w:t>
            </w:r>
            <w:r>
              <w:rPr>
                <w:rStyle w:val="CodeChar"/>
              </w:rPr>
              <w:t xml:space="preserve">replica_count: 0</w:t>
            </w:r>
            <w:r>
              <w:t xml:space="preserve"> or an unpaired region is caught only at apply</w:t>
            </w:r>
          </w:p>
        </w:tc>
        <w:tc>
          <w:tcPr>
            <w:tcW w:w="2340" w:type="dxa"/>
          </w:tcPr>
          <w:p>
            <w:pPr/>
            <w:r>
              <w:t xml:space="preserve">module </w:t>
            </w:r>
            <w:r>
              <w:rPr>
                <w:rStyle w:val="CodeChar"/>
              </w:rPr>
              <w:t xml:space="preserve">variables.tf</w:t>
            </w:r>
            <w:r>
              <w:t xml:space="preserve">, </w:t>
            </w:r>
            <w:r>
              <w:rPr>
                <w:rStyle w:val="CodeChar"/>
              </w:rPr>
              <w:t xml:space="preserve">locals.tf</w:t>
            </w:r>
          </w:p>
        </w:tc>
        <w:tc>
          <w:tcPr>
            <w:tcW w:w="2340" w:type="dxa"/>
          </w:tcPr>
          <w:p>
            <w:pPr/>
            <w:r>
              <w:t xml:space="preserve">Convert to variable validations or </w:t>
            </w:r>
            <w:r>
              <w:rPr>
                <w:rStyle w:val="CodeChar"/>
              </w:rPr>
              <w:t xml:space="preserve">precondition</w:t>
            </w:r>
            <w:r>
              <w:t xml:space="preserve"> blocks, and validate in the intake UI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start_minute</w:t>
            </w:r>
            <w:r>
              <w:t xml:space="preserve"> in the maintenance window is accepted but ignored (hour granularity only)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locals.tf</w:t>
            </w:r>
          </w:p>
        </w:tc>
        <w:tc>
          <w:tcPr>
            <w:tcW w:w="2340" w:type="dxa"/>
          </w:tcPr>
          <w:p>
            <w:pPr/>
            <w:r>
              <w:t xml:space="preserve">Hide it in the form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</w:t>
            </w:r>
          </w:p>
        </w:tc>
        <w:tc>
          <w:tcPr>
            <w:tcW w:w="2340" w:type="dxa"/>
          </w:tcPr>
          <w:p>
            <w:pPr/>
            <w:r>
              <w:t xml:space="preserve">Valkey version list (7.2 / 8.0 / 9.0) is hard-coded and can go stale</w:t>
            </w:r>
          </w:p>
        </w:tc>
        <w:tc>
          <w:tcPr>
            <w:tcW w:w="2340" w:type="dxa"/>
          </w:tcPr>
          <w:p>
            <w:pPr/>
            <w:r>
              <w:t xml:space="preserve">module </w:t>
            </w:r>
            <w:r>
              <w:rPr>
                <w:rStyle w:val="CodeChar"/>
              </w:rPr>
              <w:t xml:space="preserve">variables.tf</w:t>
            </w:r>
            <w:r>
              <w:t xml:space="preserve">, schema</w:t>
            </w:r>
          </w:p>
        </w:tc>
        <w:tc>
          <w:tcPr>
            <w:tcW w:w="2340" w:type="dxa"/>
          </w:tcPr>
          <w:p>
            <w:pPr/>
            <w:r>
              <w:t xml:space="preserve">Review each release</w:t>
            </w:r>
          </w:p>
        </w:tc>
      </w:tr>
    </w:tbl>
    <w:p>
      <w:pPr>
        <w:pStyle w:val="Heading2"/>
      </w:pPr>
      <w:r>
        <w:t xml:space="preserve">13. Terraform variable traceability</w:t>
      </w:r>
    </w:p>
    <w:p>
      <w:pPr/>
      <w:r>
        <w:t xml:space="preserve">Every instance-module input, where its value comes from, and which form section collects it. Use this to confirm nothing is missed when building the request file.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Module variable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Request-file key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Source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Form section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instance_id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instance.name</w:t>
            </w:r>
            <w:r>
              <w:t xml:space="preserve"> + </w:t>
            </w:r>
            <w:r>
              <w:rPr>
                <w:rStyle w:val="CodeChar"/>
              </w:rPr>
              <w:t xml:space="preserve">-&lt;env&gt;</w:t>
            </w:r>
          </w:p>
        </w:tc>
        <w:tc>
          <w:tcPr>
            <w:tcW w:w="2340" w:type="dxa"/>
          </w:tcPr>
          <w:p>
            <w:pPr/>
            <w:r>
              <w:t xml:space="preserve">Consumer, suffix derived</w:t>
            </w:r>
          </w:p>
        </w:tc>
        <w:tc>
          <w:tcPr>
            <w:tcW w:w="2340" w:type="dxa"/>
          </w:tcPr>
          <w:p>
            <w:pPr/>
            <w:r>
              <w:t xml:space="preserve">2b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project_id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default.json</w:t>
            </w:r>
            <w:r>
              <w:t xml:space="preserve"> per env</w:t>
            </w:r>
          </w:p>
        </w:tc>
        <w:tc>
          <w:tcPr>
            <w:tcW w:w="2340" w:type="dxa"/>
          </w:tcPr>
          <w:p>
            <w:pPr/>
            <w:r>
              <w:t xml:space="preserve">4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environment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environment</w:t>
            </w:r>
          </w:p>
        </w:tc>
        <w:tc>
          <w:tcPr>
            <w:tcW w:w="2340" w:type="dxa"/>
          </w:tcPr>
          <w:p>
            <w:pPr/>
            <w:r>
              <w:t xml:space="preserve">Consumer</w:t>
            </w:r>
          </w:p>
        </w:tc>
        <w:tc>
          <w:tcPr>
            <w:tcW w:w="2340" w:type="dxa"/>
          </w:tcPr>
          <w:p>
            <w:pPr/>
            <w:r>
              <w:t xml:space="preserve">4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labels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application_id</w:t>
            </w:r>
            <w:r>
              <w:t xml:space="preserve">, </w:t>
            </w:r>
            <w:r>
              <w:rPr>
                <w:rStyle w:val="CodeChar"/>
              </w:rPr>
              <w:t xml:space="preserve">lob</w:t>
            </w:r>
            <w:r>
              <w:t xml:space="preserve">, </w:t>
            </w:r>
            <w:r>
              <w:rPr>
                <w:rStyle w:val="CodeChar"/>
              </w:rPr>
              <w:t xml:space="preserve">tags</w:t>
            </w:r>
          </w:p>
        </w:tc>
        <w:tc>
          <w:tcPr>
            <w:tcW w:w="2340" w:type="dxa"/>
          </w:tcPr>
          <w:p>
            <w:pPr/>
            <w:r>
              <w:t xml:space="preserve">Consumer + derived</w:t>
            </w:r>
          </w:p>
        </w:tc>
        <w:tc>
          <w:tcPr>
            <w:tcW w:w="2340" w:type="dxa"/>
          </w:tcPr>
          <w:p>
            <w:pPr/>
            <w:r>
              <w:t xml:space="preserve">3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location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instance.location</w:t>
            </w:r>
          </w:p>
        </w:tc>
        <w:tc>
          <w:tcPr>
            <w:tcW w:w="2340" w:type="dxa"/>
          </w:tcPr>
          <w:p>
            <w:pPr/>
            <w:r>
              <w:t xml:space="preserve">Consumer (or env default)</w:t>
            </w:r>
          </w:p>
        </w:tc>
        <w:tc>
          <w:tcPr>
            <w:tcW w:w="2340" w:type="dxa"/>
          </w:tcPr>
          <w:p>
            <w:pPr/>
            <w:r>
              <w:t xml:space="preserve">2b, 6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deployment_topology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replica_count</w:t>
            </w:r>
            <w:r>
              <w:t xml:space="preserve"> + </w:t>
            </w:r>
            <w:r>
              <w:rPr>
                <w:rStyle w:val="CodeChar"/>
              </w:rPr>
              <w:t xml:space="preserve">cross_region_replica</w:t>
            </w:r>
          </w:p>
        </w:tc>
        <w:tc>
          <w:tcPr>
            <w:tcW w:w="2340" w:type="dxa"/>
          </w:tcPr>
          <w:p>
            <w:pPr/>
            <w:r>
              <w:t xml:space="preserve">Derived</w:t>
            </w:r>
          </w:p>
        </w:tc>
        <w:tc>
          <w:tcPr>
            <w:tcW w:w="2340" w:type="dxa"/>
          </w:tcPr>
          <w:p>
            <w:pPr/>
            <w:r>
              <w:t xml:space="preserve">6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secondary_location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Derived from </w:t>
            </w:r>
            <w:r>
              <w:rPr>
                <w:rStyle w:val="CodeChar"/>
              </w:rPr>
              <w:t xml:space="preserve">dr_region_pairs</w:t>
            </w:r>
          </w:p>
        </w:tc>
        <w:tc>
          <w:tcPr>
            <w:tcW w:w="2340" w:type="dxa"/>
          </w:tcPr>
          <w:p>
            <w:pPr/>
            <w:r>
              <w:t xml:space="preserve">6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zone_distribution_mode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instance.zone_distribution_mode</w:t>
            </w:r>
          </w:p>
        </w:tc>
        <w:tc>
          <w:tcPr>
            <w:tcW w:w="2340" w:type="dxa"/>
          </w:tcPr>
          <w:p>
            <w:pPr/>
            <w:r>
              <w:t xml:space="preserve">Consumer (default MULTI_ZONE)</w:t>
            </w:r>
          </w:p>
        </w:tc>
        <w:tc>
          <w:tcPr>
            <w:tcW w:w="2340" w:type="dxa"/>
          </w:tcPr>
          <w:p>
            <w:pPr/>
            <w:r>
              <w:t xml:space="preserve">6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zone</w:t>
            </w:r>
            <w:r>
              <w:t xml:space="preserve">, </w:t>
            </w:r>
            <w:r>
              <w:rPr>
                <w:rStyle w:val="CodeChar"/>
              </w:rPr>
              <w:t xml:space="preserve">secondary_zone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instance.zone</w:t>
            </w:r>
            <w:r>
              <w:t xml:space="preserve">, </w:t>
            </w:r>
            <w:r>
              <w:rPr>
                <w:rStyle w:val="CodeChar"/>
              </w:rPr>
              <w:t xml:space="preserve">instance.secondary_zone</w:t>
            </w:r>
          </w:p>
        </w:tc>
        <w:tc>
          <w:tcPr>
            <w:tcW w:w="2340" w:type="dxa"/>
          </w:tcPr>
          <w:p>
            <w:pPr/>
            <w:r>
              <w:t xml:space="preserve">Consumer, SINGLE_ZONE only</w:t>
            </w:r>
          </w:p>
        </w:tc>
        <w:tc>
          <w:tcPr>
            <w:tcW w:w="2340" w:type="dxa"/>
          </w:tcPr>
          <w:p>
            <w:pPr/>
            <w:r>
              <w:t xml:space="preserve">6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cluster_mode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instance.cluster_mode</w:t>
            </w:r>
          </w:p>
        </w:tc>
        <w:tc>
          <w:tcPr>
            <w:tcW w:w="2340" w:type="dxa"/>
          </w:tcPr>
          <w:p>
            <w:pPr/>
            <w:r>
              <w:t xml:space="preserve">Consumer (default CLUSTER)</w:t>
            </w:r>
          </w:p>
        </w:tc>
        <w:tc>
          <w:tcPr>
            <w:tcW w:w="2340" w:type="dxa"/>
          </w:tcPr>
          <w:p>
            <w:pPr/>
            <w:r>
              <w:t xml:space="preserve">2b, 7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node_type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instance.server_type</w:t>
            </w:r>
          </w:p>
        </w:tc>
        <w:tc>
          <w:tcPr>
            <w:tcW w:w="2340" w:type="dxa"/>
          </w:tcPr>
          <w:p>
            <w:pPr/>
            <w:r>
              <w:t xml:space="preserve">Consumer / platform sizing</w:t>
            </w:r>
          </w:p>
        </w:tc>
        <w:tc>
          <w:tcPr>
            <w:tcW w:w="2340" w:type="dxa"/>
          </w:tcPr>
          <w:p>
            <w:pPr/>
            <w:r>
              <w:t xml:space="preserve">2b, 7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shard_count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instance.shard_count</w:t>
            </w:r>
          </w:p>
        </w:tc>
        <w:tc>
          <w:tcPr>
            <w:tcW w:w="2340" w:type="dxa"/>
          </w:tcPr>
          <w:p>
            <w:pPr/>
            <w:r>
              <w:t xml:space="preserve">Consumer / platform sizing</w:t>
            </w:r>
          </w:p>
        </w:tc>
        <w:tc>
          <w:tcPr>
            <w:tcW w:w="2340" w:type="dxa"/>
          </w:tcPr>
          <w:p>
            <w:pPr/>
            <w:r>
              <w:t xml:space="preserve">2b, 7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replica_count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instance.replica_count</w:t>
            </w:r>
          </w:p>
        </w:tc>
        <w:tc>
          <w:tcPr>
            <w:tcW w:w="2340" w:type="dxa"/>
          </w:tcPr>
          <w:p>
            <w:pPr/>
            <w:r>
              <w:t xml:space="preserve">Consumer</w:t>
            </w:r>
          </w:p>
        </w:tc>
        <w:tc>
          <w:tcPr>
            <w:tcW w:w="2340" w:type="dxa"/>
          </w:tcPr>
          <w:p>
            <w:pPr/>
            <w:r>
              <w:t xml:space="preserve">2b, 6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psc_connectivity_mode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instance.psc_connectivity_mode</w:t>
            </w:r>
          </w:p>
        </w:tc>
        <w:tc>
          <w:tcPr>
            <w:tcW w:w="2340" w:type="dxa"/>
          </w:tcPr>
          <w:p>
            <w:pPr/>
            <w:r>
              <w:t xml:space="preserve">Default SHARED_VPC</w:t>
            </w:r>
          </w:p>
        </w:tc>
        <w:tc>
          <w:tcPr>
            <w:tcW w:w="2340" w:type="dxa"/>
          </w:tcPr>
          <w:p>
            <w:pPr/>
            <w:r>
              <w:t xml:space="preserve">8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shared_vpc_host_project</w:t>
            </w:r>
            <w:r>
              <w:t xml:space="preserve">, </w:t>
            </w:r>
            <w:r>
              <w:rPr>
                <w:rStyle w:val="CodeChar"/>
              </w:rPr>
              <w:t xml:space="preserve">shared_vpc_network_name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default.json</w:t>
            </w:r>
            <w:r>
              <w:t xml:space="preserve"> per env</w:t>
            </w:r>
          </w:p>
        </w:tc>
        <w:tc>
          <w:tcPr>
            <w:tcW w:w="2340" w:type="dxa"/>
          </w:tcPr>
          <w:p>
            <w:pPr/>
            <w:r>
              <w:t xml:space="preserve">8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existing_scp_name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instance.existing_scp_name</w:t>
            </w:r>
          </w:p>
        </w:tc>
        <w:tc>
          <w:tcPr>
            <w:tcW w:w="2340" w:type="dxa"/>
          </w:tcPr>
          <w:p>
            <w:pPr/>
            <w:r>
              <w:t xml:space="preserve">Platform, rarely set</w:t>
            </w:r>
          </w:p>
        </w:tc>
        <w:tc>
          <w:tcPr>
            <w:tcW w:w="2340" w:type="dxa"/>
          </w:tcPr>
          <w:p>
            <w:pPr/>
            <w:r>
              <w:t xml:space="preserve">8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authorization_mode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Fixed IAM_AUTH</w:t>
            </w:r>
          </w:p>
        </w:tc>
        <w:tc>
          <w:tcPr>
            <w:tcW w:w="2340" w:type="dxa"/>
          </w:tcPr>
          <w:p>
            <w:pPr/>
            <w:r>
              <w:t xml:space="preserve">9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transit_encryption_mode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Fixed SERVER_AUTHENTICATION</w:t>
            </w:r>
          </w:p>
        </w:tc>
        <w:tc>
          <w:tcPr>
            <w:tcW w:w="2340" w:type="dxa"/>
          </w:tcPr>
          <w:p>
            <w:pPr/>
            <w:r>
              <w:t xml:space="preserve">9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server_ca_mode</w:t>
            </w:r>
          </w:p>
        </w:tc>
        <w:tc>
          <w:tcPr>
            <w:tcW w:w="2340" w:type="dxa"/>
          </w:tcPr>
          <w:p>
            <w:pPr/>
            <w:r>
              <w:t xml:space="preserve">(see 12d #3)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default.json</w:t>
            </w:r>
          </w:p>
        </w:tc>
        <w:tc>
          <w:tcPr>
            <w:tcW w:w="2340" w:type="dxa"/>
          </w:tcPr>
          <w:p>
            <w:pPr/>
            <w:r>
              <w:t xml:space="preserve">9b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server_ca_pool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instance.server_ca_pool</w:t>
            </w:r>
          </w:p>
        </w:tc>
        <w:tc>
          <w:tcPr>
            <w:tcW w:w="2340" w:type="dxa"/>
          </w:tcPr>
          <w:p>
            <w:pPr/>
            <w:r>
              <w:t xml:space="preserve">Consumer, CAS only</w:t>
            </w:r>
          </w:p>
        </w:tc>
        <w:tc>
          <w:tcPr>
            <w:tcW w:w="2340" w:type="dxa"/>
          </w:tcPr>
          <w:p>
            <w:pPr/>
            <w:r>
              <w:t xml:space="preserve">9b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encryption_type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instance.encryption_type</w:t>
            </w:r>
          </w:p>
        </w:tc>
        <w:tc>
          <w:tcPr>
            <w:tcW w:w="2340" w:type="dxa"/>
          </w:tcPr>
          <w:p>
            <w:pPr/>
            <w:r>
              <w:t xml:space="preserve">Consumer</w:t>
            </w:r>
          </w:p>
        </w:tc>
        <w:tc>
          <w:tcPr>
            <w:tcW w:w="2340" w:type="dxa"/>
          </w:tcPr>
          <w:p>
            <w:pPr/>
            <w:r>
              <w:t xml:space="preserve">9c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kms_key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instance.kms_key</w:t>
            </w:r>
          </w:p>
        </w:tc>
        <w:tc>
          <w:tcPr>
            <w:tcW w:w="2340" w:type="dxa"/>
          </w:tcPr>
          <w:p>
            <w:pPr/>
            <w:r>
              <w:t xml:space="preserve">Consumer, CMEK only</w:t>
            </w:r>
          </w:p>
        </w:tc>
        <w:tc>
          <w:tcPr>
            <w:tcW w:w="2340" w:type="dxa"/>
          </w:tcPr>
          <w:p>
            <w:pPr/>
            <w:r>
              <w:t xml:space="preserve">9c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persistence_mode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persistence.mode</w:t>
            </w:r>
          </w:p>
        </w:tc>
        <w:tc>
          <w:tcPr>
            <w:tcW w:w="2340" w:type="dxa"/>
          </w:tcPr>
          <w:p>
            <w:pPr/>
            <w:r>
              <w:t xml:space="preserve">Consumer</w:t>
            </w:r>
          </w:p>
        </w:tc>
        <w:tc>
          <w:tcPr>
            <w:tcW w:w="2340" w:type="dxa"/>
          </w:tcPr>
          <w:p>
            <w:pPr/>
            <w:r>
              <w:t xml:space="preserve">5, 12a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rdb_snapshot_period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persistence.rdb_config.rdb_snapshot_period</w:t>
            </w:r>
          </w:p>
        </w:tc>
        <w:tc>
          <w:tcPr>
            <w:tcW w:w="2340" w:type="dxa"/>
          </w:tcPr>
          <w:p>
            <w:pPr/>
            <w:r>
              <w:t xml:space="preserve">Consumer</w:t>
            </w:r>
          </w:p>
        </w:tc>
        <w:tc>
          <w:tcPr>
            <w:tcW w:w="2340" w:type="dxa"/>
          </w:tcPr>
          <w:p>
            <w:pPr/>
            <w:r>
              <w:t xml:space="preserve">5, 12a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rdb_snapshot_start_time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Derived (</w:t>
            </w:r>
            <w:r>
              <w:rPr>
                <w:rStyle w:val="CodeChar"/>
              </w:rPr>
              <w:t xml:space="preserve">time_static</w:t>
            </w:r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aof_config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persistence.aof_config.append_fsync</w:t>
            </w:r>
          </w:p>
        </w:tc>
        <w:tc>
          <w:tcPr>
            <w:tcW w:w="2340" w:type="dxa"/>
          </w:tcPr>
          <w:p>
            <w:pPr/>
            <w:r>
              <w:t xml:space="preserve">Consumer</w:t>
            </w:r>
          </w:p>
        </w:tc>
        <w:tc>
          <w:tcPr>
            <w:tcW w:w="2340" w:type="dxa"/>
          </w:tcPr>
          <w:p>
            <w:pPr/>
            <w:r>
              <w:t xml:space="preserve">5, 12a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automated_backup_enabled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instance.backup</w:t>
            </w:r>
          </w:p>
        </w:tc>
        <w:tc>
          <w:tcPr>
            <w:tcW w:w="2340" w:type="dxa"/>
          </w:tcPr>
          <w:p>
            <w:pPr/>
            <w:r>
              <w:t xml:space="preserve">Consumer</w:t>
            </w:r>
          </w:p>
        </w:tc>
        <w:tc>
          <w:tcPr>
            <w:tcW w:w="2340" w:type="dxa"/>
          </w:tcPr>
          <w:p>
            <w:pPr/>
            <w:r>
              <w:t xml:space="preserve">12a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automated_backup_start_time_hour</w:t>
            </w:r>
            <w:r>
              <w:t xml:space="preserve">, </w:t>
            </w:r>
            <w:r>
              <w:rPr>
                <w:rStyle w:val="CodeChar"/>
              </w:rPr>
              <w:t xml:space="preserve">automated_backup_retention_days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Module fixed (03:00 UTC, 35 days)</w:t>
            </w:r>
          </w:p>
        </w:tc>
        <w:tc>
          <w:tcPr>
            <w:tcW w:w="2340" w:type="dxa"/>
          </w:tcPr>
          <w:p>
            <w:pPr/>
            <w:r>
              <w:t xml:space="preserve">5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maintenance_day</w:t>
            </w:r>
            <w:r>
              <w:t xml:space="preserve">, </w:t>
            </w:r>
            <w:r>
              <w:rPr>
                <w:rStyle w:val="CodeChar"/>
              </w:rPr>
              <w:t xml:space="preserve">maintenance_start_hour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maintenance_window.*</w:t>
            </w:r>
          </w:p>
        </w:tc>
        <w:tc>
          <w:tcPr>
            <w:tcW w:w="2340" w:type="dxa"/>
          </w:tcPr>
          <w:p>
            <w:pPr/>
            <w:r>
              <w:t xml:space="preserve">Consumer</w:t>
            </w:r>
          </w:p>
        </w:tc>
        <w:tc>
          <w:tcPr>
            <w:tcW w:w="2340" w:type="dxa"/>
          </w:tcPr>
          <w:p>
            <w:pPr/>
            <w:r>
              <w:t xml:space="preserve">6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engine_version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instance.version</w:t>
            </w:r>
          </w:p>
        </w:tc>
        <w:tc>
          <w:tcPr>
            <w:tcW w:w="2340" w:type="dxa"/>
          </w:tcPr>
          <w:p>
            <w:pPr/>
            <w:r>
              <w:t xml:space="preserve">Consumer</w:t>
            </w:r>
          </w:p>
        </w:tc>
        <w:tc>
          <w:tcPr>
            <w:tcW w:w="2340" w:type="dxa"/>
          </w:tcPr>
          <w:p>
            <w:pPr/>
            <w:r>
              <w:t xml:space="preserve">2b, 12a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maxmemory_policy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config.maxmemory_policy</w:t>
            </w:r>
          </w:p>
        </w:tc>
        <w:tc>
          <w:tcPr>
            <w:tcW w:w="2340" w:type="dxa"/>
          </w:tcPr>
          <w:p>
            <w:pPr/>
            <w:r>
              <w:t xml:space="preserve">Consumer</w:t>
            </w:r>
          </w:p>
        </w:tc>
        <w:tc>
          <w:tcPr>
            <w:tcW w:w="2340" w:type="dxa"/>
          </w:tcPr>
          <w:p>
            <w:pPr/>
            <w:r>
              <w:t xml:space="preserve">7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notify_keyspace_events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config.notify_keyspace_events</w:t>
            </w:r>
          </w:p>
        </w:tc>
        <w:tc>
          <w:tcPr>
            <w:tcW w:w="2340" w:type="dxa"/>
          </w:tcPr>
          <w:p>
            <w:pPr/>
            <w:r>
              <w:t xml:space="preserve">Consumer</w:t>
            </w:r>
          </w:p>
        </w:tc>
        <w:tc>
          <w:tcPr>
            <w:tcW w:w="2340" w:type="dxa"/>
          </w:tcPr>
          <w:p>
            <w:pPr/>
            <w:r>
              <w:t xml:space="preserve">10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maxmemory_clients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config.maxmemory_clients</w:t>
            </w:r>
          </w:p>
        </w:tc>
        <w:tc>
          <w:tcPr>
            <w:tcW w:w="2340" w:type="dxa"/>
          </w:tcPr>
          <w:p>
            <w:pPr/>
            <w:r>
              <w:t xml:space="preserve">Consumer</w:t>
            </w:r>
          </w:p>
        </w:tc>
        <w:tc>
          <w:tcPr>
            <w:tcW w:w="2340" w:type="dxa"/>
          </w:tcPr>
          <w:p>
            <w:pPr/>
            <w:r>
              <w:t xml:space="preserve">12a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slowlog_log_slower_than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config.slowlog_log_slower_than</w:t>
            </w:r>
          </w:p>
        </w:tc>
        <w:tc>
          <w:tcPr>
            <w:tcW w:w="2340" w:type="dxa"/>
          </w:tcPr>
          <w:p>
            <w:pPr/>
            <w:r>
              <w:t xml:space="preserve">Consumer</w:t>
            </w:r>
          </w:p>
        </w:tc>
        <w:tc>
          <w:tcPr>
            <w:tcW w:w="2340" w:type="dxa"/>
          </w:tcPr>
          <w:p>
            <w:pPr/>
            <w:r>
              <w:t xml:space="preserve">12a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maxclients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config.maxclients</w:t>
            </w:r>
          </w:p>
        </w:tc>
        <w:tc>
          <w:tcPr>
            <w:tcW w:w="2340" w:type="dxa"/>
          </w:tcPr>
          <w:p>
            <w:pPr/>
            <w:r>
              <w:t xml:space="preserve">Consumer</w:t>
            </w:r>
          </w:p>
        </w:tc>
        <w:tc>
          <w:tcPr>
            <w:tcW w:w="2340" w:type="dxa"/>
          </w:tcPr>
          <w:p>
            <w:pPr/>
            <w:r>
              <w:t xml:space="preserve">7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deletion_protection_enabled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instance.deletion_protection_enabled</w:t>
            </w:r>
          </w:p>
        </w:tc>
        <w:tc>
          <w:tcPr>
            <w:tcW w:w="2340" w:type="dxa"/>
          </w:tcPr>
          <w:p>
            <w:pPr/>
            <w:r>
              <w:t xml:space="preserve">Consumer</w:t>
            </w:r>
          </w:p>
        </w:tc>
        <w:tc>
          <w:tcPr>
            <w:tcW w:w="2340" w:type="dxa"/>
          </w:tcPr>
          <w:p>
            <w:pPr/>
            <w:r>
              <w:t xml:space="preserve">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alerts: </w:t>
            </w:r>
            <w:r>
              <w:rPr>
                <w:rStyle w:val="CodeChar"/>
              </w:rPr>
              <w:t xml:space="preserve">enable_alerting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instance.enable_alerting</w:t>
            </w:r>
          </w:p>
        </w:tc>
        <w:tc>
          <w:tcPr>
            <w:tcW w:w="2340" w:type="dxa"/>
          </w:tcPr>
          <w:p>
            <w:pPr/>
            <w:r>
              <w:t xml:space="preserve">Consumer</w:t>
            </w:r>
          </w:p>
        </w:tc>
        <w:tc>
          <w:tcPr>
            <w:tcW w:w="2340" w:type="dxa"/>
          </w:tcPr>
          <w:p>
            <w:pPr/>
            <w:r>
              <w:t xml:space="preserve">12b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alerts: </w:t>
            </w:r>
            <w:r>
              <w:rPr>
                <w:rStyle w:val="CodeChar"/>
              </w:rPr>
              <w:t xml:space="preserve">appteam_emails</w:t>
            </w:r>
            <w:r>
              <w:t xml:space="preserve">, </w:t>
            </w:r>
            <w:r>
              <w:rPr>
                <w:rStyle w:val="CodeChar"/>
              </w:rPr>
              <w:t xml:space="preserve">platformteam_emails</w:t>
            </w:r>
          </w:p>
        </w:tc>
        <w:tc>
          <w:tcPr>
            <w:tcW w:w="2340" w:type="dxa"/>
          </w:tcPr>
          <w:p>
            <w:pPr/>
            <w:r>
              <w:t xml:space="preserve">same</w:t>
            </w:r>
          </w:p>
        </w:tc>
        <w:tc>
          <w:tcPr>
            <w:tcW w:w="2340" w:type="dxa"/>
          </w:tcPr>
          <w:p>
            <w:pPr/>
            <w:r>
              <w:t xml:space="preserve">Consumer / </w:t>
            </w:r>
            <w:r>
              <w:rPr>
                <w:rStyle w:val="CodeChar"/>
              </w:rPr>
              <w:t xml:space="preserve">default.json</w:t>
            </w:r>
          </w:p>
        </w:tc>
        <w:tc>
          <w:tcPr>
            <w:tcW w:w="2340" w:type="dxa"/>
          </w:tcPr>
          <w:p>
            <w:pPr/>
            <w:r>
              <w:t xml:space="preserve">3, 12b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alerts: </w:t>
            </w:r>
            <w:r>
              <w:rPr>
                <w:rStyle w:val="CodeChar"/>
              </w:rPr>
              <w:t xml:space="preserve">enable_replication_lag_alert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Derived (</w:t>
            </w:r>
            <w:r>
              <w:rPr>
                <w:rStyle w:val="CodeChar"/>
              </w:rPr>
              <w:t xml:space="preserve">replica_count &gt; 0</w:t>
            </w:r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</w:tbl>
    <w:p>
      <w:pPr/>
      <w:r>
        <w:t xml:space="preserve">Items in your original list that have no Terraform field (business owner, tech support, ADO group, tier, RTO, RPO, dataset size, growth, connections, client language, connection model, Azure/on-prem reachability) are still needed. They drive sizing, topology, IAM and network decisions and belong in the CMDB/ADO record.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Memorystore for Valkey – Consumer Intake &amp; Onboarding Requirements</dc:title>
  <dc:description>Claude Docs node/7a1135c0-4acb@9 docx-w6</dc:description>
  <cp:revision>9</cp:revision>
</cp:coreProperties>
</file>