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Roboto" w:cs="Roboto" w:eastAsia="Roboto" w:hAnsi="Roboto"/>
          <w:color w:val="4a86e8"/>
        </w:rPr>
      </w:pPr>
      <w:bookmarkStart w:colFirst="0" w:colLast="0" w:name="_uwtpzkmp9874" w:id="0"/>
      <w:bookmarkEnd w:id="0"/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Hello valued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38"/>
          <w:szCs w:val="38"/>
        </w:rPr>
      </w:pPr>
      <w:bookmarkStart w:colFirst="0" w:colLast="0" w:name="_t48vj9f6fmak" w:id="1"/>
      <w:bookmarkEnd w:id="1"/>
      <w:r w:rsidDel="00000000" w:rsidR="00000000" w:rsidRPr="00000000">
        <w:rPr>
          <w:rFonts w:ascii="Roboto" w:cs="Roboto" w:eastAsia="Roboto" w:hAnsi="Roboto"/>
          <w:sz w:val="38"/>
          <w:szCs w:val="38"/>
          <w:rtl w:val="0"/>
        </w:rPr>
        <w:t xml:space="preserve">Here’s the content you were looking for. Thanks for reaching out.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receive this email because you filled a survey for XXXXXXXXXXX  at {{TIME}}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Your 15% discount voucher:       {{VOUCHER}}</w:t>
      </w:r>
    </w:p>
    <w:p w:rsidR="00000000" w:rsidDel="00000000" w:rsidP="00000000" w:rsidRDefault="00000000" w:rsidRPr="00000000" w14:paraId="00000005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You can use this voucher till {{EXPIRATION}}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You are entered into the raffle for “a breakfast for two”</w:t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footerReference r:id="rId9" w:type="default"/>
      <w:pgSz w:h="15840" w:w="12240" w:orient="portrait"/>
      <w:pgMar w:bottom="1008" w:top="1008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Yanone Kaffeesatz">
    <w:embedRegular w:fontKey="{00000000-0000-0000-0000-000000000000}" r:id="rId5" w:subsetted="0"/>
    <w:embedBold w:fontKey="{00000000-0000-0000-0000-000000000000}" r:id="rId6" w:subsetted="0"/>
  </w:font>
  <w:font w:name="Source Sans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440" w:right="-1005" w:firstLine="0"/>
      <w:rPr>
        <w:sz w:val="14"/>
        <w:szCs w:val="14"/>
      </w:rPr>
    </w:pPr>
    <w:r w:rsidDel="00000000" w:rsidR="00000000" w:rsidRPr="00000000">
      <w:rPr>
        <w:rtl w:val="0"/>
      </w:rPr>
    </w:r>
  </w:p>
  <w:tbl>
    <w:tblPr>
      <w:tblStyle w:val="Table1"/>
      <w:tblW w:w="12225.0" w:type="dxa"/>
      <w:jc w:val="left"/>
      <w:tblInd w:w="-1440.0" w:type="dxa"/>
      <w:tblBorders>
        <w:top w:color="5e2b97" w:space="0" w:sz="8" w:val="single"/>
        <w:left w:color="5e2b97" w:space="0" w:sz="8" w:val="single"/>
        <w:bottom w:color="5e2b97" w:space="0" w:sz="8" w:val="single"/>
        <w:right w:color="5e2b97" w:space="0" w:sz="8" w:val="single"/>
        <w:insideH w:color="5e2b97" w:space="0" w:sz="8" w:val="single"/>
        <w:insideV w:color="5e2b97" w:space="0" w:sz="8" w:val="single"/>
      </w:tblBorders>
      <w:tblLayout w:type="fixed"/>
      <w:tblLook w:val="0600"/>
    </w:tblPr>
    <w:tblGrid>
      <w:gridCol w:w="12225"/>
      <w:tblGridChange w:id="0">
        <w:tblGrid>
          <w:gridCol w:w="12225"/>
        </w:tblGrid>
      </w:tblGridChange>
    </w:tblGrid>
    <w:tr>
      <w:trPr>
        <w:cantSplit w:val="0"/>
        <w:trHeight w:val="660" w:hRule="atLeast"/>
        <w:tblHeader w:val="0"/>
      </w:trPr>
      <w:tc>
        <w:tcPr>
          <w:shd w:fill="5e2b97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5" w:right="0" w:firstLine="0"/>
            <w:jc w:val="center"/>
            <w:rPr>
              <w:color w:val="ffffff"/>
              <w:sz w:val="28"/>
              <w:szCs w:val="28"/>
            </w:rPr>
          </w:pPr>
          <w:r w:rsidDel="00000000" w:rsidR="00000000" w:rsidRPr="00000000">
            <w:rPr>
              <w:color w:val="ffffff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0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440" w:right="-1005" w:firstLine="0"/>
      <w:rPr>
        <w:sz w:val="12"/>
        <w:szCs w:val="12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-1440" w:right="-1005" w:firstLine="0"/>
      <w:rPr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2"/>
      <w:tblW w:w="12225.0" w:type="dxa"/>
      <w:jc w:val="left"/>
      <w:tblInd w:w="-1440.0" w:type="dxa"/>
      <w:tblBorders>
        <w:top w:color="5e2b97" w:space="0" w:sz="8" w:val="single"/>
        <w:left w:color="5e2b97" w:space="0" w:sz="8" w:val="single"/>
        <w:bottom w:color="5e2b97" w:space="0" w:sz="8" w:val="single"/>
        <w:right w:color="5e2b97" w:space="0" w:sz="8" w:val="single"/>
        <w:insideH w:color="5e2b97" w:space="0" w:sz="8" w:val="single"/>
        <w:insideV w:color="5e2b97" w:space="0" w:sz="8" w:val="single"/>
      </w:tblBorders>
      <w:tblLayout w:type="fixed"/>
      <w:tblLook w:val="0600"/>
    </w:tblPr>
    <w:tblGrid>
      <w:gridCol w:w="12225"/>
      <w:tblGridChange w:id="0">
        <w:tblGrid>
          <w:gridCol w:w="12225"/>
        </w:tblGrid>
      </w:tblGridChange>
    </w:tblGrid>
    <w:tr>
      <w:trPr>
        <w:cantSplit w:val="0"/>
        <w:trHeight w:val="660" w:hRule="atLeast"/>
        <w:tblHeader w:val="0"/>
      </w:trPr>
      <w:tc>
        <w:tcPr>
          <w:shd w:fill="5e2b97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1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0" w:lineRule="auto"/>
            <w:ind w:left="75" w:firstLine="0"/>
            <w:jc w:val="center"/>
            <w:rPr>
              <w:color w:val="ffffff"/>
            </w:rPr>
          </w:pPr>
          <w:r w:rsidDel="00000000" w:rsidR="00000000" w:rsidRPr="00000000">
            <w:rPr>
              <w:color w:val="ffffff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-1440" w:right="-1005" w:firstLine="0"/>
      <w:rPr>
        <w:sz w:val="12"/>
        <w:szCs w:val="1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color w:val="666666"/>
        <w:sz w:val="22"/>
        <w:szCs w:val="22"/>
        <w:lang w:val="en"/>
      </w:rPr>
    </w:rPrDefault>
    <w:pPrDefault>
      <w:pPr>
        <w:spacing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40" w:lineRule="auto"/>
      <w:ind w:left="-15" w:right="-15" w:firstLine="0"/>
    </w:pPr>
    <w:rPr>
      <w:rFonts w:ascii="Yanone Kaffeesatz" w:cs="Yanone Kaffeesatz" w:eastAsia="Yanone Kaffeesatz" w:hAnsi="Yanone Kaffeesatz"/>
      <w:color w:val="434343"/>
      <w:sz w:val="84"/>
      <w:szCs w:val="84"/>
    </w:rPr>
  </w:style>
  <w:style w:type="paragraph" w:styleId="Heading2">
    <w:name w:val="heading 2"/>
    <w:basedOn w:val="Normal"/>
    <w:next w:val="Normal"/>
    <w:pPr>
      <w:pageBreakBefore w:val="0"/>
      <w:spacing w:before="480" w:lineRule="auto"/>
    </w:pPr>
    <w:rPr>
      <w:b w:val="1"/>
      <w:color w:val="434343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widowControl w:val="0"/>
      <w:spacing w:line="240" w:lineRule="auto"/>
    </w:pPr>
    <w:rPr>
      <w:rFonts w:ascii="Source Sans Pro" w:cs="Source Sans Pro" w:eastAsia="Source Sans Pro" w:hAnsi="Source Sans Pro"/>
      <w:color w:val="b7b7b7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line="240" w:lineRule="auto"/>
      <w:ind w:left="-15" w:right="-15" w:firstLine="0"/>
    </w:pPr>
    <w:rPr>
      <w:color w:val="ec7b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-15" w:right="-15" w:firstLine="0"/>
    </w:pPr>
    <w:rPr>
      <w:rFonts w:ascii="Yanone Kaffeesatz" w:cs="Yanone Kaffeesatz" w:eastAsia="Yanone Kaffeesatz" w:hAnsi="Yanone Kaffeesatz"/>
      <w:color w:val="5e2b97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  <w:ind w:left="-15" w:right="-15" w:firstLine="0"/>
    </w:pPr>
    <w:rPr>
      <w:color w:val="ec7b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YanoneKaffeesatz-regular.ttf"/><Relationship Id="rId6" Type="http://schemas.openxmlformats.org/officeDocument/2006/relationships/font" Target="fonts/YanoneKaffeesatz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