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A73868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t>INSTITUTO FEDERAL DE EDUCAÇÃO, CIÊNCIA E TECNOLOGIA DO AMAZONAS</w:t>
      </w:r>
    </w:p>
    <w:p w14:paraId="2D2BC5E6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t>CAMPUS MANAUS ZONA LESTE</w:t>
      </w:r>
    </w:p>
    <w:p w14:paraId="0353D369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t>BACHARELADO EM ENGENHARIA DE SOFTWARE</w:t>
      </w:r>
    </w:p>
    <w:p w14:paraId="41E2283B" w14:textId="77777777" w:rsidR="00E62C65" w:rsidRDefault="00E62C65"/>
    <w:p w14:paraId="1C2E250C" w14:textId="77777777" w:rsidR="00E62C65" w:rsidRDefault="00E62C65"/>
    <w:p w14:paraId="314FFE06" w14:textId="77777777" w:rsidR="00E62C65" w:rsidRDefault="00E62C65"/>
    <w:p w14:paraId="64D0FCA7" w14:textId="77777777" w:rsidR="00E62C65" w:rsidRDefault="00E62C65"/>
    <w:p w14:paraId="40796FA7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t>ANTÔNIO HÁRLITON MARTINS DE SOUZA</w:t>
      </w:r>
    </w:p>
    <w:p w14:paraId="0DBD4378" w14:textId="77777777" w:rsidR="00E62C65" w:rsidRDefault="00E62C65"/>
    <w:p w14:paraId="30D2185A" w14:textId="77777777" w:rsidR="00E62C65" w:rsidRDefault="00E62C65"/>
    <w:p w14:paraId="06FD12A9" w14:textId="77777777" w:rsidR="00E62C65" w:rsidRDefault="00E62C65"/>
    <w:p w14:paraId="35C18854" w14:textId="77777777" w:rsidR="00E62C65" w:rsidRDefault="00E62C65"/>
    <w:p w14:paraId="5C97DB6D" w14:textId="77777777" w:rsidR="00E62C65" w:rsidRDefault="00474360">
      <w:pPr>
        <w:spacing w:after="0"/>
        <w:jc w:val="center"/>
      </w:pPr>
      <w:r>
        <w:rPr>
          <w:rFonts w:eastAsia="Times New Roman"/>
          <w:b/>
          <w:sz w:val="28"/>
        </w:rPr>
        <w:t xml:space="preserve">Estimativa da propensão à descontinuidade do acompanhamento pré-natal a partir dos </w:t>
      </w:r>
      <w:r>
        <w:rPr>
          <w:rFonts w:eastAsia="Times New Roman"/>
          <w:b/>
          <w:sz w:val="28"/>
        </w:rPr>
        <w:t>Determinantes Sociais da Saúde: uma abordagem com aprendizado de máquina e um índice de vulnerabilidade</w:t>
      </w:r>
    </w:p>
    <w:p w14:paraId="48C9C76E" w14:textId="77777777" w:rsidR="00E62C65" w:rsidRDefault="00E62C65"/>
    <w:p w14:paraId="7FF490D6" w14:textId="77777777" w:rsidR="00E62C65" w:rsidRDefault="00E62C65"/>
    <w:p w14:paraId="646565B0" w14:textId="77777777" w:rsidR="00E62C65" w:rsidRDefault="00E62C65"/>
    <w:p w14:paraId="20FB0C32" w14:textId="77777777" w:rsidR="00E62C65" w:rsidRDefault="00E62C65"/>
    <w:p w14:paraId="5A0FAC49" w14:textId="77777777" w:rsidR="00E62C65" w:rsidRDefault="00E62C65"/>
    <w:p w14:paraId="2651495C" w14:textId="77777777" w:rsidR="00E62C65" w:rsidRDefault="00E62C65"/>
    <w:p w14:paraId="177803EC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t>MANAUS – AM</w:t>
      </w:r>
    </w:p>
    <w:p w14:paraId="723B42BB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t>2026</w:t>
      </w:r>
    </w:p>
    <w:p w14:paraId="667C0381" w14:textId="77777777" w:rsidR="00E62C65" w:rsidRDefault="00474360">
      <w:r>
        <w:br w:type="page"/>
      </w:r>
    </w:p>
    <w:p w14:paraId="3E9F6A91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lastRenderedPageBreak/>
        <w:t>ANTÔNIO HÁRLITON MARTINS DE SOUZA</w:t>
      </w:r>
    </w:p>
    <w:p w14:paraId="04C81C70" w14:textId="77777777" w:rsidR="00E62C65" w:rsidRDefault="00E62C65"/>
    <w:p w14:paraId="0BF7AD69" w14:textId="77777777" w:rsidR="00E62C65" w:rsidRDefault="00E62C65"/>
    <w:p w14:paraId="37C45BE1" w14:textId="77777777" w:rsidR="00E62C65" w:rsidRDefault="00E62C65"/>
    <w:p w14:paraId="03058C33" w14:textId="77777777" w:rsidR="00E62C65" w:rsidRDefault="00E62C65"/>
    <w:p w14:paraId="06E0429E" w14:textId="77777777" w:rsidR="00E62C65" w:rsidRDefault="00474360">
      <w:pPr>
        <w:spacing w:after="0"/>
        <w:jc w:val="center"/>
      </w:pPr>
      <w:r>
        <w:rPr>
          <w:rFonts w:eastAsia="Times New Roman"/>
          <w:b/>
          <w:sz w:val="28"/>
        </w:rPr>
        <w:t>Estimativa da propensão à descontinuidade do acompanhamento pré-natal a partir dos Determinantes Sociais da Saúde: uma abordagem com aprendizado de máquina e um índice de vulnerabilidade</w:t>
      </w:r>
    </w:p>
    <w:p w14:paraId="646862D1" w14:textId="77777777" w:rsidR="00E62C65" w:rsidRDefault="00E62C65"/>
    <w:p w14:paraId="13A3DE56" w14:textId="77777777" w:rsidR="00E62C65" w:rsidRDefault="00E62C65"/>
    <w:p w14:paraId="10953B73" w14:textId="77777777" w:rsidR="00E62C65" w:rsidRDefault="00E62C65"/>
    <w:p w14:paraId="481652B7" w14:textId="77777777" w:rsidR="00E62C65" w:rsidRDefault="00474360">
      <w:pPr>
        <w:spacing w:line="240" w:lineRule="auto"/>
        <w:ind w:left="4535"/>
        <w:jc w:val="both"/>
      </w:pPr>
      <w:r>
        <w:rPr>
          <w:rFonts w:eastAsia="Times New Roman"/>
        </w:rPr>
        <w:t xml:space="preserve">Trabalho de Conclusão de Curso apresentado ao Curso de Bacharelado em Engenharia de Software do Instituto Federal de Educação, Ciência e </w:t>
      </w:r>
      <w:r>
        <w:rPr>
          <w:rFonts w:eastAsia="Times New Roman"/>
        </w:rPr>
        <w:t>Tecnologia do Amazonas – Campus Manaus Zona Leste, como requisito parcial para obtenção do título de Bacharel em Engenharia de Software.</w:t>
      </w:r>
    </w:p>
    <w:p w14:paraId="1B700934" w14:textId="77777777" w:rsidR="00E62C65" w:rsidRDefault="00474360">
      <w:pPr>
        <w:spacing w:line="240" w:lineRule="auto"/>
        <w:ind w:left="4535"/>
      </w:pPr>
      <w:r>
        <w:rPr>
          <w:rFonts w:eastAsia="Times New Roman"/>
        </w:rPr>
        <w:t>Orientador: Prof. Mestre Benevaldo Pereira Gonçalves.</w:t>
      </w:r>
    </w:p>
    <w:p w14:paraId="341DD7BF" w14:textId="77777777" w:rsidR="00E62C65" w:rsidRDefault="00E62C65"/>
    <w:p w14:paraId="77EA9BA4" w14:textId="77777777" w:rsidR="00E62C65" w:rsidRDefault="00E62C65"/>
    <w:p w14:paraId="7E61D9EF" w14:textId="77777777" w:rsidR="00E62C65" w:rsidRDefault="00E62C65"/>
    <w:p w14:paraId="0AF2B3AB" w14:textId="77777777" w:rsidR="00E62C65" w:rsidRDefault="00E62C65"/>
    <w:p w14:paraId="1BE354C1" w14:textId="77777777" w:rsidR="00E62C65" w:rsidRDefault="00E62C65"/>
    <w:p w14:paraId="7B373B57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t>MANAUS – AM</w:t>
      </w:r>
    </w:p>
    <w:p w14:paraId="10EC6089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t>2026</w:t>
      </w:r>
    </w:p>
    <w:p w14:paraId="574018D9" w14:textId="77777777" w:rsidR="00E62C65" w:rsidRDefault="00474360">
      <w:r>
        <w:br w:type="page"/>
      </w:r>
    </w:p>
    <w:p w14:paraId="510615B2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lastRenderedPageBreak/>
        <w:t>FOLHA DE APROVAÇÃO</w:t>
      </w:r>
    </w:p>
    <w:p w14:paraId="717B37D6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>ANTÔNIO HÁRLITON MARTINS DE SOUZA</w:t>
      </w:r>
    </w:p>
    <w:p w14:paraId="1F19F558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>Estimativa da propensão à descontinuidade do acompanhamento pré-natal a partir dos Determinantes Sociais da Saúde: uma abordagem com aprendizado de máquina e um índice de vulnerabilidade</w:t>
      </w:r>
    </w:p>
    <w:p w14:paraId="41E5FA53" w14:textId="77777777" w:rsidR="00E62C65" w:rsidRDefault="00474360">
      <w:pPr>
        <w:pStyle w:val="EditorialStatus"/>
      </w:pPr>
      <w:r>
        <w:rPr>
          <w:rFonts w:eastAsia="Times New Roman"/>
        </w:rPr>
        <w:t>CONTROLE EDITORIAL — substituir esta página pela folha de aprovação oficial após a defesa, com data e composição da banca.</w:t>
      </w:r>
    </w:p>
    <w:p w14:paraId="2EC11553" w14:textId="77777777" w:rsidR="00E62C65" w:rsidRDefault="00474360">
      <w:r>
        <w:br w:type="page"/>
      </w:r>
    </w:p>
    <w:p w14:paraId="405BDC75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lastRenderedPageBreak/>
        <w:t>RESUMO</w:t>
      </w:r>
    </w:p>
    <w:p w14:paraId="1F253D09" w14:textId="77777777" w:rsidR="00E62C65" w:rsidRDefault="00474360">
      <w:pPr>
        <w:pStyle w:val="EditorialStatus"/>
      </w:pPr>
      <w:r>
        <w:rPr>
          <w:rFonts w:eastAsia="Times New Roman"/>
        </w:rPr>
        <w:t>CONTROLE EDITORIAL — resumo a redigir após a consolidação dos capítulos 2–6 e da versão final da API do acompanhamento pré-natal.</w:t>
      </w:r>
    </w:p>
    <w:p w14:paraId="72A35583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>Palavras-chave: pré-natal; determinantes sociais da saúde; aprendizado de máquina; dados sintéticos; saúde digital.</w:t>
      </w:r>
    </w:p>
    <w:p w14:paraId="7F147B39" w14:textId="77777777" w:rsidR="00E62C65" w:rsidRDefault="00474360">
      <w:r>
        <w:br w:type="page"/>
      </w:r>
    </w:p>
    <w:p w14:paraId="4FC824A1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lastRenderedPageBreak/>
        <w:t>ABSTRACT</w:t>
      </w:r>
    </w:p>
    <w:p w14:paraId="4C32161F" w14:textId="77777777" w:rsidR="00E62C65" w:rsidRDefault="00474360">
      <w:pPr>
        <w:pStyle w:val="EditorialStatus"/>
      </w:pPr>
      <w:r>
        <w:rPr>
          <w:rFonts w:eastAsia="Times New Roman"/>
        </w:rPr>
        <w:t>EDITORIAL CONTROL — abstract to be written after consolidation of the full manuscript.</w:t>
      </w:r>
    </w:p>
    <w:p w14:paraId="388770BD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>Keywords: prenatal care; social determinants of health; machine learning; synthetic data; digital health.</w:t>
      </w:r>
    </w:p>
    <w:p w14:paraId="3EFCD575" w14:textId="77777777" w:rsidR="00E62C65" w:rsidRDefault="00474360">
      <w:r>
        <w:br w:type="page"/>
      </w:r>
    </w:p>
    <w:p w14:paraId="0495B855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lastRenderedPageBreak/>
        <w:t>LISTA DE TABELAS</w:t>
      </w:r>
    </w:p>
    <w:p w14:paraId="7ECD4BA6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>Tabela 1 – Comparação dos modelos na validação cruzada</w:t>
      </w:r>
    </w:p>
    <w:p w14:paraId="24DC170B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>Tabela 2 – Desempenho do modelo selecionado no conjunto hold-out</w:t>
      </w:r>
    </w:p>
    <w:p w14:paraId="2A6CBEAA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>Tabela 3 – Matriz de confusão no limiar de referência 0,5</w:t>
      </w:r>
    </w:p>
    <w:p w14:paraId="28DB460B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 xml:space="preserve">Tabela 4 – Cobertura do IV-DSS no </w:t>
      </w:r>
      <w:r>
        <w:rPr>
          <w:rFonts w:eastAsia="Times New Roman"/>
        </w:rPr>
        <w:t>dataset sintético</w:t>
      </w:r>
    </w:p>
    <w:p w14:paraId="7F1AD601" w14:textId="77777777" w:rsidR="00E62C65" w:rsidRDefault="00474360">
      <w:pPr>
        <w:jc w:val="center"/>
      </w:pPr>
      <w:r>
        <w:rPr>
          <w:b/>
          <w:szCs w:val="24"/>
        </w:rPr>
        <w:t>LISTA DE QUADROS</w:t>
      </w:r>
    </w:p>
    <w:p w14:paraId="4390E58A" w14:textId="77777777" w:rsidR="00E62C65" w:rsidRDefault="00474360">
      <w:pPr>
        <w:jc w:val="both"/>
      </w:pPr>
      <w:r>
        <w:rPr>
          <w:szCs w:val="24"/>
        </w:rPr>
        <w:t>Quadro 1 – Classificação consolidada das 48 variáveis do questionário</w:t>
      </w:r>
    </w:p>
    <w:p w14:paraId="28C2BEAB" w14:textId="77777777" w:rsidR="00E62C65" w:rsidRDefault="00474360">
      <w:pPr>
        <w:jc w:val="both"/>
      </w:pPr>
      <w:r>
        <w:rPr>
          <w:szCs w:val="24"/>
        </w:rPr>
        <w:t>Quadro 2 – Componentes tecnológicos da infraestrutura de persistência do backend</w:t>
      </w:r>
    </w:p>
    <w:p w14:paraId="5219704D" w14:textId="77777777" w:rsidR="00E62C65" w:rsidRDefault="00474360">
      <w:r>
        <w:br w:type="page"/>
      </w:r>
    </w:p>
    <w:p w14:paraId="34F60D12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lastRenderedPageBreak/>
        <w:t>LISTA DE ABREVIATURAS E SIGLAS</w:t>
      </w:r>
    </w:p>
    <w:tbl>
      <w:tblPr>
        <w:tblStyle w:val="Tabelacomgrade"/>
        <w:tblW w:w="9070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4"/>
      </w:tblGrid>
      <w:tr w:rsidR="00E62C65" w14:paraId="0A11EC6B" w14:textId="77777777">
        <w:trPr>
          <w:tblHeader/>
          <w:jc w:val="center"/>
        </w:trPr>
        <w:tc>
          <w:tcPr>
            <w:tcW w:w="4535" w:type="dxa"/>
          </w:tcPr>
          <w:p w14:paraId="5E602FDF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API</w:t>
            </w:r>
          </w:p>
        </w:tc>
        <w:tc>
          <w:tcPr>
            <w:tcW w:w="4534" w:type="dxa"/>
          </w:tcPr>
          <w:p w14:paraId="2B197107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Application Programming Interface</w:t>
            </w:r>
          </w:p>
        </w:tc>
      </w:tr>
      <w:tr w:rsidR="00E62C65" w14:paraId="0DB869A9" w14:textId="77777777">
        <w:trPr>
          <w:jc w:val="center"/>
        </w:trPr>
        <w:tc>
          <w:tcPr>
            <w:tcW w:w="4535" w:type="dxa"/>
          </w:tcPr>
          <w:p w14:paraId="6CA7744C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CRUD</w:t>
            </w:r>
          </w:p>
        </w:tc>
        <w:tc>
          <w:tcPr>
            <w:tcW w:w="4534" w:type="dxa"/>
          </w:tcPr>
          <w:p w14:paraId="6F2586FC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Create, Read, Update, Delete</w:t>
            </w:r>
          </w:p>
        </w:tc>
      </w:tr>
      <w:tr w:rsidR="00E62C65" w14:paraId="7EFA087D" w14:textId="77777777">
        <w:trPr>
          <w:jc w:val="center"/>
        </w:trPr>
        <w:tc>
          <w:tcPr>
            <w:tcW w:w="4535" w:type="dxa"/>
          </w:tcPr>
          <w:p w14:paraId="76BA3276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CV</w:t>
            </w:r>
          </w:p>
        </w:tc>
        <w:tc>
          <w:tcPr>
            <w:tcW w:w="4534" w:type="dxa"/>
          </w:tcPr>
          <w:p w14:paraId="602ED04D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Validação cruzada (cross-validation)</w:t>
            </w:r>
          </w:p>
        </w:tc>
      </w:tr>
      <w:tr w:rsidR="00E62C65" w14:paraId="5A45B65E" w14:textId="77777777">
        <w:trPr>
          <w:jc w:val="center"/>
        </w:trPr>
        <w:tc>
          <w:tcPr>
            <w:tcW w:w="4535" w:type="dxa"/>
          </w:tcPr>
          <w:p w14:paraId="5924A08A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DGM</w:t>
            </w:r>
          </w:p>
        </w:tc>
        <w:tc>
          <w:tcPr>
            <w:tcW w:w="4534" w:type="dxa"/>
          </w:tcPr>
          <w:p w14:paraId="6D2FB528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Data Generation Model</w:t>
            </w:r>
          </w:p>
        </w:tc>
      </w:tr>
      <w:tr w:rsidR="00E62C65" w14:paraId="2F9284B5" w14:textId="77777777">
        <w:trPr>
          <w:jc w:val="center"/>
        </w:trPr>
        <w:tc>
          <w:tcPr>
            <w:tcW w:w="4535" w:type="dxa"/>
          </w:tcPr>
          <w:p w14:paraId="3F721149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DPP</w:t>
            </w:r>
          </w:p>
        </w:tc>
        <w:tc>
          <w:tcPr>
            <w:tcW w:w="4534" w:type="dxa"/>
          </w:tcPr>
          <w:p w14:paraId="160DEEE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Data provável do parto</w:t>
            </w:r>
          </w:p>
        </w:tc>
      </w:tr>
      <w:tr w:rsidR="00E62C65" w14:paraId="0CC2341D" w14:textId="77777777">
        <w:trPr>
          <w:jc w:val="center"/>
        </w:trPr>
        <w:tc>
          <w:tcPr>
            <w:tcW w:w="4535" w:type="dxa"/>
          </w:tcPr>
          <w:p w14:paraId="22F9F277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DSS</w:t>
            </w:r>
          </w:p>
        </w:tc>
        <w:tc>
          <w:tcPr>
            <w:tcW w:w="4534" w:type="dxa"/>
          </w:tcPr>
          <w:p w14:paraId="69D7897B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Determinantes Sociais da Saúde</w:t>
            </w:r>
          </w:p>
        </w:tc>
      </w:tr>
      <w:tr w:rsidR="00E62C65" w14:paraId="407F87A4" w14:textId="77777777">
        <w:trPr>
          <w:jc w:val="center"/>
        </w:trPr>
        <w:tc>
          <w:tcPr>
            <w:tcW w:w="4535" w:type="dxa"/>
          </w:tcPr>
          <w:p w14:paraId="1155FCC0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EBIA</w:t>
            </w:r>
          </w:p>
        </w:tc>
        <w:tc>
          <w:tcPr>
            <w:tcW w:w="4534" w:type="dxa"/>
          </w:tcPr>
          <w:p w14:paraId="2ACE1EC7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Escala Brasileira de Insegurança Alimentar</w:t>
            </w:r>
          </w:p>
        </w:tc>
      </w:tr>
      <w:tr w:rsidR="00E62C65" w14:paraId="7F1FC9F3" w14:textId="77777777">
        <w:trPr>
          <w:jc w:val="center"/>
        </w:trPr>
        <w:tc>
          <w:tcPr>
            <w:tcW w:w="4535" w:type="dxa"/>
          </w:tcPr>
          <w:p w14:paraId="77838620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FIES</w:t>
            </w:r>
          </w:p>
        </w:tc>
        <w:tc>
          <w:tcPr>
            <w:tcW w:w="4534" w:type="dxa"/>
          </w:tcPr>
          <w:p w14:paraId="0BBD7AE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Food Insecurity Experience Scale</w:t>
            </w:r>
          </w:p>
        </w:tc>
      </w:tr>
      <w:tr w:rsidR="00E62C65" w14:paraId="56A12825" w14:textId="77777777">
        <w:trPr>
          <w:jc w:val="center"/>
        </w:trPr>
        <w:tc>
          <w:tcPr>
            <w:tcW w:w="4535" w:type="dxa"/>
          </w:tcPr>
          <w:p w14:paraId="019362AC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IG</w:t>
            </w:r>
          </w:p>
        </w:tc>
        <w:tc>
          <w:tcPr>
            <w:tcW w:w="4534" w:type="dxa"/>
          </w:tcPr>
          <w:p w14:paraId="0E3D0979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Idade gestacional</w:t>
            </w:r>
          </w:p>
        </w:tc>
      </w:tr>
      <w:tr w:rsidR="00E62C65" w14:paraId="5C3DBB06" w14:textId="77777777">
        <w:trPr>
          <w:jc w:val="center"/>
        </w:trPr>
        <w:tc>
          <w:tcPr>
            <w:tcW w:w="4535" w:type="dxa"/>
          </w:tcPr>
          <w:p w14:paraId="7F8DF9D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IV-DSS</w:t>
            </w:r>
          </w:p>
        </w:tc>
        <w:tc>
          <w:tcPr>
            <w:tcW w:w="4534" w:type="dxa"/>
          </w:tcPr>
          <w:p w14:paraId="04B62F3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Índice de Vulnerabilidade dos Determinantes Sociais da Saúde</w:t>
            </w:r>
          </w:p>
        </w:tc>
      </w:tr>
      <w:tr w:rsidR="00E62C65" w14:paraId="1F2AB32D" w14:textId="77777777">
        <w:trPr>
          <w:jc w:val="center"/>
        </w:trPr>
        <w:tc>
          <w:tcPr>
            <w:tcW w:w="4535" w:type="dxa"/>
          </w:tcPr>
          <w:p w14:paraId="473CCCEA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LGPD</w:t>
            </w:r>
          </w:p>
        </w:tc>
        <w:tc>
          <w:tcPr>
            <w:tcW w:w="4534" w:type="dxa"/>
          </w:tcPr>
          <w:p w14:paraId="028E10E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Lei Geral de Proteção de Dados</w:t>
            </w:r>
          </w:p>
        </w:tc>
      </w:tr>
      <w:tr w:rsidR="00E62C65" w14:paraId="764C6899" w14:textId="77777777">
        <w:trPr>
          <w:jc w:val="center"/>
        </w:trPr>
        <w:tc>
          <w:tcPr>
            <w:tcW w:w="4535" w:type="dxa"/>
          </w:tcPr>
          <w:p w14:paraId="44288F9B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ML</w:t>
            </w:r>
          </w:p>
        </w:tc>
        <w:tc>
          <w:tcPr>
            <w:tcW w:w="4534" w:type="dxa"/>
          </w:tcPr>
          <w:p w14:paraId="6319F803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Aprendizado de máquina (machine learning)</w:t>
            </w:r>
          </w:p>
        </w:tc>
      </w:tr>
      <w:tr w:rsidR="00E62C65" w14:paraId="4E4D5E21" w14:textId="77777777">
        <w:trPr>
          <w:jc w:val="center"/>
        </w:trPr>
        <w:tc>
          <w:tcPr>
            <w:tcW w:w="4535" w:type="dxa"/>
          </w:tcPr>
          <w:p w14:paraId="6C55A9CB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ORM</w:t>
            </w:r>
          </w:p>
        </w:tc>
        <w:tc>
          <w:tcPr>
            <w:tcW w:w="4534" w:type="dxa"/>
          </w:tcPr>
          <w:p w14:paraId="2D5FC676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Object-Relational Mapping</w:t>
            </w:r>
          </w:p>
        </w:tc>
      </w:tr>
      <w:tr w:rsidR="00E62C65" w14:paraId="7BD632A0" w14:textId="77777777">
        <w:trPr>
          <w:jc w:val="center"/>
        </w:trPr>
        <w:tc>
          <w:tcPr>
            <w:tcW w:w="4535" w:type="dxa"/>
          </w:tcPr>
          <w:p w14:paraId="0920F9D9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PNS</w:t>
            </w:r>
          </w:p>
        </w:tc>
        <w:tc>
          <w:tcPr>
            <w:tcW w:w="4534" w:type="dxa"/>
          </w:tcPr>
          <w:p w14:paraId="511DB5D9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Pesquisa Nacional de Saúde</w:t>
            </w:r>
          </w:p>
        </w:tc>
      </w:tr>
      <w:tr w:rsidR="00E62C65" w14:paraId="774C5D21" w14:textId="77777777">
        <w:trPr>
          <w:jc w:val="center"/>
        </w:trPr>
        <w:tc>
          <w:tcPr>
            <w:tcW w:w="4535" w:type="dxa"/>
          </w:tcPr>
          <w:p w14:paraId="63611A6F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PR-AUC</w:t>
            </w:r>
          </w:p>
        </w:tc>
        <w:tc>
          <w:tcPr>
            <w:tcW w:w="4534" w:type="dxa"/>
          </w:tcPr>
          <w:p w14:paraId="1F400D56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Área sob a curva Precision-Recall</w:t>
            </w:r>
          </w:p>
        </w:tc>
      </w:tr>
      <w:tr w:rsidR="00E62C65" w14:paraId="6BF97E5B" w14:textId="77777777">
        <w:trPr>
          <w:jc w:val="center"/>
        </w:trPr>
        <w:tc>
          <w:tcPr>
            <w:tcW w:w="4535" w:type="dxa"/>
          </w:tcPr>
          <w:p w14:paraId="479DA05E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RF</w:t>
            </w:r>
          </w:p>
        </w:tc>
        <w:tc>
          <w:tcPr>
            <w:tcW w:w="4534" w:type="dxa"/>
          </w:tcPr>
          <w:p w14:paraId="051E06DA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Random Forest</w:t>
            </w:r>
          </w:p>
        </w:tc>
      </w:tr>
      <w:tr w:rsidR="00E62C65" w14:paraId="73CA6419" w14:textId="77777777">
        <w:trPr>
          <w:jc w:val="center"/>
        </w:trPr>
        <w:tc>
          <w:tcPr>
            <w:tcW w:w="4535" w:type="dxa"/>
          </w:tcPr>
          <w:p w14:paraId="5D716CDB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RL</w:t>
            </w:r>
          </w:p>
        </w:tc>
        <w:tc>
          <w:tcPr>
            <w:tcW w:w="4534" w:type="dxa"/>
          </w:tcPr>
          <w:p w14:paraId="6369FAE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Regressão logística</w:t>
            </w:r>
          </w:p>
        </w:tc>
      </w:tr>
      <w:tr w:rsidR="00E62C65" w14:paraId="5101DEC8" w14:textId="77777777">
        <w:trPr>
          <w:jc w:val="center"/>
        </w:trPr>
        <w:tc>
          <w:tcPr>
            <w:tcW w:w="4535" w:type="dxa"/>
          </w:tcPr>
          <w:p w14:paraId="366F1588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ROC-AUC</w:t>
            </w:r>
          </w:p>
        </w:tc>
        <w:tc>
          <w:tcPr>
            <w:tcW w:w="4534" w:type="dxa"/>
          </w:tcPr>
          <w:p w14:paraId="5E99E563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Área sob a curva ROC</w:t>
            </w:r>
          </w:p>
        </w:tc>
      </w:tr>
      <w:tr w:rsidR="00E62C65" w14:paraId="7B951A25" w14:textId="77777777">
        <w:trPr>
          <w:jc w:val="center"/>
        </w:trPr>
        <w:tc>
          <w:tcPr>
            <w:tcW w:w="4535" w:type="dxa"/>
          </w:tcPr>
          <w:p w14:paraId="4FCC7400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SISPRENATAL</w:t>
            </w:r>
          </w:p>
        </w:tc>
        <w:tc>
          <w:tcPr>
            <w:tcW w:w="4534" w:type="dxa"/>
          </w:tcPr>
          <w:p w14:paraId="718AF99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Sistema de Informação do Pré-Natal</w:t>
            </w:r>
          </w:p>
        </w:tc>
      </w:tr>
      <w:tr w:rsidR="00E62C65" w14:paraId="01C861F5" w14:textId="77777777">
        <w:trPr>
          <w:jc w:val="center"/>
        </w:trPr>
        <w:tc>
          <w:tcPr>
            <w:tcW w:w="4535" w:type="dxa"/>
          </w:tcPr>
          <w:p w14:paraId="221901FE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SUS</w:t>
            </w:r>
          </w:p>
        </w:tc>
        <w:tc>
          <w:tcPr>
            <w:tcW w:w="4534" w:type="dxa"/>
          </w:tcPr>
          <w:p w14:paraId="346E2D30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Sistema Único de Saúde</w:t>
            </w:r>
          </w:p>
        </w:tc>
      </w:tr>
      <w:tr w:rsidR="00E62C65" w14:paraId="01B609C8" w14:textId="77777777">
        <w:trPr>
          <w:jc w:val="center"/>
        </w:trPr>
        <w:tc>
          <w:tcPr>
            <w:tcW w:w="4535" w:type="dxa"/>
          </w:tcPr>
          <w:p w14:paraId="7F62AD78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T0</w:t>
            </w:r>
          </w:p>
        </w:tc>
        <w:tc>
          <w:tcPr>
            <w:tcW w:w="4534" w:type="dxa"/>
          </w:tcPr>
          <w:p w14:paraId="07A5E10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Instante de aplicação/envio do questionário DSS</w:t>
            </w:r>
          </w:p>
        </w:tc>
      </w:tr>
      <w:tr w:rsidR="00E62C65" w14:paraId="670ED3D8" w14:textId="77777777">
        <w:trPr>
          <w:jc w:val="center"/>
        </w:trPr>
        <w:tc>
          <w:tcPr>
            <w:tcW w:w="4535" w:type="dxa"/>
          </w:tcPr>
          <w:p w14:paraId="3FA2016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UBS</w:t>
            </w:r>
          </w:p>
        </w:tc>
        <w:tc>
          <w:tcPr>
            <w:tcW w:w="4534" w:type="dxa"/>
          </w:tcPr>
          <w:p w14:paraId="451C3AF6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Unidade Básica de Saúde</w:t>
            </w:r>
          </w:p>
        </w:tc>
      </w:tr>
      <w:tr w:rsidR="00E62C65" w14:paraId="0DAC0E6E" w14:textId="77777777">
        <w:trPr>
          <w:jc w:val="center"/>
        </w:trPr>
        <w:tc>
          <w:tcPr>
            <w:tcW w:w="4535" w:type="dxa"/>
          </w:tcPr>
          <w:p w14:paraId="3EE1F590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UUID</w:t>
            </w:r>
          </w:p>
        </w:tc>
        <w:tc>
          <w:tcPr>
            <w:tcW w:w="4534" w:type="dxa"/>
          </w:tcPr>
          <w:p w14:paraId="7D9664F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Universally Unique Identifier</w:t>
            </w:r>
          </w:p>
        </w:tc>
      </w:tr>
      <w:tr w:rsidR="00E62C65" w14:paraId="26582823" w14:textId="77777777">
        <w:trPr>
          <w:jc w:val="center"/>
        </w:trPr>
        <w:tc>
          <w:tcPr>
            <w:tcW w:w="4535" w:type="dxa"/>
          </w:tcPr>
          <w:p w14:paraId="1CB25C8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WHO</w:t>
            </w:r>
          </w:p>
        </w:tc>
        <w:tc>
          <w:tcPr>
            <w:tcW w:w="4534" w:type="dxa"/>
          </w:tcPr>
          <w:p w14:paraId="01940388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World Health Organization</w:t>
            </w:r>
          </w:p>
        </w:tc>
      </w:tr>
      <w:tr w:rsidR="00E62C65" w14:paraId="18463907" w14:textId="77777777">
        <w:trPr>
          <w:jc w:val="center"/>
        </w:trPr>
        <w:tc>
          <w:tcPr>
            <w:tcW w:w="4535" w:type="dxa"/>
          </w:tcPr>
          <w:p w14:paraId="1F08953E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b/>
                <w:sz w:val="20"/>
                <w:szCs w:val="20"/>
              </w:rPr>
              <w:t>XGBoost</w:t>
            </w:r>
          </w:p>
        </w:tc>
        <w:tc>
          <w:tcPr>
            <w:tcW w:w="4534" w:type="dxa"/>
          </w:tcPr>
          <w:p w14:paraId="2752384A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sz w:val="20"/>
                <w:szCs w:val="20"/>
              </w:rPr>
              <w:t>Extreme Gradient Boosting</w:t>
            </w:r>
          </w:p>
        </w:tc>
      </w:tr>
    </w:tbl>
    <w:p w14:paraId="59067DF9" w14:textId="77777777" w:rsidR="00E62C65" w:rsidRDefault="00474360">
      <w:r>
        <w:br w:type="page"/>
      </w:r>
    </w:p>
    <w:p w14:paraId="691B9308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lastRenderedPageBreak/>
        <w:t>SUMÁRIO</w:t>
      </w:r>
    </w:p>
    <w:sdt>
      <w:sdtPr>
        <w:id w:val="1017040050"/>
        <w:docPartObj>
          <w:docPartGallery w:val="Table of Contents"/>
          <w:docPartUnique/>
        </w:docPartObj>
      </w:sdtPr>
      <w:sdtEndPr/>
      <w:sdtContent>
        <w:p w14:paraId="04C06955" w14:textId="089A218D" w:rsidR="00474360" w:rsidRDefault="00474360">
          <w:pPr>
            <w:pStyle w:val="Sumrio1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38653780" w:history="1">
            <w:r w:rsidRPr="00CA225D">
              <w:rPr>
                <w:rStyle w:val="Hyperlink"/>
                <w:rFonts w:eastAsia="Times New Roman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588C4" w14:textId="60D5D14D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81" w:history="1">
            <w:r w:rsidRPr="00CA225D">
              <w:rPr>
                <w:rStyle w:val="Hyperlink"/>
                <w:rFonts w:eastAsia="Times New Roman"/>
                <w:noProof/>
              </w:rPr>
              <w:t>1.1 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CAB75" w14:textId="24AD5A9A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82" w:history="1">
            <w:r w:rsidRPr="00CA225D">
              <w:rPr>
                <w:rStyle w:val="Hyperlink"/>
                <w:rFonts w:eastAsia="Times New Roman"/>
                <w:noProof/>
              </w:rPr>
              <w:t>1.2 Problema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A82B2" w14:textId="74C7ADAC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83" w:history="1">
            <w:r w:rsidRPr="00CA225D">
              <w:rPr>
                <w:rStyle w:val="Hyperlink"/>
                <w:rFonts w:eastAsia="Times New Roman"/>
                <w:noProof/>
              </w:rPr>
              <w:t>1.3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49C50" w14:textId="2C5503CD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84" w:history="1">
            <w:r w:rsidRPr="00CA225D">
              <w:rPr>
                <w:rStyle w:val="Hyperlink"/>
                <w:rFonts w:eastAsia="Times New Roman"/>
                <w:noProof/>
              </w:rPr>
              <w:t>1.4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D84FF" w14:textId="31979D06" w:rsidR="00474360" w:rsidRDefault="00474360">
          <w:pPr>
            <w:pStyle w:val="Sumrio3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85" w:history="1">
            <w:r w:rsidRPr="00CA225D">
              <w:rPr>
                <w:rStyle w:val="Hyperlink"/>
                <w:rFonts w:eastAsia="Times New Roman"/>
                <w:noProof/>
              </w:rPr>
              <w:t>1.4.1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425F7" w14:textId="21F5D779" w:rsidR="00474360" w:rsidRDefault="00474360">
          <w:pPr>
            <w:pStyle w:val="Sumrio3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86" w:history="1">
            <w:r w:rsidRPr="00CA225D">
              <w:rPr>
                <w:rStyle w:val="Hyperlink"/>
                <w:rFonts w:eastAsia="Times New Roman"/>
                <w:noProof/>
              </w:rPr>
              <w:t>1.4.2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17455" w14:textId="2280C97E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87" w:history="1">
            <w:r w:rsidRPr="00CA225D">
              <w:rPr>
                <w:rStyle w:val="Hyperlink"/>
                <w:rFonts w:eastAsia="Times New Roman"/>
                <w:noProof/>
              </w:rPr>
              <w:t>1.5 Estrutura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8C79B" w14:textId="5C27474E" w:rsidR="00474360" w:rsidRDefault="00474360">
          <w:pPr>
            <w:pStyle w:val="Sumrio1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88" w:history="1">
            <w:r w:rsidRPr="00CA225D">
              <w:rPr>
                <w:rStyle w:val="Hyperlink"/>
                <w:rFonts w:eastAsia="Times New Roman"/>
                <w:noProof/>
              </w:rPr>
              <w:t>2 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E6046" w14:textId="17D5D008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89" w:history="1">
            <w:r w:rsidRPr="00CA225D">
              <w:rPr>
                <w:rStyle w:val="Hyperlink"/>
                <w:rFonts w:eastAsia="Times New Roman"/>
                <w:noProof/>
              </w:rPr>
              <w:t>2.1 Pré-natal e saúde materna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0248A" w14:textId="192F67BD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0" w:history="1">
            <w:r w:rsidRPr="00CA225D">
              <w:rPr>
                <w:rStyle w:val="Hyperlink"/>
                <w:rFonts w:eastAsia="Times New Roman"/>
                <w:noProof/>
              </w:rPr>
              <w:t>2.2 Determinantes Sociais da Saúde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68412" w14:textId="3CAD9A1B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1" w:history="1">
            <w:r w:rsidRPr="00CA225D">
              <w:rPr>
                <w:rStyle w:val="Hyperlink"/>
                <w:rFonts w:eastAsia="Times New Roman"/>
                <w:noProof/>
              </w:rPr>
              <w:t>2.3 Vulnerabilidade e índices compostos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57A63" w14:textId="278F37FB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2" w:history="1">
            <w:r w:rsidRPr="00CA225D">
              <w:rPr>
                <w:rStyle w:val="Hyperlink"/>
                <w:rFonts w:eastAsia="Times New Roman"/>
                <w:noProof/>
              </w:rPr>
              <w:t>2.4 Aprendizado de máquina supervisionado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4E542" w14:textId="1AFB66E0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3" w:history="1">
            <w:r w:rsidRPr="00CA225D">
              <w:rPr>
                <w:rStyle w:val="Hyperlink"/>
                <w:rFonts w:eastAsia="Times New Roman"/>
                <w:noProof/>
              </w:rPr>
              <w:t>2.5 Trabalhos relacionados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BDEC7" w14:textId="1627417E" w:rsidR="00474360" w:rsidRDefault="00474360">
          <w:pPr>
            <w:pStyle w:val="Sumrio1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4" w:history="1">
            <w:r w:rsidRPr="00CA225D">
              <w:rPr>
                <w:rStyle w:val="Hyperlink"/>
                <w:rFonts w:eastAsia="Times New Roman"/>
                <w:noProof/>
              </w:rPr>
              <w:t>3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7546" w14:textId="69955755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5" w:history="1">
            <w:r w:rsidRPr="00CA225D">
              <w:rPr>
                <w:rStyle w:val="Hyperlink"/>
                <w:rFonts w:eastAsia="Times New Roman"/>
                <w:noProof/>
              </w:rPr>
              <w:t>3.1 Tipo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5D75F" w14:textId="52C14023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6" w:history="1">
            <w:r w:rsidRPr="00CA225D">
              <w:rPr>
                <w:rStyle w:val="Hyperlink"/>
                <w:rFonts w:eastAsia="Times New Roman"/>
                <w:noProof/>
              </w:rPr>
              <w:t>3.2 Determinantes Sociais da Saúde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42249" w14:textId="4E87C18D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7" w:history="1">
            <w:r w:rsidRPr="00CA225D">
              <w:rPr>
                <w:rStyle w:val="Hyperlink"/>
                <w:rFonts w:eastAsia="Times New Roman"/>
                <w:noProof/>
              </w:rPr>
              <w:t>3.3 Construção do Índice de Vulnerabilidade dos DSS (IV-DSS)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4555D" w14:textId="34570041" w:rsidR="00474360" w:rsidRDefault="00474360">
          <w:pPr>
            <w:pStyle w:val="Sumrio3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8" w:history="1">
            <w:r w:rsidRPr="00CA225D">
              <w:rPr>
                <w:rStyle w:val="Hyperlink"/>
                <w:rFonts w:eastAsia="Times New Roman"/>
                <w:noProof/>
              </w:rPr>
              <w:t>3.3.1 Definição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B9A98" w14:textId="23B0EFF6" w:rsidR="00474360" w:rsidRDefault="00474360">
          <w:pPr>
            <w:pStyle w:val="Sumrio3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799" w:history="1">
            <w:r w:rsidRPr="00CA225D">
              <w:rPr>
                <w:rStyle w:val="Hyperlink"/>
                <w:rFonts w:eastAsia="Times New Roman"/>
                <w:noProof/>
              </w:rPr>
              <w:t>3.3.2 Estrutura (três níveis de agregação)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66979" w14:textId="5F2BCD81" w:rsidR="00474360" w:rsidRDefault="00474360">
          <w:pPr>
            <w:pStyle w:val="Sumrio3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0" w:history="1">
            <w:r w:rsidRPr="00CA225D">
              <w:rPr>
                <w:rStyle w:val="Hyperlink"/>
                <w:rFonts w:eastAsia="Times New Roman"/>
                <w:noProof/>
              </w:rPr>
              <w:t>3.3.3 Indicadores e escores por dimensão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1FE7" w14:textId="6F372C50" w:rsidR="00474360" w:rsidRDefault="00474360">
          <w:pPr>
            <w:pStyle w:val="Sumrio3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1" w:history="1">
            <w:r w:rsidRPr="00CA225D">
              <w:rPr>
                <w:rStyle w:val="Hyperlink"/>
                <w:rFonts w:eastAsia="Times New Roman"/>
                <w:noProof/>
              </w:rPr>
              <w:t>3.3.4 Pesos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8555" w14:textId="42CFBD9F" w:rsidR="00474360" w:rsidRDefault="00474360">
          <w:pPr>
            <w:pStyle w:val="Sumrio3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2" w:history="1">
            <w:r w:rsidRPr="00CA225D">
              <w:rPr>
                <w:rStyle w:val="Hyperlink"/>
                <w:rFonts w:eastAsia="Times New Roman"/>
                <w:noProof/>
              </w:rPr>
              <w:t>3.3.5 Escala e interpretação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CF25B" w14:textId="3BDC8143" w:rsidR="00474360" w:rsidRDefault="00474360">
          <w:pPr>
            <w:pStyle w:val="Sumrio3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3" w:history="1">
            <w:r w:rsidRPr="00CA225D">
              <w:rPr>
                <w:rStyle w:val="Hyperlink"/>
                <w:rFonts w:eastAsia="Times New Roman"/>
                <w:noProof/>
              </w:rPr>
              <w:t>3.3.6 Política de missing e validade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A9427" w14:textId="167B9C48" w:rsidR="00474360" w:rsidRDefault="00474360">
          <w:pPr>
            <w:pStyle w:val="Sumrio3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4" w:history="1">
            <w:r w:rsidRPr="00CA225D">
              <w:rPr>
                <w:rStyle w:val="Hyperlink"/>
                <w:rFonts w:eastAsia="Times New Roman"/>
                <w:noProof/>
              </w:rPr>
              <w:t>3.3.7 Análises de sensibilidade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28931" w14:textId="36152F82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5" w:history="1">
            <w:r w:rsidRPr="00CA225D">
              <w:rPr>
                <w:rStyle w:val="Hyperlink"/>
                <w:rFonts w:eastAsia="Times New Roman"/>
                <w:noProof/>
              </w:rPr>
              <w:t>3.4 Modelagem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5DB5D" w14:textId="43B36C5B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6" w:history="1">
            <w:r w:rsidRPr="00CA225D">
              <w:rPr>
                <w:rStyle w:val="Hyperlink"/>
                <w:rFonts w:eastAsia="Times New Roman"/>
                <w:noProof/>
              </w:rPr>
              <w:t>3.5 População, T0 e variável-alvo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D7254" w14:textId="2337DFE6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7" w:history="1">
            <w:r w:rsidRPr="00CA225D">
              <w:rPr>
                <w:rStyle w:val="Hyperlink"/>
                <w:rFonts w:eastAsia="Times New Roman"/>
                <w:noProof/>
              </w:rPr>
              <w:t>3.6 Geração do dataset sintético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7B797" w14:textId="119AFE50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8" w:history="1">
            <w:r w:rsidRPr="00CA225D">
              <w:rPr>
                <w:rStyle w:val="Hyperlink"/>
                <w:rFonts w:eastAsia="Times New Roman"/>
                <w:noProof/>
              </w:rPr>
              <w:t>3.7 Seleção de variáveis e controle de leakage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AE2BC" w14:textId="725385E2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09" w:history="1">
            <w:r w:rsidRPr="00CA225D">
              <w:rPr>
                <w:rStyle w:val="Hyperlink"/>
                <w:rFonts w:eastAsia="Times New Roman"/>
                <w:noProof/>
              </w:rPr>
              <w:t>3.8 Modelos de aprendizado de máquina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9400F" w14:textId="4539D5A1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0" w:history="1">
            <w:r w:rsidRPr="00CA225D">
              <w:rPr>
                <w:rStyle w:val="Hyperlink"/>
                <w:rFonts w:eastAsia="Times New Roman"/>
                <w:noProof/>
              </w:rPr>
              <w:t>3.9 Treinamento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B395E" w14:textId="3413F213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1" w:history="1">
            <w:r w:rsidRPr="00CA225D">
              <w:rPr>
                <w:rStyle w:val="Hyperlink"/>
                <w:rFonts w:eastAsia="Times New Roman"/>
                <w:noProof/>
              </w:rPr>
              <w:t>3.10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4B4A6" w14:textId="49C45624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2" w:history="1">
            <w:r w:rsidRPr="00CA225D">
              <w:rPr>
                <w:rStyle w:val="Hyperlink"/>
                <w:rFonts w:eastAsia="Times New Roman"/>
                <w:noProof/>
              </w:rPr>
              <w:t>3.11 Procedimento de validação da integração Flutter → API → 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3148D" w14:textId="7F7437B0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3" w:history="1">
            <w:r w:rsidRPr="00CA225D">
              <w:rPr>
                <w:rStyle w:val="Hyperlink"/>
                <w:rFonts w:eastAsia="Times New Roman"/>
                <w:noProof/>
              </w:rPr>
              <w:t>3.12 Aspectos éticos e limitações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853AB" w14:textId="124E97AA" w:rsidR="00474360" w:rsidRDefault="00474360">
          <w:pPr>
            <w:pStyle w:val="Sumrio1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4" w:history="1">
            <w:r w:rsidRPr="00CA225D">
              <w:rPr>
                <w:rStyle w:val="Hyperlink"/>
                <w:rFonts w:eastAsia="Times New Roman"/>
                <w:noProof/>
              </w:rPr>
              <w:t>4 DESENVOLVIMENTO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E96EC" w14:textId="256DF086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5" w:history="1">
            <w:r w:rsidRPr="00CA225D">
              <w:rPr>
                <w:rStyle w:val="Hyperlink"/>
                <w:rFonts w:eastAsia="Times New Roman"/>
                <w:noProof/>
              </w:rPr>
              <w:t>4.1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0A05E" w14:textId="722B29E5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6" w:history="1">
            <w:r w:rsidRPr="00CA225D">
              <w:rPr>
                <w:rStyle w:val="Hyperlink"/>
                <w:rFonts w:eastAsia="Times New Roman"/>
                <w:noProof/>
              </w:rPr>
              <w:t>4.2 Eixo 1 — Questionário dos DSS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51EAD" w14:textId="7CB63A1D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7" w:history="1">
            <w:r w:rsidRPr="00CA225D">
              <w:rPr>
                <w:rStyle w:val="Hyperlink"/>
                <w:rFonts w:eastAsia="Times New Roman"/>
                <w:noProof/>
              </w:rPr>
              <w:t>4.3 Eixo 2 — Módulo de acompanhamento do pré-natal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6953D" w14:textId="347FA9E3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8" w:history="1">
            <w:r w:rsidRPr="00CA225D">
              <w:rPr>
                <w:rStyle w:val="Hyperlink"/>
                <w:rFonts w:eastAsia="Times New Roman"/>
                <w:noProof/>
              </w:rPr>
              <w:t>4.4 Armazenamento local / offline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7F616" w14:textId="1C7B2AE7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19" w:history="1">
            <w:r w:rsidRPr="00CA225D">
              <w:rPr>
                <w:rStyle w:val="Hyperlink"/>
                <w:rFonts w:eastAsia="Times New Roman"/>
                <w:noProof/>
              </w:rPr>
              <w:t>4.5 Autenticação e estado atual do DSS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89B49" w14:textId="1D5DCA21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0" w:history="1">
            <w:r w:rsidRPr="00CA225D">
              <w:rPr>
                <w:rStyle w:val="Hyperlink"/>
                <w:rFonts w:eastAsia="Times New Roman"/>
                <w:noProof/>
              </w:rPr>
              <w:t>4.6 Onde o IV-DSS é calculado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A0B92" w14:textId="56C088F3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1" w:history="1">
            <w:r w:rsidRPr="00CA225D">
              <w:rPr>
                <w:rStyle w:val="Hyperlink"/>
                <w:rFonts w:eastAsia="Times New Roman"/>
                <w:noProof/>
              </w:rPr>
              <w:t>4.7 Arquitetura futura aprovada (evolução planejada)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AC7E3" w14:textId="6FF31096" w:rsidR="00474360" w:rsidRDefault="00474360">
          <w:pPr>
            <w:pStyle w:val="Sumrio1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2" w:history="1">
            <w:r w:rsidRPr="00CA225D">
              <w:rPr>
                <w:rStyle w:val="Hyperlink"/>
                <w:rFonts w:eastAsia="Times New Roman"/>
                <w:noProof/>
              </w:rPr>
              <w:t>5 RESULTADOS E 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34639" w14:textId="25A89A1A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3" w:history="1">
            <w:r w:rsidRPr="00CA225D">
              <w:rPr>
                <w:rStyle w:val="Hyperlink"/>
                <w:rFonts w:eastAsia="Times New Roman"/>
                <w:noProof/>
              </w:rPr>
              <w:t>5.1 Conjunto sintético 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9F529" w14:textId="0E5407F3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4" w:history="1">
            <w:r w:rsidRPr="00CA225D">
              <w:rPr>
                <w:rStyle w:val="Hyperlink"/>
                <w:rFonts w:eastAsia="Times New Roman"/>
                <w:noProof/>
              </w:rPr>
              <w:t>5.2 Comparação e seleção de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F1AC9" w14:textId="771D7920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5" w:history="1">
            <w:r w:rsidRPr="00CA225D">
              <w:rPr>
                <w:rStyle w:val="Hyperlink"/>
                <w:rFonts w:eastAsia="Times New Roman"/>
                <w:noProof/>
              </w:rPr>
              <w:t>5.3 Desempenho do modelo selecionado (hold-out)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35248" w14:textId="0731C89B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6" w:history="1">
            <w:r w:rsidRPr="00CA225D">
              <w:rPr>
                <w:rStyle w:val="Hyperlink"/>
                <w:rFonts w:eastAsia="Times New Roman"/>
                <w:noProof/>
              </w:rPr>
              <w:t>5.4 Análise de threshold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87602" w14:textId="713CE76A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7" w:history="1">
            <w:r w:rsidRPr="00CA225D">
              <w:rPr>
                <w:rStyle w:val="Hyperlink"/>
                <w:rFonts w:eastAsia="Times New Roman"/>
                <w:noProof/>
              </w:rPr>
              <w:t>5.5 Calibração e estabilidade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43379" w14:textId="339FD111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8" w:history="1">
            <w:r w:rsidRPr="00CA225D">
              <w:rPr>
                <w:rStyle w:val="Hyperlink"/>
                <w:rFonts w:eastAsia="Times New Roman"/>
                <w:noProof/>
              </w:rPr>
              <w:t>5.6 Sensibilidade metodológica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76F78" w14:textId="311E51F3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29" w:history="1">
            <w:r w:rsidRPr="00CA225D">
              <w:rPr>
                <w:rStyle w:val="Hyperlink"/>
                <w:rFonts w:eastAsia="Times New Roman"/>
                <w:noProof/>
              </w:rPr>
              <w:t>5.7 Interpretabilidade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BFF26" w14:textId="45B99D23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0" w:history="1">
            <w:r w:rsidRPr="00CA225D">
              <w:rPr>
                <w:rStyle w:val="Hyperlink"/>
                <w:rFonts w:eastAsia="Times New Roman"/>
                <w:noProof/>
              </w:rPr>
              <w:t>5.8 IV-DSS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82342" w14:textId="3754E670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1" w:history="1">
            <w:r w:rsidRPr="00CA225D">
              <w:rPr>
                <w:rStyle w:val="Hyperlink"/>
                <w:rFonts w:eastAsia="Times New Roman"/>
                <w:noProof/>
              </w:rPr>
              <w:t>5.9 Validação da implementação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D5545" w14:textId="03502B90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2" w:history="1">
            <w:r w:rsidRPr="00CA225D">
              <w:rPr>
                <w:rStyle w:val="Hyperlink"/>
                <w:rFonts w:eastAsia="Times New Roman"/>
                <w:noProof/>
              </w:rPr>
              <w:t>5.10 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D1E0B" w14:textId="31123DF4" w:rsidR="00474360" w:rsidRDefault="00474360">
          <w:pPr>
            <w:pStyle w:val="Sumrio1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3" w:history="1">
            <w:r w:rsidRPr="00CA225D">
              <w:rPr>
                <w:rStyle w:val="Hyperlink"/>
                <w:rFonts w:eastAsia="Times New Roman"/>
                <w:noProof/>
              </w:rPr>
              <w:t>6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67977" w14:textId="6B1A5ABE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4" w:history="1">
            <w:r w:rsidRPr="00CA225D">
              <w:rPr>
                <w:rStyle w:val="Hyperlink"/>
                <w:rFonts w:eastAsia="Times New Roman"/>
                <w:noProof/>
              </w:rPr>
              <w:t>6.1 Síntese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EB29B" w14:textId="3E105300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5" w:history="1">
            <w:r w:rsidRPr="00CA225D">
              <w:rPr>
                <w:rStyle w:val="Hyperlink"/>
                <w:rFonts w:eastAsia="Times New Roman"/>
                <w:noProof/>
              </w:rPr>
              <w:t>6.2 Limitações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6BF33" w14:textId="2072250B" w:rsidR="00474360" w:rsidRDefault="00474360">
          <w:pPr>
            <w:pStyle w:val="Sumrio2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6" w:history="1">
            <w:r w:rsidRPr="00CA225D">
              <w:rPr>
                <w:rStyle w:val="Hyperlink"/>
                <w:rFonts w:eastAsia="Times New Roman"/>
                <w:noProof/>
              </w:rPr>
              <w:t>6.3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1C7AC" w14:textId="2F638BA5" w:rsidR="00474360" w:rsidRDefault="00474360">
          <w:pPr>
            <w:pStyle w:val="Sumrio1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7" w:history="1">
            <w:r w:rsidRPr="00CA225D">
              <w:rPr>
                <w:rStyle w:val="Hyperlink"/>
                <w:rFonts w:eastAsia="Times New Roman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5B12F" w14:textId="39A4947F" w:rsidR="00474360" w:rsidRDefault="00474360">
          <w:pPr>
            <w:pStyle w:val="Sumrio1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8" w:history="1">
            <w:r w:rsidRPr="00CA225D">
              <w:rPr>
                <w:rStyle w:val="Hyperlink"/>
                <w:rFonts w:eastAsia="Times New Roman"/>
                <w:noProof/>
              </w:rPr>
              <w:t>APÊNDICE A — DECISÕES METODOLÓGICAS CONSOLIDADAS E EM ABERTO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B052E" w14:textId="17C4A822" w:rsidR="00474360" w:rsidRDefault="00474360">
          <w:pPr>
            <w:pStyle w:val="Sumrio1"/>
            <w:rPr>
              <w:rFonts w:asciiTheme="minorHAnsi" w:hAnsiTheme="minorHAnsi" w:cstheme="minorBid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653839" w:history="1">
            <w:r w:rsidRPr="00CA225D">
              <w:rPr>
                <w:rStyle w:val="Hyperlink"/>
                <w:rFonts w:eastAsia="Times New Roman"/>
                <w:noProof/>
              </w:rPr>
              <w:t>APÊNDICE B — FUNDAMENTAÇÃO DA ESCOLHA DO 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52C42" w14:textId="1EE29CE4" w:rsidR="00E62C65" w:rsidRDefault="00474360">
          <w:pPr>
            <w:pStyle w:val="Sumrio1"/>
            <w:tabs>
              <w:tab w:val="clear" w:pos="9071"/>
              <w:tab w:val="right" w:leader="dot" w:pos="9070"/>
            </w:tabs>
          </w:pPr>
          <w:r>
            <w:rPr>
              <w:rStyle w:val="IndexLink"/>
            </w:rPr>
            <w:fldChar w:fldCharType="end"/>
          </w:r>
        </w:p>
      </w:sdtContent>
    </w:sdt>
    <w:p w14:paraId="409FB445" w14:textId="77777777" w:rsidR="00E62C65" w:rsidRDefault="00474360">
      <w:r>
        <w:br w:type="page"/>
      </w:r>
    </w:p>
    <w:p w14:paraId="49D3A22B" w14:textId="77777777" w:rsidR="00E62C65" w:rsidRDefault="00474360">
      <w:pPr>
        <w:spacing w:after="0"/>
        <w:jc w:val="center"/>
      </w:pPr>
      <w:r>
        <w:rPr>
          <w:rFonts w:eastAsia="Times New Roman"/>
          <w:b/>
        </w:rPr>
        <w:lastRenderedPageBreak/>
        <w:t>CONTROLE EDITORIAL — REMOVER ANTES DA ENTREGA</w:t>
      </w:r>
    </w:p>
    <w:p w14:paraId="57012310" w14:textId="77777777" w:rsidR="00E62C65" w:rsidRDefault="00474360">
      <w:pPr>
        <w:pStyle w:val="EditorialStatus"/>
      </w:pPr>
      <w:r>
        <w:rPr>
          <w:rFonts w:eastAsia="Times New Roman"/>
        </w:rPr>
        <w:t>Esta página existe somente no documento mestre de trabalho. Ela organiza a evolução sincronizada entre software e monografia.</w:t>
      </w:r>
    </w:p>
    <w:tbl>
      <w:tblPr>
        <w:tblStyle w:val="Tabelacomgrade"/>
        <w:tblW w:w="90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62C65" w14:paraId="43FB723A" w14:textId="77777777">
        <w:trPr>
          <w:tblHeader/>
          <w:jc w:val="center"/>
        </w:trPr>
        <w:tc>
          <w:tcPr>
            <w:tcW w:w="3024" w:type="dxa"/>
            <w:shd w:val="clear" w:color="auto" w:fill="E7E6E6"/>
            <w:vAlign w:val="center"/>
          </w:tcPr>
          <w:p w14:paraId="61AAF5AD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Parte</w:t>
            </w:r>
          </w:p>
        </w:tc>
        <w:tc>
          <w:tcPr>
            <w:tcW w:w="3024" w:type="dxa"/>
            <w:shd w:val="clear" w:color="auto" w:fill="E7E6E6"/>
            <w:vAlign w:val="center"/>
          </w:tcPr>
          <w:p w14:paraId="769FD805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Estado em 25/08/2026</w:t>
            </w:r>
          </w:p>
        </w:tc>
        <w:tc>
          <w:tcPr>
            <w:tcW w:w="3024" w:type="dxa"/>
            <w:shd w:val="clear" w:color="auto" w:fill="E7E6E6"/>
            <w:vAlign w:val="center"/>
          </w:tcPr>
          <w:p w14:paraId="6D2F206A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Regra de atualização</w:t>
            </w:r>
          </w:p>
        </w:tc>
      </w:tr>
      <w:tr w:rsidR="00E62C65" w14:paraId="65147A4E" w14:textId="77777777">
        <w:trPr>
          <w:jc w:val="center"/>
        </w:trPr>
        <w:tc>
          <w:tcPr>
            <w:tcW w:w="3024" w:type="dxa"/>
            <w:vAlign w:val="center"/>
          </w:tcPr>
          <w:p w14:paraId="2059EE5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Capítulo 1 – Introdução</w:t>
            </w:r>
          </w:p>
        </w:tc>
        <w:tc>
          <w:tcPr>
            <w:tcW w:w="3024" w:type="dxa"/>
            <w:vAlign w:val="center"/>
          </w:tcPr>
          <w:p w14:paraId="35186BB3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CONGELADO</w:t>
            </w:r>
          </w:p>
        </w:tc>
        <w:tc>
          <w:tcPr>
            <w:tcW w:w="3024" w:type="dxa"/>
            <w:vAlign w:val="center"/>
          </w:tcPr>
          <w:p w14:paraId="04E8767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 xml:space="preserve">Alterar apenas mediante decisão </w:t>
            </w:r>
            <w:r>
              <w:rPr>
                <w:rFonts w:eastAsia="Times New Roman"/>
                <w:sz w:val="18"/>
              </w:rPr>
              <w:t>metodológica/documental explícita.</w:t>
            </w:r>
          </w:p>
        </w:tc>
      </w:tr>
      <w:tr w:rsidR="00E62C65" w14:paraId="3C01BA49" w14:textId="77777777">
        <w:trPr>
          <w:jc w:val="center"/>
        </w:trPr>
        <w:tc>
          <w:tcPr>
            <w:tcW w:w="3024" w:type="dxa"/>
            <w:vAlign w:val="center"/>
          </w:tcPr>
          <w:p w14:paraId="5DA4F773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Capítulo 2 – Fundamentação Teórica</w:t>
            </w:r>
          </w:p>
        </w:tc>
        <w:tc>
          <w:tcPr>
            <w:tcW w:w="3024" w:type="dxa"/>
            <w:vAlign w:val="center"/>
          </w:tcPr>
          <w:p w14:paraId="1CB5CCF3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ESTRUTURA PRONTA</w:t>
            </w:r>
          </w:p>
        </w:tc>
        <w:tc>
          <w:tcPr>
            <w:tcW w:w="3024" w:type="dxa"/>
            <w:vAlign w:val="center"/>
          </w:tcPr>
          <w:p w14:paraId="05843569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Redação acadêmica ainda será desenvolvida a partir da matriz bibliográfica validada.</w:t>
            </w:r>
          </w:p>
        </w:tc>
      </w:tr>
      <w:tr w:rsidR="00E62C65" w14:paraId="6E32001B" w14:textId="77777777">
        <w:trPr>
          <w:jc w:val="center"/>
        </w:trPr>
        <w:tc>
          <w:tcPr>
            <w:tcW w:w="3024" w:type="dxa"/>
            <w:vAlign w:val="center"/>
          </w:tcPr>
          <w:p w14:paraId="295464C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Capítulo 3 – Metodologia</w:t>
            </w:r>
          </w:p>
        </w:tc>
        <w:tc>
          <w:tcPr>
            <w:tcW w:w="3024" w:type="dxa"/>
            <w:vAlign w:val="center"/>
          </w:tcPr>
          <w:p w14:paraId="25A9F89C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RASCUNHO TÉCNICO CONSOLIDADO</w:t>
            </w:r>
          </w:p>
        </w:tc>
        <w:tc>
          <w:tcPr>
            <w:tcW w:w="3024" w:type="dxa"/>
            <w:vAlign w:val="center"/>
          </w:tcPr>
          <w:p w14:paraId="04B350DE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 xml:space="preserve">Revisar </w:t>
            </w:r>
            <w:r>
              <w:rPr>
                <w:rFonts w:eastAsia="Times New Roman"/>
                <w:sz w:val="18"/>
              </w:rPr>
              <w:t>academicamente e citar literatura metodológica; atualizar se o método científico mudar.</w:t>
            </w:r>
          </w:p>
        </w:tc>
      </w:tr>
      <w:tr w:rsidR="00E62C65" w14:paraId="757E363A" w14:textId="77777777">
        <w:trPr>
          <w:jc w:val="center"/>
        </w:trPr>
        <w:tc>
          <w:tcPr>
            <w:tcW w:w="3024" w:type="dxa"/>
            <w:vAlign w:val="center"/>
          </w:tcPr>
          <w:p w14:paraId="0F3AF323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Capítulo 4 – Desenvolvimento da Solução</w:t>
            </w:r>
          </w:p>
        </w:tc>
        <w:tc>
          <w:tcPr>
            <w:tcW w:w="3024" w:type="dxa"/>
            <w:vAlign w:val="center"/>
          </w:tcPr>
          <w:p w14:paraId="638E4BC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RASCUNHO TÉCNICO ATUAL</w:t>
            </w:r>
          </w:p>
        </w:tc>
        <w:tc>
          <w:tcPr>
            <w:tcW w:w="3024" w:type="dxa"/>
            <w:vAlign w:val="center"/>
          </w:tcPr>
          <w:p w14:paraId="64FDBE66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 xml:space="preserve">Atualizar a cada marco de Flutter/API; a API do acompanhamento pré-natal ainda não está </w:t>
            </w:r>
            <w:r>
              <w:rPr>
                <w:rFonts w:eastAsia="Times New Roman"/>
                <w:sz w:val="18"/>
              </w:rPr>
              <w:t>implementada.</w:t>
            </w:r>
          </w:p>
        </w:tc>
      </w:tr>
      <w:tr w:rsidR="00E62C65" w14:paraId="71BD9455" w14:textId="77777777">
        <w:trPr>
          <w:jc w:val="center"/>
        </w:trPr>
        <w:tc>
          <w:tcPr>
            <w:tcW w:w="3024" w:type="dxa"/>
            <w:vAlign w:val="center"/>
          </w:tcPr>
          <w:p w14:paraId="05F353D9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Capítulo 5 – Resultados e Discussão</w:t>
            </w:r>
          </w:p>
        </w:tc>
        <w:tc>
          <w:tcPr>
            <w:tcW w:w="3024" w:type="dxa"/>
            <w:vAlign w:val="center"/>
          </w:tcPr>
          <w:p w14:paraId="62E45A36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RESULTADOS TÉCNICOS ATUAIS</w:t>
            </w:r>
          </w:p>
        </w:tc>
        <w:tc>
          <w:tcPr>
            <w:tcW w:w="3024" w:type="dxa"/>
            <w:vAlign w:val="center"/>
          </w:tcPr>
          <w:p w14:paraId="6D65B42A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Resultados de IA/API/DSS já incorporados; discussão bibliográfica será aprofundada.</w:t>
            </w:r>
          </w:p>
        </w:tc>
      </w:tr>
      <w:tr w:rsidR="00E62C65" w14:paraId="19AB368E" w14:textId="77777777">
        <w:trPr>
          <w:jc w:val="center"/>
        </w:trPr>
        <w:tc>
          <w:tcPr>
            <w:tcW w:w="3024" w:type="dxa"/>
            <w:vAlign w:val="center"/>
          </w:tcPr>
          <w:p w14:paraId="10F0826F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Capítulo 6 – Conclusão</w:t>
            </w:r>
          </w:p>
        </w:tc>
        <w:tc>
          <w:tcPr>
            <w:tcW w:w="3024" w:type="dxa"/>
            <w:vAlign w:val="center"/>
          </w:tcPr>
          <w:p w14:paraId="75C8920B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PROVISÓRIA</w:t>
            </w:r>
          </w:p>
        </w:tc>
        <w:tc>
          <w:tcPr>
            <w:tcW w:w="3024" w:type="dxa"/>
            <w:vAlign w:val="center"/>
          </w:tcPr>
          <w:p w14:paraId="2A97B94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Reescrever após concluir a evolução do acompanhamento pré-natal e consolidar resultados finais.</w:t>
            </w:r>
          </w:p>
        </w:tc>
      </w:tr>
    </w:tbl>
    <w:p w14:paraId="585898B0" w14:textId="77777777" w:rsidR="00E62C65" w:rsidRDefault="00474360">
      <w:pPr>
        <w:spacing w:before="40" w:after="120"/>
      </w:pPr>
      <w:r>
        <w:rPr>
          <w:rFonts w:eastAsia="Times New Roman"/>
          <w:sz w:val="18"/>
        </w:rPr>
        <w:t>Fonte: controle interno do projeto (2026).</w:t>
      </w:r>
    </w:p>
    <w:p w14:paraId="59E66D21" w14:textId="77777777" w:rsidR="00E62C65" w:rsidRDefault="00474360">
      <w:pPr>
        <w:spacing w:after="0" w:line="360" w:lineRule="auto"/>
        <w:jc w:val="both"/>
        <w:sectPr w:rsidR="00E62C65">
          <w:pgSz w:w="11906" w:h="16838"/>
          <w:pgMar w:top="1701" w:right="1134" w:bottom="1134" w:left="1701" w:header="0" w:footer="0" w:gutter="0"/>
          <w:cols w:space="720"/>
          <w:formProt w:val="0"/>
          <w:docGrid w:linePitch="360"/>
        </w:sectPr>
      </w:pPr>
      <w:r>
        <w:rPr>
          <w:rFonts w:eastAsia="Times New Roman"/>
        </w:rPr>
        <w:t>Regra de sincronização: marco técnico concluído e testado → documentação técnica atualizada → impacto acadêmico revisado → documento mestre atualizado.</w:t>
      </w:r>
    </w:p>
    <w:p w14:paraId="77F578FB" w14:textId="77777777" w:rsidR="00E62C65" w:rsidRDefault="00474360">
      <w:pPr>
        <w:pStyle w:val="Ttulo1"/>
      </w:pPr>
      <w:bookmarkStart w:id="0" w:name="_Toc238653780"/>
      <w:r>
        <w:rPr>
          <w:rFonts w:ascii="Times New Roman" w:eastAsia="Times New Roman" w:hAnsi="Times New Roman"/>
        </w:rPr>
        <w:lastRenderedPageBreak/>
        <w:t>1 INTRODUÇÃO</w:t>
      </w:r>
      <w:bookmarkEnd w:id="0"/>
    </w:p>
    <w:p w14:paraId="1F2F27E7" w14:textId="77777777" w:rsidR="00E62C65" w:rsidRDefault="00474360">
      <w:pPr>
        <w:pStyle w:val="Ttulo2"/>
      </w:pPr>
      <w:bookmarkStart w:id="1" w:name="_Toc238653781"/>
      <w:r>
        <w:rPr>
          <w:rFonts w:ascii="Times New Roman" w:eastAsia="Times New Roman" w:hAnsi="Times New Roman"/>
        </w:rPr>
        <w:t>1.1 Contextualização</w:t>
      </w:r>
      <w:bookmarkEnd w:id="1"/>
    </w:p>
    <w:p w14:paraId="6F1A7FFD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acompanhamento pré-natal constitui um componente central da atenção à gestação e da promoção da saúde materno-infantil, sendo objeto de diretrizes internacionais que recomendam uma atenção organizada, periódica e centrada na gestante (WORLD HEALTH ORGANIZATION, 2016). No Brasil, essa atenção integra a política de saúde materno-infantil do Sistema Único de Saúde (SUS) e foi reafirmada, em sua configuração mais recente, pela Rede Alyne, instituída pela Portaria GM/MS nº 5.350, de 2024, que prevê a captação </w:t>
      </w:r>
      <w:r>
        <w:rPr>
          <w:rFonts w:eastAsia="Times New Roman"/>
        </w:rPr>
        <w:t>oportuna da gestante e a realização de um conjunto mínimo de consultas intercaladas entre diferentes profissionais (Brasil, 2024). A mortalidade materna permanece, todavia, um problema relevante em escala global (WORLD HEALTH ORGANIZATION, 2019, 2024), o que reforça a importância de estratégias que favoreçam a continuidade do acompanhamento.</w:t>
      </w:r>
    </w:p>
    <w:p w14:paraId="66ACFA27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Apesar da expansão da cobertura, a adequação e a continuidade do pré-natal permanecem desiguais no Brasil. Desigualdades socioeconômicas e barreiras de acesso estão associadas à menor adequação, à não realização, ao início tardio ou à descontinuidade do acompanhamento pré-natal, conforme a definição operacional adotada em cada estudo (Rosa; Silveira; Costa, 2014; Viellas et al., 2014; Degli Esposti et al., 2020; Santorio et al., 2024). Estudos conduzidos em diferentes contextos brasileiros evidenciam a asso</w:t>
      </w:r>
      <w:r>
        <w:rPr>
          <w:rFonts w:eastAsia="Times New Roman"/>
        </w:rPr>
        <w:t>ciação entre condições sociais e a não realização do pré-natal (Rosa; Silveira; Costa, 2014), bem como o papel de determinantes sociais na realização do acompanhamento, em análises de base populacional (Santorio et al., 2024). As desigualdades observadas assumem, ademais, recortes sociais e geográficos, refletindo-se no desempenho da assistência (Degli Esposti et al., 2020).</w:t>
      </w:r>
    </w:p>
    <w:p w14:paraId="1505A414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Os </w:t>
      </w:r>
      <w:r>
        <w:rPr>
          <w:rFonts w:eastAsia="Times New Roman"/>
        </w:rPr>
        <w:t>Determinantes Sociais da Saúde (DSS) constituem o conjunto de condições sociais, econômicas e ambientais em que as pessoas nascem, vivem e trabalham e que moldam as oportunidades de saúde, gerando iniquidades evitáveis quando distribuídos de forma desigual (Buss; Pellegrini Filho, 2007; CNDSS, 2008; Solar; Irwin, 2010; WORLD HEALTH ORGANIZATION, 2025). No escopo deste trabalho, esses determinantes são operacionalizados em seis dimensões — educação, trabalho e renda, saneamento, acesso aos serviços de saúde,</w:t>
      </w:r>
      <w:r>
        <w:rPr>
          <w:rFonts w:eastAsia="Times New Roman"/>
        </w:rPr>
        <w:t xml:space="preserve"> habitação e alimentação — que orientam a coleta estruturada de informações e a caracterização de perfis de vulnerabilidade social.</w:t>
      </w:r>
    </w:p>
    <w:p w14:paraId="14745B0D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Em paralelo, o avanço das tecnologias digitais em saúde tem ampliado as possibilidades de coleta, registro e acompanhamento dessas informações. Iniciativas de saúde móvel (mHealth) têm sido investigadas como apoio ao pré-natal e ao pós-parto (Feroz; </w:t>
      </w:r>
      <w:r>
        <w:rPr>
          <w:rFonts w:eastAsia="Times New Roman"/>
        </w:rPr>
        <w:lastRenderedPageBreak/>
        <w:t>Perveen; Aftab, 2017), e aplicativos voltados à gestação vêm sendo estudados como recurso de apoio ao autocuidado e à gestão da gravidez (Iyawa; Dansharif; Khan, 2021). No contexto brasileiro, a Estratégia de Saúde Digital para o Brasil 2020–2028 estabelece diretrizes para o uso de tecnologias digitais no sistema de saúde (Brasil, 2020). É nessa confluência entre os DSS, a saúde digital e o aprendizado de máquina que se insere a proposta deste trabalho.</w:t>
      </w:r>
    </w:p>
    <w:p w14:paraId="4ED5B5A6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O emprego de inteligência artificial na saúde pública tem sido objeto de crescente discussão (Alves; Terazima; Lima, 2025). Nesse contexto, este trabalho investiga experimentalmente o emprego de aprendizado de máquina supervisionado sobre variáveis estruturadas dos DSS para estimar a propensão à descontinuidade do acompanhamento pré-natal, materializando-se no aplicativo "Meu Bebê", que integra, em uma mesma aplicação, a coleta estruturada dos DSS e um módulo de acompanhamento do pré-natal.</w:t>
      </w:r>
    </w:p>
    <w:p w14:paraId="77A6766C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O estudo é conduzido sobre um dataset sintético, com finalidade de avaliação técnica e controlada da metodologia: os dados não representam prevalências reais e os resultados não autorizam inferência clínica ou populacional sobre gestantes reais. A estimativa produzida não constitui diagnóstico, classificação clínica ou certeza de descontinuidade, e nenhuma associação estatística é apresentada como relação causal. De modo complementar e separado do aplicativo, o estudo calcula, em seu componente analítico, o</w:t>
      </w:r>
      <w:r>
        <w:rPr>
          <w:rFonts w:eastAsia="Times New Roman"/>
        </w:rPr>
        <w:t xml:space="preserve"> Índice de Vulnerabilidade dos Determinantes Sociais da Saúde (IV-DSS), de caráter descritivo e experimental, destinado a caracterizar a vulnerabilidade social dos perfis representados no dataset sintético — distinto da probabilidade estimada pelo modelo.</w:t>
      </w:r>
    </w:p>
    <w:p w14:paraId="4819F443" w14:textId="77777777" w:rsidR="00E62C65" w:rsidRDefault="00474360">
      <w:pPr>
        <w:pStyle w:val="Ttulo2"/>
      </w:pPr>
      <w:bookmarkStart w:id="2" w:name="_Toc238653782"/>
      <w:r>
        <w:rPr>
          <w:rFonts w:ascii="Times New Roman" w:eastAsia="Times New Roman" w:hAnsi="Times New Roman"/>
        </w:rPr>
        <w:t>1.2 Problema de pesquisa</w:t>
      </w:r>
      <w:bookmarkEnd w:id="2"/>
    </w:p>
    <w:p w14:paraId="26BC7EE4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Apesar da existência de diretrizes nacionais e da expansão do acesso, persistem desigualdades na adequação e na continuidade do acompanhamento pré-natal, associadas a condições sociais e a barreiras de acesso (Rosa; Silveira; Costa, 2014; Viellas et al., 2014; Degli Esposti et al., 2020; Santorio et al., 2024). A disponibilidade de informações estruturadas sobre os DSS abre espaço para investigar se técnicas de aprendizado de máquina podem, a partir dessas variáveis, produzir estimativas experimentais de pr</w:t>
      </w:r>
      <w:r>
        <w:rPr>
          <w:rFonts w:eastAsia="Times New Roman"/>
        </w:rPr>
        <w:t>opensão à descontinuidade.</w:t>
      </w:r>
    </w:p>
    <w:p w14:paraId="285CAE6C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É necessário, contudo, distinguir o fenômeno real — a descontinuidade do acompanhamento pré-natal, cuja operacionalização longitudinal com dados reais ainda exige fundamentação específica — da variável-alvo experimental adotada neste estudo, definida sobre dados sintéticos. O problema investigado, portanto, pode ser enunciado nos seguintes termos: </w:t>
      </w:r>
      <w:r>
        <w:rPr>
          <w:rFonts w:eastAsia="Times New Roman"/>
          <w:b/>
        </w:rPr>
        <w:t xml:space="preserve">em que medida uma abordagem experimental de aprendizado de máquina </w:t>
      </w:r>
      <w:r>
        <w:rPr>
          <w:rFonts w:eastAsia="Times New Roman"/>
          <w:b/>
        </w:rPr>
        <w:lastRenderedPageBreak/>
        <w:t>baseada nos DSS, inicialmente avaliada com dados sintéticos, é capaz de produzir estimativas de propensão à descontinuidade do acompanhamento pré-natal?</w:t>
      </w:r>
    </w:p>
    <w:p w14:paraId="069C248D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Não se pretende, com este trabalho, estabelecer causalidade nem produzir diagnóstico ou classificação clínica. Trata-se de avaliar, de forma controlada e reproduzível, a viabilidade técnica de um pipeline computacional que relacione os DSS a um desfecho experimental.</w:t>
      </w:r>
    </w:p>
    <w:p w14:paraId="2F32FB5B" w14:textId="77777777" w:rsidR="00E62C65" w:rsidRDefault="00474360">
      <w:pPr>
        <w:pStyle w:val="Ttulo2"/>
      </w:pPr>
      <w:bookmarkStart w:id="3" w:name="_Toc238653783"/>
      <w:r>
        <w:rPr>
          <w:rFonts w:ascii="Times New Roman" w:eastAsia="Times New Roman" w:hAnsi="Times New Roman"/>
        </w:rPr>
        <w:t>1.3 Justificativa</w:t>
      </w:r>
      <w:bookmarkEnd w:id="3"/>
    </w:p>
    <w:p w14:paraId="51E1AC7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A relevância social deste trabalho reside na centralidade do pré-natal para a saúde materna e na persistência de desigualdades de acesso e de continuidade, documentadas para o contexto brasileiro (Rosa; Silveira; Costa, 2014; Viellas et al., 2014; Degli Esposti et al., 2020). A mortalidade materna permanece um problema relevante em escala global (WORLD HEALTH ORGANIZATION, 2019, 2024), e o acompanhamento pré-natal adequado figura entre as estratégias de prevenção recomendadas (WORLD HEALTH ORGANIZATION, 201</w:t>
      </w:r>
      <w:r>
        <w:rPr>
          <w:rFonts w:eastAsia="Times New Roman"/>
        </w:rPr>
        <w:t>6). Compreender como condições relacionadas aos DSS se associam às desigualdades observadas na adequação e na continuidade desse acompanhamento pode subsidiar o planejamento da atenção, ainda que este trabalho não se proponha a intervir diretamente sobre esse fenômeno nem a estabelecer relações de causalidade.</w:t>
      </w:r>
    </w:p>
    <w:p w14:paraId="59A36731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Do ponto de vista científico e tecnológico, justifica-se investigar se uma abordagem de aprendizado de máquina, aplicada a dados estruturados dos DSS, é capaz de produzir estimativas de propensão passíveis de avaliação segundo o protocolo experimental adotado. A opção por um dataset sintético permite a avaliação controlada e reproduzível do pipeline, ao mesmo tempo em que afasta qualquer leitura de validade clínica ou de representatividade populacional: os dados não representam prevalências reais nem autori</w:t>
      </w:r>
      <w:r>
        <w:rPr>
          <w:rFonts w:eastAsia="Times New Roman"/>
        </w:rPr>
        <w:t>zam inferência sobre gestantes reais.</w:t>
      </w:r>
    </w:p>
    <w:p w14:paraId="6CBAA195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A solução tecnológica proposta reúne, no aplicativo, a coleta estruturada dos DSS, o módulo de acompanhamento do pré-natal e o consumo da estimativa experimental produzida pelo pipeline de aprendizado de máquina. Paralelamente, no componente analítico do estudo, é calculado o Índice de Vulnerabilidade dos Determinantes Sociais da Saúde (IV-DSS), de caráter descritivo e experimental, distinto da probabilidade produzida pelo modelo e sem configurar classificação clínica. Prevê-se, para o módulo de acompanhame</w:t>
      </w:r>
      <w:r>
        <w:rPr>
          <w:rFonts w:eastAsia="Times New Roman"/>
        </w:rPr>
        <w:t>nto, a integração a uma API para persistência e gerenciamento dos dados. Essa integração — questionário, estimativa e acompanhamento em uma mesma solução — constitui um resultado de engenharia relevante, independentemente do desempenho preditivo alcançado pelo modelo.</w:t>
      </w:r>
    </w:p>
    <w:p w14:paraId="4ED5C8B7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lastRenderedPageBreak/>
        <w:t>Acrescenta-se a relevância acadêmica: o trabalho consolida um pipeline experimental reproduzível — contrato de dados, geração controlada de dados sintéticos, protocolo de treinamento e validação, métricas adequadas a classes desbalanceadas e integração de software — que poderá ser reutilizado em etapas futuras com dados reais, sob os devidos requisitos éticos e de consentimento.</w:t>
      </w:r>
    </w:p>
    <w:p w14:paraId="7A81EA6C" w14:textId="77777777" w:rsidR="00E62C65" w:rsidRDefault="00474360">
      <w:pPr>
        <w:pStyle w:val="Ttulo2"/>
      </w:pPr>
      <w:bookmarkStart w:id="4" w:name="_Toc238653784"/>
      <w:r>
        <w:rPr>
          <w:rFonts w:ascii="Times New Roman" w:eastAsia="Times New Roman" w:hAnsi="Times New Roman"/>
        </w:rPr>
        <w:t>1.4 Objetivos</w:t>
      </w:r>
      <w:bookmarkEnd w:id="4"/>
    </w:p>
    <w:p w14:paraId="650B182F" w14:textId="77777777" w:rsidR="00E62C65" w:rsidRDefault="00474360">
      <w:pPr>
        <w:pStyle w:val="Ttulo3"/>
      </w:pPr>
      <w:bookmarkStart w:id="5" w:name="_Toc238653785"/>
      <w:r>
        <w:rPr>
          <w:rFonts w:ascii="Times New Roman" w:eastAsia="Times New Roman" w:hAnsi="Times New Roman"/>
        </w:rPr>
        <w:t>1.4.1 Objetivo geral</w:t>
      </w:r>
      <w:bookmarkEnd w:id="5"/>
    </w:p>
    <w:p w14:paraId="75ABB317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Desenvolver um aplicativo móvel para coleta estruturada dos Determinantes Sociais da Saúde e acompanhamento do pré-natal, construir um Índice de Vulnerabilidade dos DSS (IV-DSS) para caracterização dos perfis representados no dataset sintético, e desenvolver um modelo de aprendizado de máquina — treinado e avaliado sobre um dataset sintético — capaz de estimar a propensão à descontinuidade do acompanhamento pré-natal.</w:t>
      </w:r>
    </w:p>
    <w:p w14:paraId="57026866" w14:textId="77777777" w:rsidR="00E62C65" w:rsidRDefault="00474360">
      <w:pPr>
        <w:pStyle w:val="Ttulo3"/>
      </w:pPr>
      <w:bookmarkStart w:id="6" w:name="_Toc238653786"/>
      <w:r>
        <w:rPr>
          <w:rFonts w:ascii="Times New Roman" w:eastAsia="Times New Roman" w:hAnsi="Times New Roman"/>
        </w:rPr>
        <w:t>1.4.2 Objetivos específicos</w:t>
      </w:r>
      <w:bookmarkEnd w:id="6"/>
    </w:p>
    <w:p w14:paraId="126BF264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1. </w:t>
      </w:r>
      <w:r>
        <w:rPr>
          <w:rFonts w:eastAsia="Times New Roman"/>
        </w:rPr>
        <w:t>Modelar os DSS em um contrato de dados canônico, versionado e reproduzível.</w:t>
      </w:r>
    </w:p>
    <w:p w14:paraId="523E97EE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2. </w:t>
      </w:r>
      <w:r>
        <w:rPr>
          <w:rFonts w:eastAsia="Times New Roman"/>
        </w:rPr>
        <w:t xml:space="preserve">Construir um Índice de </w:t>
      </w:r>
      <w:r>
        <w:rPr>
          <w:rFonts w:eastAsia="Times New Roman"/>
        </w:rPr>
        <w:t>Vulnerabilidade dos DSS (IV-DSS), baseado nas dimensões investigadas, para caracterizar o nível de vulnerabilidade social dos perfis representados no dataset sintético.</w:t>
      </w:r>
    </w:p>
    <w:p w14:paraId="465768BE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3. </w:t>
      </w:r>
      <w:r>
        <w:rPr>
          <w:rFonts w:eastAsia="Times New Roman"/>
        </w:rPr>
        <w:t>Desenvolver o aplicativo Flutter com o questionário dos Determinantes Sociais da Saúde e o módulo de acompanhamento do pré-natal, integrando este último a uma API para persistência e gerenciamento dos dados.</w:t>
      </w:r>
    </w:p>
    <w:p w14:paraId="225A0E5A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4. </w:t>
      </w:r>
      <w:r>
        <w:rPr>
          <w:rFonts w:eastAsia="Times New Roman"/>
        </w:rPr>
        <w:t>Definir a variável-alvo experimental utilizada no estudo sintético, distinguindo-a da futura operacionalização longitudinal com dados reais.</w:t>
      </w:r>
    </w:p>
    <w:p w14:paraId="73E5578D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5. </w:t>
      </w:r>
      <w:r>
        <w:rPr>
          <w:rFonts w:eastAsia="Times New Roman"/>
        </w:rPr>
        <w:t>Gerar um dataset sintético reproduzível (seed fixa), com dependências probabilísticas controladas e explicitamente definidas entre os DSS e o desfecho sintético.</w:t>
      </w:r>
    </w:p>
    <w:p w14:paraId="405CB9A7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6. </w:t>
      </w:r>
      <w:r>
        <w:rPr>
          <w:rFonts w:eastAsia="Times New Roman"/>
        </w:rPr>
        <w:t>Aplicar e avaliar técnicas de aprendizado de máquina para estimar a propensão à descontinuidade do acompanhamento pré-natal.</w:t>
      </w:r>
    </w:p>
    <w:p w14:paraId="404B1834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7. </w:t>
      </w:r>
      <w:r>
        <w:rPr>
          <w:rFonts w:eastAsia="Times New Roman"/>
        </w:rPr>
        <w:t>Avaliar os modelos por métricas adequadas a classes desbalanceadas.</w:t>
      </w:r>
    </w:p>
    <w:p w14:paraId="1BEC693F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8. </w:t>
      </w:r>
      <w:r>
        <w:rPr>
          <w:rFonts w:eastAsia="Times New Roman"/>
        </w:rPr>
        <w:t xml:space="preserve">Integrar o questionário dos Determinantes Sociais da Saúde ao serviço de API e ao modelo de aprendizado de máquina, estabelecendo o fluxo Flutter → API → ML para </w:t>
      </w:r>
      <w:r>
        <w:rPr>
          <w:rFonts w:eastAsia="Times New Roman"/>
        </w:rPr>
        <w:lastRenderedPageBreak/>
        <w:t>obtenção da estimativa experimental de propensão à descontinuidade do acompanhamento pré-natal.</w:t>
      </w:r>
    </w:p>
    <w:p w14:paraId="578E4E02" w14:textId="77777777" w:rsidR="00E62C65" w:rsidRDefault="00474360">
      <w:pPr>
        <w:pStyle w:val="Ttulo2"/>
      </w:pPr>
      <w:bookmarkStart w:id="7" w:name="_Toc238653787"/>
      <w:r>
        <w:rPr>
          <w:rFonts w:ascii="Times New Roman" w:eastAsia="Times New Roman" w:hAnsi="Times New Roman"/>
        </w:rPr>
        <w:t>1.5 Estrutura do trabalho</w:t>
      </w:r>
      <w:bookmarkEnd w:id="7"/>
    </w:p>
    <w:p w14:paraId="09537E71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Além desta introdução, o trabalho organiza-se em cinco capítulos. O Capítulo 2 apresenta a </w:t>
      </w:r>
      <w:r>
        <w:rPr>
          <w:rFonts w:eastAsia="Times New Roman"/>
        </w:rPr>
        <w:t xml:space="preserve">fundamentação teórica, abordando o pré-natal e a saúde materna, os Determinantes Sociais da Saúde, a vulnerabilidade e os índices compostos, o aprendizado de máquina supervisionado e os trabalhos relacionados. O Capítulo 3 descreve a metodologia, abrangendo o tipo de pesquisa, as dimensões dos DSS adotadas, a construção do IV-DSS, a modelagem dos dados, a população e a variável-alvo, a geração do dataset sintético, a seleção de variáveis, os modelos, o treinamento e a validação, as métricas, o procedimento </w:t>
      </w:r>
      <w:r>
        <w:rPr>
          <w:rFonts w:eastAsia="Times New Roman"/>
        </w:rPr>
        <w:t>de validação da integração entre aplicativo, API e modelo, e os aspectos éticos e limitações. O Capítulo 4 detalha o desenvolvimento da solução, com a arquitetura e os eixos funcionais do aplicativo e a integração com a API e o modelo. O Capítulo 5 apresenta e discute os resultados experimentais e a validação da implementação de software. O Capítulo 6 conclui o trabalho, retomando os objetivos, sintetizando contribuições e limitações e indicando trabalhos futuros.</w:t>
      </w:r>
    </w:p>
    <w:p w14:paraId="6326751D" w14:textId="77777777" w:rsidR="00E62C65" w:rsidRDefault="00474360">
      <w:r>
        <w:br w:type="page"/>
      </w:r>
    </w:p>
    <w:p w14:paraId="5567BEFD" w14:textId="77777777" w:rsidR="00E62C65" w:rsidRDefault="00474360">
      <w:pPr>
        <w:pStyle w:val="Ttulo1"/>
        <w:spacing w:before="0"/>
      </w:pPr>
      <w:bookmarkStart w:id="8" w:name="_Toc238653788"/>
      <w:r>
        <w:rPr>
          <w:rFonts w:ascii="Times New Roman" w:eastAsia="Times New Roman" w:hAnsi="Times New Roman"/>
        </w:rPr>
        <w:lastRenderedPageBreak/>
        <w:t>2 FUNDAMENTAÇÃO TEÓRICA</w:t>
      </w:r>
      <w:bookmarkEnd w:id="8"/>
    </w:p>
    <w:p w14:paraId="0816C781" w14:textId="77777777" w:rsidR="00E62C65" w:rsidRDefault="00474360">
      <w:pPr>
        <w:pStyle w:val="EditorialStatus"/>
      </w:pPr>
      <w:r>
        <w:rPr>
          <w:rFonts w:eastAsia="Times New Roman"/>
        </w:rPr>
        <w:t>STATUS EDITORIAL — estrutura definida e cobertura bibliográfica validada; redação acadêmica detalhada será produzida após esta montagem inicial do DOCX.</w:t>
      </w:r>
    </w:p>
    <w:p w14:paraId="6CF0604D" w14:textId="77777777" w:rsidR="00E62C65" w:rsidRDefault="00474360">
      <w:pPr>
        <w:pStyle w:val="Ttulo2"/>
      </w:pPr>
      <w:bookmarkStart w:id="9" w:name="_Toc238653789"/>
      <w:r>
        <w:rPr>
          <w:rFonts w:ascii="Times New Roman" w:eastAsia="Times New Roman" w:hAnsi="Times New Roman"/>
        </w:rPr>
        <w:t>2.1 Pré-natal e saúde materna</w:t>
      </w:r>
      <w:bookmarkEnd w:id="9"/>
    </w:p>
    <w:p w14:paraId="5CAB4BE7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Esta subseção abordará organização do cuidado pré-natal, continuidade/adequação, saúde materna e contexto brasileiro, preservando as definições operacionais específicas de cada estudo.</w:t>
      </w:r>
    </w:p>
    <w:p w14:paraId="328BC658" w14:textId="77777777" w:rsidR="00E62C65" w:rsidRDefault="00474360">
      <w:pPr>
        <w:pStyle w:val="Ttulo2"/>
      </w:pPr>
      <w:bookmarkStart w:id="10" w:name="_Toc238653790"/>
      <w:r>
        <w:rPr>
          <w:rFonts w:ascii="Times New Roman" w:eastAsia="Times New Roman" w:hAnsi="Times New Roman"/>
        </w:rPr>
        <w:t>2.2 Determinantes Sociais da Saúde</w:t>
      </w:r>
      <w:bookmarkEnd w:id="10"/>
    </w:p>
    <w:p w14:paraId="3744E740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Esta subseção desenvolverá os referenciais de DSS, incluindo modelos conceituais, desigualdades e sua relação com o acompanhamento pré-natal.</w:t>
      </w:r>
    </w:p>
    <w:p w14:paraId="69684E73" w14:textId="77777777" w:rsidR="00E62C65" w:rsidRDefault="00474360">
      <w:pPr>
        <w:pStyle w:val="Ttulo2"/>
      </w:pPr>
      <w:bookmarkStart w:id="11" w:name="_Toc238653791"/>
      <w:r>
        <w:rPr>
          <w:rFonts w:ascii="Times New Roman" w:eastAsia="Times New Roman" w:hAnsi="Times New Roman"/>
        </w:rPr>
        <w:t>2.3 Vulnerabilidade e índices compostos</w:t>
      </w:r>
      <w:bookmarkEnd w:id="11"/>
    </w:p>
    <w:p w14:paraId="61968790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Esta subseção diferenciará vulnerabilidade de risco e fundamentará a construção de índices compostos, com Ayres et al. e OECD/JRC entre as referências centrais.</w:t>
      </w:r>
    </w:p>
    <w:p w14:paraId="66DB8DD4" w14:textId="77777777" w:rsidR="00E62C65" w:rsidRDefault="00474360">
      <w:pPr>
        <w:pStyle w:val="Ttulo2"/>
      </w:pPr>
      <w:bookmarkStart w:id="12" w:name="_Toc238653792"/>
      <w:r>
        <w:rPr>
          <w:rFonts w:ascii="Times New Roman" w:eastAsia="Times New Roman" w:hAnsi="Times New Roman"/>
        </w:rPr>
        <w:t>2.4 Aprendizado de máquina supervisionado</w:t>
      </w:r>
      <w:bookmarkEnd w:id="12"/>
    </w:p>
    <w:p w14:paraId="0FDCFB26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Esta subseção apresentará classificação supervisionada, regressão logística, Random Forest, XGBoost, métricas para desbalanceamento, calibração e limites de uso em saúde.</w:t>
      </w:r>
    </w:p>
    <w:p w14:paraId="2B9BA152" w14:textId="77777777" w:rsidR="00E62C65" w:rsidRDefault="00474360">
      <w:pPr>
        <w:pStyle w:val="Ttulo2"/>
      </w:pPr>
      <w:bookmarkStart w:id="13" w:name="_Toc238653793"/>
      <w:r>
        <w:rPr>
          <w:rFonts w:ascii="Times New Roman" w:eastAsia="Times New Roman" w:hAnsi="Times New Roman"/>
        </w:rPr>
        <w:t>2.5 Trabalhos relacionados</w:t>
      </w:r>
      <w:bookmarkEnd w:id="13"/>
    </w:p>
    <w:p w14:paraId="0C888954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Esta subseção comparará o corpus selecionado de trabalhos relacionados a ML e pré-natal, sem alegação universal de ineditismo.</w:t>
      </w:r>
    </w:p>
    <w:p w14:paraId="6D091A61" w14:textId="77777777" w:rsidR="00E62C65" w:rsidRDefault="00474360">
      <w:r>
        <w:br w:type="page"/>
      </w:r>
    </w:p>
    <w:p w14:paraId="1145E44A" w14:textId="77777777" w:rsidR="00E62C65" w:rsidRDefault="00474360">
      <w:pPr>
        <w:pStyle w:val="Ttulo1"/>
        <w:spacing w:before="0"/>
      </w:pPr>
      <w:bookmarkStart w:id="14" w:name="_Toc238653794"/>
      <w:r>
        <w:rPr>
          <w:rFonts w:ascii="Times New Roman" w:eastAsia="Times New Roman" w:hAnsi="Times New Roman"/>
        </w:rPr>
        <w:lastRenderedPageBreak/>
        <w:t>3 METODOLOGIA</w:t>
      </w:r>
      <w:bookmarkEnd w:id="14"/>
    </w:p>
    <w:p w14:paraId="4153B7D6" w14:textId="77777777" w:rsidR="00E62C65" w:rsidRDefault="00474360">
      <w:pPr>
        <w:pStyle w:val="EditorialStatus"/>
      </w:pPr>
      <w:r>
        <w:rPr>
          <w:rFonts w:eastAsia="Times New Roman"/>
        </w:rPr>
        <w:t>STATUS EDITORIAL — conteúdo técnico consolidado incorporado do documento principal do projeto. A redação e as citações metodológicas ainda serão lapidadas antes do congelamento deste capítulo.</w:t>
      </w:r>
    </w:p>
    <w:p w14:paraId="43C0551F" w14:textId="77777777" w:rsidR="00E62C65" w:rsidRDefault="00474360">
      <w:pPr>
        <w:pStyle w:val="Ttulo2"/>
      </w:pPr>
      <w:bookmarkStart w:id="15" w:name="_Toc238653795"/>
      <w:r>
        <w:rPr>
          <w:rFonts w:ascii="Times New Roman" w:eastAsia="Times New Roman" w:hAnsi="Times New Roman"/>
        </w:rPr>
        <w:t>3.1 Tipo de pesquisa</w:t>
      </w:r>
      <w:bookmarkEnd w:id="15"/>
    </w:p>
    <w:p w14:paraId="448E71E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Pesquisa aplicada, de natureza experimental/quantitativa, com dados sintéticos (fase de validação técnica da metodologia). </w:t>
      </w:r>
      <w:r>
        <w:rPr>
          <w:rFonts w:eastAsia="Times New Roman"/>
          <w:b/>
        </w:rPr>
        <w:t>[DECISÃO DO AUTOR]</w:t>
      </w:r>
      <w:r>
        <w:rPr>
          <w:rFonts w:eastAsia="Times New Roman"/>
        </w:rPr>
        <w:t xml:space="preserve"> — refinamento do enquadramento no texto final.</w:t>
      </w:r>
    </w:p>
    <w:p w14:paraId="27B5B857" w14:textId="77777777" w:rsidR="00E62C65" w:rsidRDefault="00474360">
      <w:pPr>
        <w:pStyle w:val="Ttulo2"/>
      </w:pPr>
      <w:bookmarkStart w:id="16" w:name="_Toc238653796"/>
      <w:r>
        <w:rPr>
          <w:rFonts w:ascii="Times New Roman" w:eastAsia="Times New Roman" w:hAnsi="Times New Roman"/>
        </w:rPr>
        <w:t>3.2 Determinantes Sociais da Saúde utilizados</w:t>
      </w:r>
      <w:bookmarkEnd w:id="16"/>
    </w:p>
    <w:p w14:paraId="016DA545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instrumento coleta </w:t>
      </w:r>
      <w:r>
        <w:rPr>
          <w:rFonts w:eastAsia="Times New Roman"/>
          <w:b/>
        </w:rPr>
        <w:t>seis dimensões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48 variáveis</w:t>
      </w:r>
      <w:r>
        <w:rPr>
          <w:rFonts w:eastAsia="Times New Roman"/>
        </w:rPr>
        <w:t>:</w:t>
      </w:r>
    </w:p>
    <w:p w14:paraId="6669FC5D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1. </w:t>
      </w:r>
      <w:r>
        <w:rPr>
          <w:rFonts w:eastAsia="Times New Roman"/>
          <w:b/>
        </w:rPr>
        <w:t>Educação</w:t>
      </w:r>
    </w:p>
    <w:p w14:paraId="0B0373C0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2. </w:t>
      </w:r>
      <w:r>
        <w:rPr>
          <w:rFonts w:eastAsia="Times New Roman"/>
          <w:b/>
        </w:rPr>
        <w:t>Trabalho e renda</w:t>
      </w:r>
    </w:p>
    <w:p w14:paraId="1E7C4446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3. </w:t>
      </w:r>
      <w:r>
        <w:rPr>
          <w:rFonts w:eastAsia="Times New Roman"/>
          <w:b/>
        </w:rPr>
        <w:t>Saneamento</w:t>
      </w:r>
    </w:p>
    <w:p w14:paraId="2053FBC3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4. </w:t>
      </w:r>
      <w:r>
        <w:rPr>
          <w:rFonts w:eastAsia="Times New Roman"/>
          <w:b/>
        </w:rPr>
        <w:t>Acesso aos serviços de saúde</w:t>
      </w:r>
    </w:p>
    <w:p w14:paraId="50EE2282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5. </w:t>
      </w:r>
      <w:r>
        <w:rPr>
          <w:rFonts w:eastAsia="Times New Roman"/>
          <w:b/>
        </w:rPr>
        <w:t>Habitação</w:t>
      </w:r>
    </w:p>
    <w:p w14:paraId="5AAEB7AE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6. </w:t>
      </w:r>
      <w:r>
        <w:rPr>
          <w:rFonts w:eastAsia="Times New Roman"/>
          <w:b/>
        </w:rPr>
        <w:t>Alimentação</w:t>
      </w:r>
    </w:p>
    <w:p w14:paraId="7BC981F9" w14:textId="77777777" w:rsidR="00E62C65" w:rsidRDefault="00474360">
      <w:pPr>
        <w:pStyle w:val="EditorialStatus"/>
      </w:pPr>
      <w:r>
        <w:rPr>
          <w:rFonts w:eastAsia="Times New Roman"/>
          <w:b/>
        </w:rPr>
        <w:t>Observação de nomenclatura:</w:t>
      </w:r>
      <w:r>
        <w:rPr>
          <w:rFonts w:eastAsia="Times New Roman"/>
        </w:rPr>
        <w:t xml:space="preserve"> o formulário possui uma dimensão denominada</w:t>
      </w:r>
    </w:p>
    <w:p w14:paraId="7C8C1FA5" w14:textId="77777777" w:rsidR="00E62C65" w:rsidRDefault="00474360">
      <w:pPr>
        <w:pStyle w:val="EditorialStatus"/>
      </w:pPr>
      <w:r>
        <w:rPr>
          <w:rFonts w:eastAsia="Times New Roman"/>
        </w:rPr>
        <w:t>"Saúde", porém, após a exclusão das variáveis relacionadas à adesão/desfecho</w:t>
      </w:r>
    </w:p>
    <w:p w14:paraId="26A6F641" w14:textId="77777777" w:rsidR="00E62C65" w:rsidRDefault="00474360">
      <w:pPr>
        <w:pStyle w:val="EditorialStatus"/>
      </w:pPr>
      <w:r>
        <w:rPr>
          <w:rFonts w:eastAsia="Times New Roman"/>
        </w:rPr>
        <w:t>(ver 4.7), o IV-DSS e o modelo utilizam apenas os indicadores relacionados ao</w:t>
      </w:r>
    </w:p>
    <w:p w14:paraId="6E41D215" w14:textId="77777777" w:rsidR="00E62C65" w:rsidRDefault="00474360">
      <w:pPr>
        <w:pStyle w:val="EditorialStatus"/>
      </w:pPr>
      <w:r>
        <w:rPr>
          <w:rFonts w:eastAsia="Times New Roman"/>
          <w:b/>
        </w:rPr>
        <w:t>acesso</w:t>
      </w:r>
      <w:r>
        <w:rPr>
          <w:rFonts w:eastAsia="Times New Roman"/>
        </w:rPr>
        <w:t xml:space="preserve"> aos serviços de saúde. Isso evita a interpretação de que o índice</w:t>
      </w:r>
    </w:p>
    <w:p w14:paraId="6E2571DA" w14:textId="77777777" w:rsidR="00E62C65" w:rsidRDefault="00474360">
      <w:pPr>
        <w:pStyle w:val="EditorialStatus"/>
      </w:pPr>
      <w:r>
        <w:rPr>
          <w:rFonts w:eastAsia="Times New Roman"/>
        </w:rPr>
        <w:t xml:space="preserve">mede qualidade ou adesão ao pré-natal — ele mede </w:t>
      </w:r>
      <w:r>
        <w:rPr>
          <w:rFonts w:eastAsia="Times New Roman"/>
          <w:b/>
        </w:rPr>
        <w:t>vulnerabilidade de acesso</w:t>
      </w:r>
      <w:r>
        <w:rPr>
          <w:rFonts w:eastAsia="Times New Roman"/>
        </w:rPr>
        <w:t>.</w:t>
      </w:r>
    </w:p>
    <w:p w14:paraId="2D8DACB6" w14:textId="77777777" w:rsidR="00E62C65" w:rsidRDefault="00474360">
      <w:pPr>
        <w:pStyle w:val="Ttulo2"/>
      </w:pPr>
      <w:bookmarkStart w:id="17" w:name="_Toc238653797"/>
      <w:r>
        <w:rPr>
          <w:rFonts w:ascii="Times New Roman" w:eastAsia="Times New Roman" w:hAnsi="Times New Roman"/>
        </w:rPr>
        <w:t>3.3 Construção do Índice de Vulnerabilidade dos DSS (IV-DSS)</w:t>
      </w:r>
      <w:bookmarkEnd w:id="17"/>
    </w:p>
    <w:p w14:paraId="2F2786FA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</w:t>
      </w:r>
      <w:r>
        <w:rPr>
          <w:rFonts w:eastAsia="Times New Roman"/>
          <w:b/>
        </w:rPr>
        <w:t>IV-DSS</w:t>
      </w:r>
      <w:r>
        <w:rPr>
          <w:rFonts w:eastAsia="Times New Roman"/>
        </w:rPr>
        <w:t xml:space="preserve"> é uma </w:t>
      </w:r>
      <w:r>
        <w:rPr>
          <w:rFonts w:eastAsia="Times New Roman"/>
          <w:b/>
        </w:rPr>
        <w:t>medida agregada de caracterização</w:t>
      </w:r>
      <w:r>
        <w:rPr>
          <w:rFonts w:eastAsia="Times New Roman"/>
        </w:rPr>
        <w:t xml:space="preserve"> da vulnerabilidade social dos perfis representados no dataset sintético. É um </w:t>
      </w:r>
      <w:r>
        <w:rPr>
          <w:rFonts w:eastAsia="Times New Roman"/>
          <w:b/>
        </w:rPr>
        <w:t>índice descritivo experimental</w:t>
      </w:r>
      <w:r>
        <w:rPr>
          <w:rFonts w:eastAsia="Times New Roman"/>
        </w:rPr>
        <w:t xml:space="preserve">: não é um instrumento validado, nem escala diagnóstica, nem índice epidemiologicamente validado. </w:t>
      </w:r>
      <w:r>
        <w:rPr>
          <w:rFonts w:eastAsia="Times New Roman"/>
          <w:b/>
        </w:rPr>
        <w:t>Não é</w:t>
      </w:r>
      <w:r>
        <w:rPr>
          <w:rFonts w:eastAsia="Times New Roman"/>
        </w:rPr>
        <w:t xml:space="preserve"> variável-alvo e </w:t>
      </w:r>
      <w:r>
        <w:rPr>
          <w:rFonts w:eastAsia="Times New Roman"/>
          <w:b/>
        </w:rPr>
        <w:t>não é</w:t>
      </w:r>
      <w:r>
        <w:rPr>
          <w:rFonts w:eastAsia="Times New Roman"/>
        </w:rPr>
        <w:t xml:space="preserve"> sinônimo de risco de descontinuidade. A especificação técnica completa encontra-se em </w:t>
      </w:r>
      <w:r>
        <w:rPr>
          <w:rFonts w:ascii="Courier New" w:eastAsia="Courier New" w:hAnsi="Courier New"/>
          <w:sz w:val="22"/>
        </w:rPr>
        <w:t>docs/planejamento_dataset_sintetico.md</w:t>
      </w:r>
      <w:r>
        <w:rPr>
          <w:rFonts w:eastAsia="Times New Roman"/>
        </w:rPr>
        <w:t>.</w:t>
      </w:r>
    </w:p>
    <w:p w14:paraId="1A71FBE4" w14:textId="77777777" w:rsidR="00E62C65" w:rsidRDefault="00474360">
      <w:pPr>
        <w:pStyle w:val="Ttulo3"/>
      </w:pPr>
      <w:bookmarkStart w:id="18" w:name="_Toc238653798"/>
      <w:r>
        <w:rPr>
          <w:rFonts w:ascii="Times New Roman" w:eastAsia="Times New Roman" w:hAnsi="Times New Roman"/>
        </w:rPr>
        <w:t>3.3.1 Definição conceitual</w:t>
      </w:r>
      <w:bookmarkEnd w:id="18"/>
    </w:p>
    <w:p w14:paraId="21D90FDB" w14:textId="77777777" w:rsidR="00E62C65" w:rsidRDefault="00474360">
      <w:pPr>
        <w:pStyle w:val="CodeBlock"/>
        <w:shd w:val="clear" w:color="auto" w:fill="F2F2F2"/>
      </w:pPr>
      <w:r>
        <w:rPr>
          <w:rFonts w:eastAsia="Courier New"/>
        </w:rPr>
        <w:t xml:space="preserve">          DSS</w:t>
      </w:r>
      <w:r>
        <w:rPr>
          <w:rFonts w:eastAsia="Courier New"/>
        </w:rPr>
        <w:br/>
        <w:t xml:space="preserve">           │</w:t>
      </w:r>
      <w:r>
        <w:rPr>
          <w:rFonts w:eastAsia="Courier New"/>
        </w:rPr>
        <w:br/>
        <w:t xml:space="preserve">           ├──→ IV-DSS</w:t>
      </w:r>
      <w:r>
        <w:rPr>
          <w:rFonts w:eastAsia="Courier New"/>
        </w:rPr>
        <w:br/>
        <w:t xml:space="preserve">           │        └── caracteriza o nível agregado de vulnerabilidade social</w:t>
      </w:r>
      <w:r>
        <w:rPr>
          <w:rFonts w:eastAsia="Courier New"/>
        </w:rPr>
        <w:br/>
        <w:t xml:space="preserve">           │</w:t>
      </w:r>
      <w:r>
        <w:rPr>
          <w:rFonts w:eastAsia="Courier New"/>
        </w:rPr>
        <w:br/>
      </w:r>
      <w:r>
        <w:rPr>
          <w:rFonts w:eastAsia="Courier New"/>
        </w:rPr>
        <w:lastRenderedPageBreak/>
        <w:t xml:space="preserve">           └──→ Modelo de ML</w:t>
      </w:r>
      <w:r>
        <w:rPr>
          <w:rFonts w:eastAsia="Courier New"/>
        </w:rPr>
        <w:br/>
        <w:t xml:space="preserve">                    └── estima a propensão à descontinuidade do pré-natal</w:t>
      </w:r>
    </w:p>
    <w:p w14:paraId="1F41F69D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IV-DSS ≠ probabilidade de descontinuidade.</w:t>
      </w:r>
      <w:r>
        <w:rPr>
          <w:rFonts w:eastAsia="Times New Roman"/>
        </w:rPr>
        <w:t xml:space="preserve"> O índice responde a _"qual o nível de vulnerabilidade social da gestante segundo os DSS?"_; o modelo responde a _"qual a propensão à descontinuidade do pré-natal?"_.</w:t>
      </w:r>
    </w:p>
    <w:p w14:paraId="409EA566" w14:textId="77777777" w:rsidR="00E62C65" w:rsidRDefault="00474360">
      <w:pPr>
        <w:pStyle w:val="Ttulo3"/>
      </w:pPr>
      <w:bookmarkStart w:id="19" w:name="_Toc238653799"/>
      <w:r>
        <w:rPr>
          <w:rFonts w:ascii="Times New Roman" w:eastAsia="Times New Roman" w:hAnsi="Times New Roman"/>
        </w:rPr>
        <w:t>3.3.2 Estrutura (três níveis de agregação)</w:t>
      </w:r>
      <w:bookmarkEnd w:id="19"/>
    </w:p>
    <w:p w14:paraId="213C1505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Nível 1 — indicador → escore:</w:t>
      </w:r>
      <w:r>
        <w:rPr>
          <w:rFonts w:eastAsia="Times New Roman"/>
        </w:rPr>
        <w:t xml:space="preserve"> cada indicador selecionado é transformado em um escore de vulnerabilidade </w:t>
      </w:r>
      <w:r>
        <w:rPr>
          <w:rFonts w:ascii="Courier New" w:eastAsia="Courier New" w:hAnsi="Courier New"/>
          <w:sz w:val="22"/>
        </w:rPr>
        <w:t>v_i ∈ [0,1]</w:t>
      </w:r>
      <w:r>
        <w:rPr>
          <w:rFonts w:eastAsia="Times New Roman"/>
        </w:rPr>
        <w:t xml:space="preserve">, onde </w:t>
      </w:r>
      <w:r>
        <w:rPr>
          <w:rFonts w:eastAsia="Times New Roman"/>
          <w:b/>
        </w:rPr>
        <w:t>0 = menor vulnerabilidade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1 = maior vulnerabilidade</w:t>
      </w:r>
      <w:r>
        <w:rPr>
          <w:rFonts w:eastAsia="Times New Roman"/>
        </w:rPr>
        <w:t>, segundo a operacionalização adotada.</w:t>
      </w:r>
    </w:p>
    <w:p w14:paraId="18FF27ED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Nível 2 — dimensão:</w:t>
      </w:r>
      <w:r>
        <w:rPr>
          <w:rFonts w:eastAsia="Times New Roman"/>
        </w:rPr>
        <w:t xml:space="preserve"> </w:t>
      </w:r>
      <w:r>
        <w:rPr>
          <w:rFonts w:ascii="Courier New" w:eastAsia="Courier New" w:hAnsi="Courier New"/>
          <w:sz w:val="22"/>
        </w:rPr>
        <w:t>D_d</w:t>
      </w:r>
      <w:r>
        <w:rPr>
          <w:rFonts w:eastAsia="Times New Roman"/>
        </w:rPr>
        <w:t xml:space="preserve"> agrega os escores dos indicadores </w:t>
      </w:r>
      <w:r>
        <w:rPr>
          <w:rFonts w:eastAsia="Times New Roman"/>
          <w:b/>
        </w:rPr>
        <w:t>válidos</w:t>
      </w:r>
      <w:r>
        <w:rPr>
          <w:rFonts w:eastAsia="Times New Roman"/>
        </w:rPr>
        <w:t xml:space="preserve"> da dimensão </w:t>
      </w:r>
      <w:r>
        <w:rPr>
          <w:rFonts w:ascii="Courier New" w:eastAsia="Courier New" w:hAnsi="Courier New"/>
          <w:sz w:val="22"/>
        </w:rPr>
        <w:t>d</w:t>
      </w:r>
      <w:r>
        <w:rPr>
          <w:rFonts w:eastAsia="Times New Roman"/>
        </w:rPr>
        <w:t>.</w:t>
      </w:r>
    </w:p>
    <w:p w14:paraId="0FAB710A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Nível 3 — índice:</w:t>
      </w:r>
      <w:r>
        <w:rPr>
          <w:rFonts w:eastAsia="Times New Roman"/>
        </w:rPr>
        <w:t xml:space="preserve"> média aritmética das seis dimensões, com </w:t>
      </w:r>
      <w:r>
        <w:rPr>
          <w:rFonts w:eastAsia="Times New Roman"/>
          <w:b/>
        </w:rPr>
        <w:t>pesos iguais</w:t>
      </w:r>
      <w:r>
        <w:rPr>
          <w:rFonts w:eastAsia="Times New Roman"/>
        </w:rPr>
        <w:t>.</w:t>
      </w:r>
    </w:p>
    <w:p w14:paraId="3F1C3A1D" w14:textId="77777777" w:rsidR="00E62C65" w:rsidRDefault="00474360">
      <w:pPr>
        <w:pStyle w:val="CodeBlock"/>
        <w:shd w:val="clear" w:color="auto" w:fill="F2F2F2"/>
      </w:pPr>
      <w:r>
        <w:rPr>
          <w:rFonts w:eastAsia="Courier New"/>
        </w:rPr>
        <w:t>D_d     = agregação dos v_i válidos da dimensão d</w:t>
      </w:r>
      <w:r>
        <w:rPr>
          <w:rFonts w:eastAsia="Courier New"/>
        </w:rPr>
        <w:br/>
      </w:r>
      <w:r>
        <w:rPr>
          <w:rFonts w:eastAsia="Courier New"/>
        </w:rPr>
        <w:br/>
        <w:t>IV-DSS  = (1/6) · Σ_{d=1}^{6} D_d</w:t>
      </w:r>
    </w:p>
    <w:p w14:paraId="38EE4E31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onde:</w:t>
      </w:r>
    </w:p>
    <w:p w14:paraId="293A779B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v_i</w:t>
      </w:r>
      <w:r>
        <w:rPr>
          <w:rFonts w:eastAsia="Times New Roman"/>
        </w:rPr>
        <w:t xml:space="preserve"> = escore de vulnerabilidade do indicador </w:t>
      </w:r>
      <w:r>
        <w:rPr>
          <w:rFonts w:ascii="Courier New" w:eastAsia="Courier New" w:hAnsi="Courier New"/>
          <w:sz w:val="22"/>
        </w:rPr>
        <w:t>i</w:t>
      </w:r>
      <w:r>
        <w:rPr>
          <w:rFonts w:eastAsia="Times New Roman"/>
        </w:rPr>
        <w:t>;</w:t>
      </w:r>
    </w:p>
    <w:p w14:paraId="430B4BED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D_d</w:t>
      </w:r>
      <w:r>
        <w:rPr>
          <w:rFonts w:eastAsia="Times New Roman"/>
        </w:rPr>
        <w:t xml:space="preserve"> = escore da dimensão </w:t>
      </w:r>
      <w:r>
        <w:rPr>
          <w:rFonts w:ascii="Courier New" w:eastAsia="Courier New" w:hAnsi="Courier New"/>
          <w:sz w:val="22"/>
        </w:rPr>
        <w:t>d</w:t>
      </w:r>
      <w:r>
        <w:rPr>
          <w:rFonts w:eastAsia="Times New Roman"/>
        </w:rPr>
        <w:t>.</w:t>
      </w:r>
    </w:p>
    <w:p w14:paraId="236C9C0A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Regras de separação entre ML e IV-DSS:</w:t>
      </w:r>
    </w:p>
    <w:p w14:paraId="18AAF66A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usar IV-DSS como target;</w:t>
      </w:r>
    </w:p>
    <w:p w14:paraId="71BBFE9F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usar IV-DSS para gerar Y;</w:t>
      </w:r>
    </w:p>
    <w:p w14:paraId="542409DB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usar IV-DSS como feature principal do ML;</w:t>
      </w:r>
    </w:p>
    <w:p w14:paraId="059AE636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o IV-DSS poderá ser analisado em relação às previsões e ao Y, mas é calculado de forma </w:t>
      </w:r>
      <w:r>
        <w:rPr>
          <w:rFonts w:eastAsia="Times New Roman"/>
          <w:b/>
        </w:rPr>
        <w:t>independente</w:t>
      </w:r>
      <w:r>
        <w:rPr>
          <w:rFonts w:eastAsia="Times New Roman"/>
        </w:rPr>
        <w:t>.</w:t>
      </w:r>
    </w:p>
    <w:p w14:paraId="227E5C51" w14:textId="77777777" w:rsidR="00E62C65" w:rsidRDefault="00474360">
      <w:pPr>
        <w:pStyle w:val="Ttulo3"/>
      </w:pPr>
      <w:bookmarkStart w:id="20" w:name="_Toc238653800"/>
      <w:r>
        <w:rPr>
          <w:rFonts w:ascii="Times New Roman" w:eastAsia="Times New Roman" w:hAnsi="Times New Roman"/>
        </w:rPr>
        <w:t>3.3.3 Indicadores e escores por dimensão</w:t>
      </w:r>
      <w:bookmarkEnd w:id="20"/>
    </w:p>
    <w:p w14:paraId="64A859D4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D_educacao</w:t>
      </w:r>
      <w:r>
        <w:rPr>
          <w:rFonts w:eastAsia="Times New Roman"/>
        </w:rPr>
        <w:t xml:space="preserve"> — indicador </w:t>
      </w:r>
      <w:r>
        <w:rPr>
          <w:rFonts w:ascii="Courier New" w:eastAsia="Courier New" w:hAnsi="Courier New"/>
          <w:sz w:val="22"/>
        </w:rPr>
        <w:t>escolaridade</w:t>
      </w:r>
      <w:r>
        <w:rPr>
          <w:rFonts w:eastAsia="Times New Roman"/>
        </w:rPr>
        <w:t xml:space="preserve"> (normalização ordinal, intervalos iguais operacionais):</w:t>
      </w:r>
    </w:p>
    <w:p w14:paraId="298B0205" w14:textId="77777777" w:rsidR="00E62C65" w:rsidRDefault="00474360">
      <w:pPr>
        <w:spacing w:after="0" w:line="360" w:lineRule="auto"/>
        <w:ind w:firstLine="709"/>
        <w:jc w:val="both"/>
      </w:pPr>
      <w:r>
        <w:rPr>
          <w:rFonts w:ascii="Courier New" w:eastAsia="Courier New" w:hAnsi="Courier New"/>
          <w:sz w:val="22"/>
        </w:rPr>
        <w:t>sem_instrucao</w:t>
      </w:r>
      <w:r>
        <w:rPr>
          <w:rFonts w:eastAsia="Times New Roman"/>
        </w:rPr>
        <w:t xml:space="preserve"> = 1.00 · </w:t>
      </w:r>
      <w:r>
        <w:rPr>
          <w:rFonts w:ascii="Courier New" w:eastAsia="Courier New" w:hAnsi="Courier New"/>
          <w:sz w:val="22"/>
        </w:rPr>
        <w:t>fundamental_incompleto</w:t>
      </w:r>
      <w:r>
        <w:rPr>
          <w:rFonts w:eastAsia="Times New Roman"/>
        </w:rPr>
        <w:t xml:space="preserve"> = 0.83 · </w:t>
      </w:r>
      <w:r>
        <w:rPr>
          <w:rFonts w:ascii="Courier New" w:eastAsia="Courier New" w:hAnsi="Courier New"/>
          <w:sz w:val="22"/>
        </w:rPr>
        <w:t>fundamental_completo</w:t>
      </w:r>
      <w:r>
        <w:rPr>
          <w:rFonts w:eastAsia="Times New Roman"/>
        </w:rPr>
        <w:t xml:space="preserve"> = 0.67 · </w:t>
      </w:r>
      <w:r>
        <w:rPr>
          <w:rFonts w:ascii="Courier New" w:eastAsia="Courier New" w:hAnsi="Courier New"/>
          <w:sz w:val="22"/>
        </w:rPr>
        <w:t>medio_incompleto</w:t>
      </w:r>
      <w:r>
        <w:rPr>
          <w:rFonts w:eastAsia="Times New Roman"/>
        </w:rPr>
        <w:t xml:space="preserve"> = 0.50 · </w:t>
      </w:r>
      <w:r>
        <w:rPr>
          <w:rFonts w:ascii="Courier New" w:eastAsia="Courier New" w:hAnsi="Courier New"/>
          <w:sz w:val="22"/>
        </w:rPr>
        <w:t>medio_completo</w:t>
      </w:r>
      <w:r>
        <w:rPr>
          <w:rFonts w:eastAsia="Times New Roman"/>
        </w:rPr>
        <w:t xml:space="preserve"> = 0.33 · </w:t>
      </w:r>
      <w:r>
        <w:rPr>
          <w:rFonts w:ascii="Courier New" w:eastAsia="Courier New" w:hAnsi="Courier New"/>
          <w:sz w:val="22"/>
        </w:rPr>
        <w:t>superior_incompleto</w:t>
      </w:r>
      <w:r>
        <w:rPr>
          <w:rFonts w:eastAsia="Times New Roman"/>
        </w:rPr>
        <w:t xml:space="preserve"> = 0.17 · </w:t>
      </w:r>
      <w:r>
        <w:rPr>
          <w:rFonts w:ascii="Courier New" w:eastAsia="Courier New" w:hAnsi="Courier New"/>
          <w:sz w:val="22"/>
        </w:rPr>
        <w:t>superior_completo</w:t>
      </w:r>
      <w:r>
        <w:rPr>
          <w:rFonts w:eastAsia="Times New Roman"/>
        </w:rPr>
        <w:t xml:space="preserve"> = 0.00.</w:t>
      </w:r>
    </w:p>
    <w:p w14:paraId="54D931C9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D_trabalho_renda</w:t>
      </w:r>
      <w:r>
        <w:rPr>
          <w:rFonts w:eastAsia="Times New Roman"/>
        </w:rPr>
        <w:t xml:space="preserve"> — indicador </w:t>
      </w:r>
      <w:r>
        <w:rPr>
          <w:rFonts w:ascii="Courier New" w:eastAsia="Courier New" w:hAnsi="Courier New"/>
          <w:sz w:val="22"/>
        </w:rPr>
        <w:t>faixa_renda</w:t>
      </w:r>
      <w:r>
        <w:rPr>
          <w:rFonts w:eastAsia="Times New Roman"/>
        </w:rPr>
        <w:t xml:space="preserve"> (renda </w:t>
      </w:r>
      <w:r>
        <w:rPr>
          <w:rFonts w:eastAsia="Times New Roman"/>
          <w:b/>
        </w:rPr>
        <w:t>familiar</w:t>
      </w:r>
      <w:r>
        <w:rPr>
          <w:rFonts w:eastAsia="Times New Roman"/>
        </w:rPr>
        <w:t>, não per capita — limitação registrada):</w:t>
      </w:r>
    </w:p>
    <w:p w14:paraId="2B57E029" w14:textId="77777777" w:rsidR="00E62C65" w:rsidRDefault="00474360">
      <w:pPr>
        <w:spacing w:after="0" w:line="360" w:lineRule="auto"/>
        <w:ind w:firstLine="709"/>
        <w:jc w:val="both"/>
      </w:pPr>
      <w:r>
        <w:rPr>
          <w:rFonts w:ascii="Courier New" w:eastAsia="Courier New" w:hAnsi="Courier New"/>
          <w:sz w:val="22"/>
        </w:rPr>
        <w:t>ate_1_sm</w:t>
      </w:r>
      <w:r>
        <w:rPr>
          <w:rFonts w:eastAsia="Times New Roman"/>
        </w:rPr>
        <w:t xml:space="preserve"> = 1.00 · </w:t>
      </w:r>
      <w:r>
        <w:rPr>
          <w:rFonts w:ascii="Courier New" w:eastAsia="Courier New" w:hAnsi="Courier New"/>
          <w:sz w:val="22"/>
        </w:rPr>
        <w:t>entre_1_2_sm</w:t>
      </w:r>
      <w:r>
        <w:rPr>
          <w:rFonts w:eastAsia="Times New Roman"/>
        </w:rPr>
        <w:t xml:space="preserve"> = 0.67 · </w:t>
      </w:r>
      <w:r>
        <w:rPr>
          <w:rFonts w:ascii="Courier New" w:eastAsia="Courier New" w:hAnsi="Courier New"/>
          <w:sz w:val="22"/>
        </w:rPr>
        <w:t>entre_2_3_sm</w:t>
      </w:r>
      <w:r>
        <w:rPr>
          <w:rFonts w:eastAsia="Times New Roman"/>
        </w:rPr>
        <w:t xml:space="preserve"> = 0.33 · </w:t>
      </w:r>
      <w:r>
        <w:rPr>
          <w:rFonts w:ascii="Courier New" w:eastAsia="Courier New" w:hAnsi="Courier New"/>
          <w:sz w:val="22"/>
        </w:rPr>
        <w:t>mais_3_sm</w:t>
      </w:r>
      <w:r>
        <w:rPr>
          <w:rFonts w:eastAsia="Times New Roman"/>
        </w:rPr>
        <w:t xml:space="preserve"> = 0.00 · </w:t>
      </w:r>
      <w:r>
        <w:rPr>
          <w:rFonts w:ascii="Courier New" w:eastAsia="Courier New" w:hAnsi="Courier New"/>
          <w:sz w:val="22"/>
        </w:rPr>
        <w:t>nao_informar</w:t>
      </w:r>
      <w:r>
        <w:rPr>
          <w:rFonts w:eastAsia="Times New Roman"/>
        </w:rPr>
        <w:t xml:space="preserve"> = missing (não pontua).</w:t>
      </w:r>
    </w:p>
    <w:p w14:paraId="653F4D33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lastRenderedPageBreak/>
        <w:t>D_saneamento</w:t>
      </w:r>
      <w:r>
        <w:rPr>
          <w:rFonts w:eastAsia="Times New Roman"/>
        </w:rPr>
        <w:t xml:space="preserve"> — média de três componentes (</w:t>
      </w:r>
      <w:r>
        <w:rPr>
          <w:rFonts w:ascii="Courier New" w:eastAsia="Courier New" w:hAnsi="Courier New"/>
          <w:sz w:val="22"/>
        </w:rPr>
        <w:t>C_agua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C_esgotamento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C_residuos</w:t>
      </w:r>
      <w:r>
        <w:rPr>
          <w:rFonts w:eastAsia="Times New Roman"/>
        </w:rPr>
        <w:t>), exigindo pelo menos 2/3 válidos:</w:t>
      </w:r>
    </w:p>
    <w:p w14:paraId="4881823B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C_agua</w:t>
      </w:r>
      <w:r>
        <w:rPr>
          <w:rFonts w:eastAsia="Times New Roman"/>
        </w:rPr>
        <w:t xml:space="preserve"> = média de </w:t>
      </w:r>
      <w:r>
        <w:rPr>
          <w:rFonts w:ascii="Courier New" w:eastAsia="Courier New" w:hAnsi="Courier New"/>
          <w:sz w:val="22"/>
        </w:rPr>
        <w:t>fonte_agua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rede_publica</w:t>
      </w:r>
      <w:r>
        <w:rPr>
          <w:rFonts w:eastAsia="Times New Roman"/>
        </w:rPr>
        <w:t>/</w:t>
      </w:r>
      <w:r>
        <w:rPr>
          <w:rFonts w:ascii="Courier New" w:eastAsia="Courier New" w:hAnsi="Courier New"/>
          <w:sz w:val="22"/>
        </w:rPr>
        <w:t>poco_nascente</w:t>
      </w:r>
      <w:r>
        <w:rPr>
          <w:rFonts w:eastAsia="Times New Roman"/>
        </w:rPr>
        <w:t xml:space="preserve"> = 0; </w:t>
      </w:r>
      <w:r>
        <w:rPr>
          <w:rFonts w:ascii="Courier New" w:eastAsia="Courier New" w:hAnsi="Courier New"/>
          <w:sz w:val="22"/>
        </w:rPr>
        <w:t>carro_pipa</w:t>
      </w:r>
      <w:r>
        <w:rPr>
          <w:rFonts w:eastAsia="Times New Roman"/>
        </w:rPr>
        <w:t xml:space="preserve"> = 1; </w:t>
      </w:r>
      <w:r>
        <w:rPr>
          <w:rFonts w:ascii="Courier New" w:eastAsia="Courier New" w:hAnsi="Courier New"/>
          <w:sz w:val="22"/>
        </w:rPr>
        <w:t>cisterna</w:t>
      </w:r>
      <w:r>
        <w:rPr>
          <w:rFonts w:eastAsia="Times New Roman"/>
        </w:rPr>
        <w:t>/</w:t>
      </w:r>
      <w:r>
        <w:rPr>
          <w:rFonts w:ascii="Courier New" w:eastAsia="Courier New" w:hAnsi="Courier New"/>
          <w:sz w:val="22"/>
        </w:rPr>
        <w:t>outra</w:t>
      </w:r>
      <w:r>
        <w:rPr>
          <w:rFonts w:eastAsia="Times New Roman"/>
        </w:rPr>
        <w:t xml:space="preserve"> = missing analítico), </w:t>
      </w:r>
      <w:r>
        <w:rPr>
          <w:rFonts w:ascii="Courier New" w:eastAsia="Courier New" w:hAnsi="Courier New"/>
          <w:sz w:val="22"/>
        </w:rPr>
        <w:t>itens_residencia.agua_encanada</w:t>
      </w:r>
      <w:r>
        <w:rPr>
          <w:rFonts w:eastAsia="Times New Roman"/>
        </w:rPr>
        <w:t xml:space="preserve"> (presente = 0; ausente = 1) e </w:t>
      </w:r>
      <w:r>
        <w:rPr>
          <w:rFonts w:ascii="Courier New" w:eastAsia="Courier New" w:hAnsi="Courier New"/>
          <w:sz w:val="22"/>
        </w:rPr>
        <w:t>interrupcoes_agua</w:t>
      </w:r>
      <w:r>
        <w:rPr>
          <w:rFonts w:eastAsia="Times New Roman"/>
        </w:rPr>
        <w:t xml:space="preserve"> (false = 0; true = 1), exigindo pelo menos 2/3 válidos.</w:t>
      </w:r>
    </w:p>
    <w:p w14:paraId="2B6DF012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C_esgotamento</w:t>
      </w:r>
      <w:r>
        <w:rPr>
          <w:rFonts w:eastAsia="Times New Roman"/>
        </w:rPr>
        <w:t xml:space="preserve"> = </w:t>
      </w:r>
      <w:r>
        <w:rPr>
          <w:rFonts w:ascii="Courier New" w:eastAsia="Courier New" w:hAnsi="Courier New"/>
          <w:sz w:val="22"/>
        </w:rPr>
        <w:t>rede_coletora</w:t>
      </w:r>
      <w:r>
        <w:rPr>
          <w:rFonts w:eastAsia="Times New Roman"/>
        </w:rPr>
        <w:t>/</w:t>
      </w:r>
      <w:r>
        <w:rPr>
          <w:rFonts w:ascii="Courier New" w:eastAsia="Courier New" w:hAnsi="Courier New"/>
          <w:sz w:val="22"/>
        </w:rPr>
        <w:t>fossa_septica</w:t>
      </w:r>
      <w:r>
        <w:rPr>
          <w:rFonts w:eastAsia="Times New Roman"/>
        </w:rPr>
        <w:t xml:space="preserve"> = 0; </w:t>
      </w:r>
      <w:r>
        <w:rPr>
          <w:rFonts w:ascii="Courier New" w:eastAsia="Courier New" w:hAnsi="Courier New"/>
          <w:sz w:val="22"/>
        </w:rPr>
        <w:t>ceu_aberto</w:t>
      </w:r>
      <w:r>
        <w:rPr>
          <w:rFonts w:eastAsia="Times New Roman"/>
        </w:rPr>
        <w:t xml:space="preserve"> = 1; </w:t>
      </w:r>
      <w:r>
        <w:rPr>
          <w:rFonts w:ascii="Courier New" w:eastAsia="Courier New" w:hAnsi="Courier New"/>
          <w:sz w:val="22"/>
        </w:rPr>
        <w:t>outro</w:t>
      </w:r>
      <w:r>
        <w:rPr>
          <w:rFonts w:eastAsia="Times New Roman"/>
        </w:rPr>
        <w:t xml:space="preserve"> = missing analítico.</w:t>
      </w:r>
    </w:p>
    <w:p w14:paraId="339FA5D3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C_residuos</w:t>
      </w:r>
      <w:r>
        <w:rPr>
          <w:rFonts w:eastAsia="Times New Roman"/>
        </w:rPr>
        <w:t xml:space="preserve"> = </w:t>
      </w:r>
      <w:r>
        <w:rPr>
          <w:rFonts w:ascii="Courier New" w:eastAsia="Courier New" w:hAnsi="Courier New"/>
          <w:sz w:val="22"/>
        </w:rPr>
        <w:t>frequencia_coleta_lixo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regular</w:t>
      </w:r>
      <w:r>
        <w:rPr>
          <w:rFonts w:eastAsia="Times New Roman"/>
        </w:rPr>
        <w:t xml:space="preserve"> = 0; </w:t>
      </w:r>
      <w:r>
        <w:rPr>
          <w:rFonts w:ascii="Courier New" w:eastAsia="Courier New" w:hAnsi="Courier New"/>
          <w:sz w:val="22"/>
        </w:rPr>
        <w:t>irregular</w:t>
      </w:r>
      <w:r>
        <w:rPr>
          <w:rFonts w:eastAsia="Times New Roman"/>
        </w:rPr>
        <w:t xml:space="preserve"> = 0.5; </w:t>
      </w:r>
      <w:r>
        <w:rPr>
          <w:rFonts w:ascii="Courier New" w:eastAsia="Courier New" w:hAnsi="Courier New"/>
          <w:sz w:val="22"/>
        </w:rPr>
        <w:t>nao_possui</w:t>
      </w:r>
      <w:r>
        <w:rPr>
          <w:rFonts w:eastAsia="Times New Roman"/>
        </w:rPr>
        <w:t xml:space="preserve"> = 1) combinada com </w:t>
      </w:r>
      <w:r>
        <w:rPr>
          <w:rFonts w:ascii="Courier New" w:eastAsia="Courier New" w:hAnsi="Courier New"/>
          <w:sz w:val="22"/>
        </w:rPr>
        <w:t>destino_lixo_sem_coleta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aguarda_proxima_coleta</w:t>
      </w:r>
      <w:r>
        <w:rPr>
          <w:rFonts w:eastAsia="Times New Roman"/>
        </w:rPr>
        <w:t xml:space="preserve"> = 0; </w:t>
      </w:r>
      <w:r>
        <w:rPr>
          <w:rFonts w:ascii="Courier New" w:eastAsia="Courier New" w:hAnsi="Courier New"/>
          <w:sz w:val="22"/>
        </w:rPr>
        <w:t>queima</w:t>
      </w:r>
      <w:r>
        <w:rPr>
          <w:rFonts w:eastAsia="Times New Roman"/>
        </w:rPr>
        <w:t>/</w:t>
      </w:r>
      <w:r>
        <w:rPr>
          <w:rFonts w:ascii="Courier New" w:eastAsia="Courier New" w:hAnsi="Courier New"/>
          <w:sz w:val="22"/>
        </w:rPr>
        <w:t>enterra</w:t>
      </w:r>
      <w:r>
        <w:rPr>
          <w:rFonts w:eastAsia="Times New Roman"/>
        </w:rPr>
        <w:t>/</w:t>
      </w:r>
      <w:r>
        <w:rPr>
          <w:rFonts w:ascii="Courier New" w:eastAsia="Courier New" w:hAnsi="Courier New"/>
          <w:sz w:val="22"/>
        </w:rPr>
        <w:t>terreno_baldio</w:t>
      </w:r>
      <w:r>
        <w:rPr>
          <w:rFonts w:eastAsia="Times New Roman"/>
        </w:rPr>
        <w:t xml:space="preserve"> = 1).</w:t>
      </w:r>
    </w:p>
    <w:p w14:paraId="0EA96DD7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D_acesso_saude</w:t>
      </w:r>
      <w:r>
        <w:rPr>
          <w:rFonts w:eastAsia="Times New Roman"/>
        </w:rPr>
        <w:t xml:space="preserve"> — </w:t>
      </w:r>
      <w:r>
        <w:rPr>
          <w:rFonts w:ascii="Courier New" w:eastAsia="Courier New" w:hAnsi="Courier New"/>
          <w:sz w:val="22"/>
        </w:rPr>
        <w:t>(C_distancia + C_barreiras) / 2</w:t>
      </w:r>
      <w:r>
        <w:rPr>
          <w:rFonts w:eastAsia="Times New Roman"/>
        </w:rPr>
        <w:t xml:space="preserve"> (exige 2/2):</w:t>
      </w:r>
    </w:p>
    <w:p w14:paraId="14E790F3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C_distancia</w:t>
      </w:r>
      <w:r>
        <w:rPr>
          <w:rFonts w:eastAsia="Times New Roman"/>
        </w:rPr>
        <w:t xml:space="preserve"> = </w:t>
      </w:r>
      <w:r>
        <w:rPr>
          <w:rFonts w:ascii="Courier New" w:eastAsia="Courier New" w:hAnsi="Courier New"/>
          <w:sz w:val="22"/>
        </w:rPr>
        <w:t>muito_proxima</w:t>
      </w:r>
      <w:r>
        <w:rPr>
          <w:rFonts w:eastAsia="Times New Roman"/>
        </w:rPr>
        <w:t xml:space="preserve"> = 0; </w:t>
      </w:r>
      <w:r>
        <w:rPr>
          <w:rFonts w:ascii="Courier New" w:eastAsia="Courier New" w:hAnsi="Courier New"/>
          <w:sz w:val="22"/>
        </w:rPr>
        <w:t>razoavelmente_proxima</w:t>
      </w:r>
      <w:r>
        <w:rPr>
          <w:rFonts w:eastAsia="Times New Roman"/>
        </w:rPr>
        <w:t xml:space="preserve"> = 0.5; </w:t>
      </w:r>
      <w:r>
        <w:rPr>
          <w:rFonts w:ascii="Courier New" w:eastAsia="Courier New" w:hAnsi="Courier New"/>
          <w:sz w:val="22"/>
        </w:rPr>
        <w:t>distante</w:t>
      </w:r>
      <w:r>
        <w:rPr>
          <w:rFonts w:eastAsia="Times New Roman"/>
        </w:rPr>
        <w:t xml:space="preserve"> = 1.</w:t>
      </w:r>
    </w:p>
    <w:p w14:paraId="12B06477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C_barreiras</w:t>
      </w:r>
      <w:r>
        <w:rPr>
          <w:rFonts w:eastAsia="Times New Roman"/>
        </w:rPr>
        <w:t xml:space="preserve"> = </w:t>
      </w:r>
      <w:r>
        <w:rPr>
          <w:rFonts w:ascii="Courier New" w:eastAsia="Courier New" w:hAnsi="Courier New"/>
          <w:sz w:val="22"/>
        </w:rPr>
        <w:t>(transporte + organizacao + disponibilidade) / 3</w:t>
      </w:r>
      <w:r>
        <w:rPr>
          <w:rFonts w:eastAsia="Times New Roman"/>
        </w:rPr>
        <w:t xml:space="preserve">, onde os domínios de </w:t>
      </w:r>
      <w:r>
        <w:rPr>
          <w:rFonts w:ascii="Courier New" w:eastAsia="Courier New" w:hAnsi="Courier New"/>
          <w:sz w:val="22"/>
        </w:rPr>
        <w:t>dificuldades_saude</w:t>
      </w:r>
      <w:r>
        <w:rPr>
          <w:rFonts w:eastAsia="Times New Roman"/>
        </w:rPr>
        <w:t xml:space="preserve"> são: </w:t>
      </w:r>
      <w:r>
        <w:rPr>
          <w:rFonts w:eastAsia="Times New Roman"/>
          <w:b/>
        </w:rPr>
        <w:t>transporte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falta_transporte</w:t>
      </w:r>
      <w:r>
        <w:rPr>
          <w:rFonts w:eastAsia="Times New Roman"/>
        </w:rPr>
        <w:t xml:space="preserve">), </w:t>
      </w:r>
      <w:r>
        <w:rPr>
          <w:rFonts w:eastAsia="Times New Roman"/>
          <w:b/>
        </w:rPr>
        <w:t>organização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dificuldade_agendamento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demora_atendimento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horario_incompativel</w:t>
      </w:r>
      <w:r>
        <w:rPr>
          <w:rFonts w:eastAsia="Times New Roman"/>
        </w:rPr>
        <w:t xml:space="preserve">), </w:t>
      </w:r>
      <w:r>
        <w:rPr>
          <w:rFonts w:eastAsia="Times New Roman"/>
          <w:b/>
        </w:rPr>
        <w:t>disponibilidade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falta_profissional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falta_exames</w:t>
      </w:r>
      <w:r>
        <w:rPr>
          <w:rFonts w:eastAsia="Times New Roman"/>
        </w:rPr>
        <w:t xml:space="preserve">); cada domínio presente = 1, ausente = 0; </w:t>
      </w:r>
      <w:r>
        <w:rPr>
          <w:rFonts w:ascii="Courier New" w:eastAsia="Courier New" w:hAnsi="Courier New"/>
          <w:sz w:val="22"/>
        </w:rPr>
        <w:t>sem_dificuldades</w:t>
      </w:r>
      <w:r>
        <w:rPr>
          <w:rFonts w:eastAsia="Times New Roman"/>
        </w:rPr>
        <w:t xml:space="preserve"> = 0.</w:t>
      </w:r>
    </w:p>
    <w:p w14:paraId="140AE6D3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D_habitacao</w:t>
      </w:r>
      <w:r>
        <w:rPr>
          <w:rFonts w:eastAsia="Times New Roman"/>
        </w:rPr>
        <w:t xml:space="preserve"> — indicador </w:t>
      </w:r>
      <w:r>
        <w:rPr>
          <w:rFonts w:ascii="Courier New" w:eastAsia="Courier New" w:hAnsi="Courier New"/>
          <w:sz w:val="22"/>
        </w:rPr>
        <w:t>adensamento_habitacional</w:t>
      </w:r>
      <w:r>
        <w:rPr>
          <w:rFonts w:eastAsia="Times New Roman"/>
        </w:rPr>
        <w:t xml:space="preserve"> (derivado no pipeline Python, sem alterar o Flutter):</w:t>
      </w:r>
    </w:p>
    <w:p w14:paraId="0145EBF9" w14:textId="77777777" w:rsidR="00E62C65" w:rsidRDefault="00474360">
      <w:pPr>
        <w:spacing w:after="0" w:line="360" w:lineRule="auto"/>
        <w:ind w:firstLine="709"/>
        <w:jc w:val="both"/>
      </w:pPr>
      <w:r>
        <w:rPr>
          <w:rFonts w:ascii="Courier New" w:eastAsia="Courier New" w:hAnsi="Courier New"/>
          <w:sz w:val="22"/>
        </w:rPr>
        <w:t>adensamento = numero_pessoas / numero_dormitorios</w:t>
      </w:r>
      <w:r>
        <w:rPr>
          <w:rFonts w:eastAsia="Times New Roman"/>
        </w:rPr>
        <w:t xml:space="preserve"> — </w:t>
      </w:r>
      <w:r>
        <w:rPr>
          <w:rFonts w:ascii="Courier New" w:eastAsia="Courier New" w:hAnsi="Courier New"/>
          <w:sz w:val="22"/>
        </w:rPr>
        <w:t>≤ 2</w:t>
      </w:r>
      <w:r>
        <w:rPr>
          <w:rFonts w:eastAsia="Times New Roman"/>
        </w:rPr>
        <w:t xml:space="preserve"> = 0.00 · </w:t>
      </w:r>
      <w:r>
        <w:rPr>
          <w:rFonts w:ascii="Courier New" w:eastAsia="Courier New" w:hAnsi="Courier New"/>
          <w:sz w:val="22"/>
        </w:rPr>
        <w:t>&gt; 2 e ≤ 3</w:t>
      </w:r>
      <w:r>
        <w:rPr>
          <w:rFonts w:eastAsia="Times New Roman"/>
        </w:rPr>
        <w:t xml:space="preserve"> = 0.50 · </w:t>
      </w:r>
      <w:r>
        <w:rPr>
          <w:rFonts w:ascii="Courier New" w:eastAsia="Courier New" w:hAnsi="Courier New"/>
          <w:sz w:val="22"/>
        </w:rPr>
        <w:t>&gt; 3</w:t>
      </w:r>
      <w:r>
        <w:rPr>
          <w:rFonts w:eastAsia="Times New Roman"/>
        </w:rPr>
        <w:t xml:space="preserve"> = 1.00. Em análise de sensibilidade já executada, comparou-se o critério binário </w:t>
      </w:r>
      <w:r>
        <w:rPr>
          <w:rFonts w:ascii="Courier New" w:eastAsia="Courier New" w:hAnsi="Courier New"/>
          <w:sz w:val="22"/>
        </w:rPr>
        <w:t>&gt; 3</w:t>
      </w:r>
      <w:r>
        <w:rPr>
          <w:rFonts w:eastAsia="Times New Roman"/>
        </w:rPr>
        <w:t xml:space="preserve"> = 1; </w:t>
      </w:r>
      <w:r>
        <w:rPr>
          <w:rFonts w:ascii="Courier New" w:eastAsia="Courier New" w:hAnsi="Courier New"/>
          <w:sz w:val="22"/>
        </w:rPr>
        <w:t>≤ 3</w:t>
      </w:r>
      <w:r>
        <w:rPr>
          <w:rFonts w:eastAsia="Times New Roman"/>
        </w:rPr>
        <w:t xml:space="preserve"> = 0.</w:t>
      </w:r>
    </w:p>
    <w:p w14:paraId="727A4F39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D_alimentacao</w:t>
      </w:r>
      <w:r>
        <w:rPr>
          <w:rFonts w:eastAsia="Times New Roman"/>
        </w:rPr>
        <w:t xml:space="preserve"> — indicador </w:t>
      </w:r>
      <w:r>
        <w:rPr>
          <w:rFonts w:ascii="Courier New" w:eastAsia="Courier New" w:hAnsi="Courier New"/>
          <w:sz w:val="22"/>
        </w:rPr>
        <w:t>deixou_de_comer_falta_dinheiro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false</w:t>
      </w:r>
      <w:r>
        <w:rPr>
          <w:rFonts w:eastAsia="Times New Roman"/>
        </w:rPr>
        <w:t xml:space="preserve"> = 0; </w:t>
      </w:r>
      <w:r>
        <w:rPr>
          <w:rFonts w:ascii="Courier New" w:eastAsia="Courier New" w:hAnsi="Courier New"/>
          <w:sz w:val="22"/>
        </w:rPr>
        <w:t>true</w:t>
      </w:r>
      <w:r>
        <w:rPr>
          <w:rFonts w:eastAsia="Times New Roman"/>
        </w:rPr>
        <w:t xml:space="preserve"> = 1; </w:t>
      </w:r>
      <w:r>
        <w:rPr>
          <w:rFonts w:ascii="Courier New" w:eastAsia="Courier New" w:hAnsi="Courier New"/>
          <w:sz w:val="22"/>
        </w:rPr>
        <w:t>null</w:t>
      </w:r>
      <w:r>
        <w:rPr>
          <w:rFonts w:eastAsia="Times New Roman"/>
        </w:rPr>
        <w:t xml:space="preserve"> = missing). Descrição recomendada: </w:t>
      </w:r>
      <w:r>
        <w:rPr>
          <w:rFonts w:eastAsia="Times New Roman"/>
          <w:i/>
        </w:rPr>
        <w:t>"indicador de experiência autorrelatada de privação alimentar associada à insuficiência de recursos financeiros nos três meses anteriores."</w:t>
      </w:r>
      <w:r>
        <w:rPr>
          <w:rFonts w:eastAsia="Times New Roman"/>
        </w:rPr>
        <w:t xml:space="preserve">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afirmar que constitui aplicação da EBIA ou da FIES.</w:t>
      </w:r>
    </w:p>
    <w:p w14:paraId="593E3E82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Fora do IV-DSS (e por quê):</w:t>
      </w:r>
      <w:r>
        <w:rPr>
          <w:rFonts w:eastAsia="Times New Roman"/>
        </w:rPr>
        <w:t xml:space="preserve"> as 5 variáveis de leakage (4.7), as 5 temporais (4.7), as 2 descritivas (</w:t>
      </w:r>
      <w:r>
        <w:rPr>
          <w:rFonts w:ascii="Courier New" w:eastAsia="Courier New" w:hAnsi="Courier New"/>
          <w:sz w:val="22"/>
        </w:rPr>
        <w:t>cuidados_vetores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melhorias_desejadas</w:t>
      </w:r>
      <w:r>
        <w:rPr>
          <w:rFonts w:eastAsia="Times New Roman"/>
        </w:rPr>
        <w:t>) e as 2 de sensibilidade (</w:t>
      </w:r>
      <w:r>
        <w:rPr>
          <w:rFonts w:ascii="Courier New" w:eastAsia="Courier New" w:hAnsi="Courier New"/>
          <w:sz w:val="22"/>
        </w:rPr>
        <w:t>problema_saude_agua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facil_acesso_saude</w:t>
      </w:r>
      <w:r>
        <w:rPr>
          <w:rFonts w:eastAsia="Times New Roman"/>
        </w:rPr>
        <w:t xml:space="preserve">). </w:t>
      </w:r>
      <w:r>
        <w:rPr>
          <w:rFonts w:ascii="Courier New" w:eastAsia="Courier New" w:hAnsi="Courier New"/>
          <w:sz w:val="22"/>
        </w:rPr>
        <w:t>acesso_ubs</w:t>
      </w:r>
      <w:r>
        <w:rPr>
          <w:rFonts w:eastAsia="Times New Roman"/>
        </w:rPr>
        <w:t xml:space="preserve"> e </w:t>
      </w:r>
      <w:r>
        <w:rPr>
          <w:rFonts w:ascii="Courier New" w:eastAsia="Courier New" w:hAnsi="Courier New"/>
          <w:sz w:val="22"/>
        </w:rPr>
        <w:t>cadastrada_ubs</w:t>
      </w:r>
      <w:r>
        <w:rPr>
          <w:rFonts w:eastAsia="Times New Roman"/>
        </w:rPr>
        <w:t xml:space="preserve"> permanecem disponíveis ao ML como variáveis nominais, mas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pontuam no IV-DSS.</w:t>
      </w:r>
    </w:p>
    <w:p w14:paraId="43F0EFE5" w14:textId="77777777" w:rsidR="00E62C65" w:rsidRDefault="00474360">
      <w:pPr>
        <w:pStyle w:val="Ttulo3"/>
      </w:pPr>
      <w:bookmarkStart w:id="21" w:name="_Toc238653801"/>
      <w:r>
        <w:rPr>
          <w:rFonts w:ascii="Times New Roman" w:eastAsia="Times New Roman" w:hAnsi="Times New Roman"/>
        </w:rPr>
        <w:lastRenderedPageBreak/>
        <w:t>3.3.4 Pesos</w:t>
      </w:r>
      <w:bookmarkEnd w:id="21"/>
    </w:p>
    <w:p w14:paraId="0D3008E6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Na ausência de evidência empírica que sustente pesos diferenciados entre as dimensões, este estudo adota </w:t>
      </w:r>
      <w:r>
        <w:rPr>
          <w:rFonts w:eastAsia="Times New Roman"/>
          <w:b/>
        </w:rPr>
        <w:t>pesos iguais (1/6)</w:t>
      </w:r>
      <w:r>
        <w:rPr>
          <w:rFonts w:eastAsia="Times New Roman"/>
        </w:rPr>
        <w:t xml:space="preserve"> como opção metodológica transparente e parcimoniosa. Essa escolha é </w:t>
      </w:r>
      <w:r>
        <w:rPr>
          <w:rFonts w:eastAsia="Times New Roman"/>
          <w:b/>
        </w:rPr>
        <w:t>explícita</w:t>
      </w:r>
      <w:r>
        <w:rPr>
          <w:rFonts w:eastAsia="Times New Roman"/>
        </w:rPr>
        <w:t xml:space="preserve"> e será submetida à análise de sensibilidade. O OECD/JRC é citado como referência geral para construção de indicadores compostos (normalização, ponderação, agregação e análise de sensibilidade), sem que o peso igual seja tratado como regra universal por ele determinada.</w:t>
      </w:r>
    </w:p>
    <w:p w14:paraId="06D217D4" w14:textId="77777777" w:rsidR="00E62C65" w:rsidRDefault="00474360">
      <w:pPr>
        <w:pStyle w:val="Ttulo3"/>
      </w:pPr>
      <w:bookmarkStart w:id="22" w:name="_Toc238653802"/>
      <w:r>
        <w:rPr>
          <w:rFonts w:ascii="Times New Roman" w:eastAsia="Times New Roman" w:hAnsi="Times New Roman"/>
        </w:rPr>
        <w:t>3.3.5 Escala e interpretação</w:t>
      </w:r>
      <w:bookmarkEnd w:id="22"/>
    </w:p>
    <w:p w14:paraId="44E8E34D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Saída principal:</w:t>
      </w:r>
      <w:r>
        <w:rPr>
          <w:rFonts w:eastAsia="Times New Roman"/>
        </w:rPr>
        <w:t xml:space="preserve"> IV-DSS contínuo no intervalo </w:t>
      </w:r>
      <w:r>
        <w:rPr>
          <w:rFonts w:ascii="Courier New" w:eastAsia="Courier New" w:hAnsi="Courier New"/>
          <w:sz w:val="22"/>
        </w:rPr>
        <w:t>[0,1]</w:t>
      </w:r>
      <w:r>
        <w:rPr>
          <w:rFonts w:eastAsia="Times New Roman"/>
        </w:rPr>
        <w:t>.</w:t>
      </w:r>
    </w:p>
    <w:p w14:paraId="3564DF29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criar pontos de corte absolutos de baixa/média/alta vulnerabilidade.</w:t>
      </w:r>
    </w:p>
    <w:p w14:paraId="79D1E7BB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Caso seja necessária categorização apenas para </w:t>
      </w:r>
      <w:r>
        <w:rPr>
          <w:rFonts w:eastAsia="Times New Roman"/>
          <w:b/>
        </w:rPr>
        <w:t>visualização/descrição</w:t>
      </w:r>
      <w:r>
        <w:rPr>
          <w:rFonts w:eastAsia="Times New Roman"/>
        </w:rPr>
        <w:t xml:space="preserve">, utilizar </w:t>
      </w:r>
      <w:r>
        <w:rPr>
          <w:rFonts w:eastAsia="Times New Roman"/>
          <w:b/>
        </w:rPr>
        <w:t>quantis relativos à amostra</w:t>
      </w:r>
      <w:r>
        <w:rPr>
          <w:rFonts w:eastAsia="Times New Roman"/>
        </w:rPr>
        <w:t>.</w:t>
      </w:r>
    </w:p>
    <w:p w14:paraId="04B3E7D9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Essas categorias por quantis são </w:t>
      </w:r>
      <w:r>
        <w:rPr>
          <w:rFonts w:eastAsia="Times New Roman"/>
          <w:b/>
        </w:rPr>
        <w:t>amostrais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representam pontos de corte clínicos, epidemiológicos ou validados.</w:t>
      </w:r>
    </w:p>
    <w:p w14:paraId="04D22D81" w14:textId="77777777" w:rsidR="00E62C65" w:rsidRDefault="00474360">
      <w:pPr>
        <w:pStyle w:val="Ttulo3"/>
      </w:pPr>
      <w:bookmarkStart w:id="23" w:name="_Toc238653803"/>
      <w:r>
        <w:rPr>
          <w:rFonts w:ascii="Times New Roman" w:eastAsia="Times New Roman" w:hAnsi="Times New Roman"/>
        </w:rPr>
        <w:t>3.3.6 Política de missing e validade</w:t>
      </w:r>
      <w:bookmarkEnd w:id="23"/>
    </w:p>
    <w:p w14:paraId="0E284DC9" w14:textId="77777777" w:rsidR="00E62C65" w:rsidRDefault="00474360">
      <w:pPr>
        <w:spacing w:after="0" w:line="360" w:lineRule="auto"/>
        <w:ind w:firstLine="709"/>
        <w:jc w:val="both"/>
      </w:pPr>
      <w:r>
        <w:rPr>
          <w:rFonts w:ascii="Courier New" w:eastAsia="Courier New" w:hAnsi="Courier New"/>
          <w:sz w:val="22"/>
        </w:rPr>
        <w:t>missing ≠ 0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missing ≠ 0.5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missing ≠ vulnerabilidade intermediária</w:t>
      </w:r>
      <w:r>
        <w:rPr>
          <w:rFonts w:eastAsia="Times New Roman"/>
        </w:rPr>
        <w:t xml:space="preserve">. Distinguir resposta ausente, não aplicável estrutural (condicional do schema) e categoria válida porém analiticamente indeterminada.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imputar automaticamente. O </w:t>
      </w:r>
      <w:r>
        <w:rPr>
          <w:rFonts w:eastAsia="Times New Roman"/>
          <w:b/>
        </w:rPr>
        <w:t>IV-DSS principal exige 6/6 dimensões válidas</w:t>
      </w:r>
      <w:r>
        <w:rPr>
          <w:rFonts w:eastAsia="Times New Roman"/>
        </w:rPr>
        <w:t xml:space="preserve">; caso contrário, </w:t>
      </w:r>
      <w:r>
        <w:rPr>
          <w:rFonts w:ascii="Courier New" w:eastAsia="Courier New" w:hAnsi="Courier New"/>
          <w:sz w:val="22"/>
        </w:rPr>
        <w:t xml:space="preserve">IV-DSS = não </w:t>
      </w:r>
      <w:r>
        <w:rPr>
          <w:rFonts w:ascii="Courier New" w:eastAsia="Courier New" w:hAnsi="Courier New"/>
          <w:sz w:val="22"/>
        </w:rPr>
        <w:t>calculável</w:t>
      </w:r>
      <w:r>
        <w:rPr>
          <w:rFonts w:eastAsia="Times New Roman"/>
        </w:rPr>
        <w:t xml:space="preserve"> (não calcular silenciosamente a média das dimensões restantes). O </w:t>
      </w:r>
      <w:r>
        <w:rPr>
          <w:rFonts w:ascii="Courier New" w:eastAsia="Courier New" w:hAnsi="Courier New"/>
          <w:sz w:val="22"/>
        </w:rPr>
        <w:t>iv_dss_parcial</w:t>
      </w:r>
      <w:r>
        <w:rPr>
          <w:rFonts w:eastAsia="Times New Roman"/>
        </w:rPr>
        <w:t xml:space="preserve"> com cobertura 5/6 é calculado como resultado auxiliar.</w:t>
      </w:r>
    </w:p>
    <w:p w14:paraId="3B3CDA08" w14:textId="77777777" w:rsidR="00E62C65" w:rsidRDefault="00474360">
      <w:pPr>
        <w:pStyle w:val="Ttulo3"/>
      </w:pPr>
      <w:bookmarkStart w:id="24" w:name="_Toc238653804"/>
      <w:r>
        <w:rPr>
          <w:rFonts w:ascii="Times New Roman" w:eastAsia="Times New Roman" w:hAnsi="Times New Roman"/>
        </w:rPr>
        <w:t>3.3.7 Análises de sensibilidade</w:t>
      </w:r>
      <w:bookmarkEnd w:id="24"/>
    </w:p>
    <w:p w14:paraId="28853FB9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agregação principal é </w:t>
      </w:r>
      <w:r>
        <w:rPr>
          <w:rFonts w:eastAsia="Times New Roman"/>
          <w:b/>
        </w:rPr>
        <w:t>aritmética</w:t>
      </w:r>
      <w:r>
        <w:rPr>
          <w:rFonts w:eastAsia="Times New Roman"/>
        </w:rPr>
        <w:t xml:space="preserve"> (não usar geométrica como primeira alternativa, pois dimensões podem assumir 0).</w:t>
      </w:r>
    </w:p>
    <w:p w14:paraId="1AEA5561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Já executado:</w:t>
      </w:r>
      <w:r>
        <w:rPr>
          <w:rFonts w:eastAsia="Times New Roman"/>
        </w:rPr>
        <w:t xml:space="preserve"> a análise de sensibilidade do </w:t>
      </w:r>
      <w:r>
        <w:rPr>
          <w:rFonts w:eastAsia="Times New Roman"/>
          <w:b/>
        </w:rPr>
        <w:t>adensamento habitacional</w:t>
      </w:r>
      <w:r>
        <w:rPr>
          <w:rFonts w:eastAsia="Times New Roman"/>
        </w:rPr>
        <w:t xml:space="preserve"> comparou o critério em três níveis (</w:t>
      </w:r>
      <w:r>
        <w:rPr>
          <w:rFonts w:ascii="Courier New" w:eastAsia="Courier New" w:hAnsi="Courier New"/>
          <w:sz w:val="22"/>
        </w:rPr>
        <w:t>≤ 2</w:t>
      </w:r>
      <w:r>
        <w:rPr>
          <w:rFonts w:eastAsia="Times New Roman"/>
        </w:rPr>
        <w:t xml:space="preserve"> / </w:t>
      </w:r>
      <w:r>
        <w:rPr>
          <w:rFonts w:ascii="Courier New" w:eastAsia="Courier New" w:hAnsi="Courier New"/>
          <w:sz w:val="22"/>
        </w:rPr>
        <w:t>&gt; 2 e ≤ 3</w:t>
      </w:r>
      <w:r>
        <w:rPr>
          <w:rFonts w:eastAsia="Times New Roman"/>
        </w:rPr>
        <w:t xml:space="preserve"> / </w:t>
      </w:r>
      <w:r>
        <w:rPr>
          <w:rFonts w:ascii="Courier New" w:eastAsia="Courier New" w:hAnsi="Courier New"/>
          <w:sz w:val="22"/>
        </w:rPr>
        <w:t>&gt; 3</w:t>
      </w:r>
      <w:r>
        <w:rPr>
          <w:rFonts w:eastAsia="Times New Roman"/>
        </w:rPr>
        <w:t xml:space="preserve">), usado no índice principal, com o critério </w:t>
      </w:r>
      <w:r>
        <w:rPr>
          <w:rFonts w:eastAsia="Times New Roman"/>
          <w:b/>
        </w:rPr>
        <w:t>binário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&gt; 3</w:t>
      </w:r>
      <w:r>
        <w:rPr>
          <w:rFonts w:eastAsia="Times New Roman"/>
        </w:rPr>
        <w:t>), como variante alternativa; ambas as versões foram calculadas sobre os registros sintéticos.</w:t>
      </w:r>
    </w:p>
    <w:p w14:paraId="2ADA346B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Ainda planejado (não executado):</w:t>
      </w:r>
      <w:r>
        <w:rPr>
          <w:rFonts w:eastAsia="Times New Roman"/>
        </w:rPr>
        <w:t xml:space="preserve"> normalização alternativa da </w:t>
      </w:r>
      <w:r>
        <w:rPr>
          <w:rFonts w:ascii="Courier New" w:eastAsia="Courier New" w:hAnsi="Courier New"/>
          <w:sz w:val="22"/>
        </w:rPr>
        <w:t>escolaridade</w:t>
      </w:r>
      <w:r>
        <w:rPr>
          <w:rFonts w:eastAsia="Times New Roman"/>
        </w:rPr>
        <w:t xml:space="preserve">; perturbações nos pesos; possível componente ocupacional; e agregação menos compensatória justificável. O objetivo de toda análise de sensibilidade é testar </w:t>
      </w:r>
      <w:r>
        <w:rPr>
          <w:rFonts w:eastAsia="Times New Roman"/>
          <w:b/>
        </w:rPr>
        <w:t>robustez</w:t>
      </w:r>
      <w:r>
        <w:rPr>
          <w:rFonts w:eastAsia="Times New Roman"/>
        </w:rPr>
        <w:t xml:space="preserve"> — não escolher a posteriori a versão com "melhor resultado".</w:t>
      </w:r>
    </w:p>
    <w:p w14:paraId="1019BFF8" w14:textId="77777777" w:rsidR="00E62C65" w:rsidRDefault="00474360">
      <w:pPr>
        <w:pStyle w:val="Ttulo2"/>
      </w:pPr>
      <w:bookmarkStart w:id="25" w:name="_Toc238653805"/>
      <w:r>
        <w:rPr>
          <w:rFonts w:ascii="Times New Roman" w:eastAsia="Times New Roman" w:hAnsi="Times New Roman"/>
        </w:rPr>
        <w:lastRenderedPageBreak/>
        <w:t>3.4 Modelagem dos dados</w:t>
      </w:r>
      <w:bookmarkEnd w:id="25"/>
    </w:p>
    <w:p w14:paraId="46E6516E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Contrato de dados canônico e versionado (</w:t>
      </w:r>
      <w:r>
        <w:rPr>
          <w:rFonts w:ascii="Courier New" w:eastAsia="Courier New" w:hAnsi="Courier New"/>
          <w:sz w:val="22"/>
        </w:rPr>
        <w:t>schema_version = '1.13'</w:t>
      </w:r>
      <w:r>
        <w:rPr>
          <w:rFonts w:eastAsia="Times New Roman"/>
        </w:rPr>
        <w:t>), com códigos canônicos (</w:t>
      </w:r>
      <w:r>
        <w:rPr>
          <w:rFonts w:ascii="Courier New" w:eastAsia="Courier New" w:hAnsi="Courier New"/>
          <w:sz w:val="22"/>
        </w:rPr>
        <w:t>snake_case</w:t>
      </w:r>
      <w:r>
        <w:rPr>
          <w:rFonts w:eastAsia="Times New Roman"/>
        </w:rPr>
        <w:t xml:space="preserve">) separados dos rótulos de UI. </w:t>
      </w:r>
      <w:r>
        <w:rPr>
          <w:rFonts w:ascii="Courier New" w:eastAsia="Courier New" w:hAnsi="Courier New"/>
          <w:sz w:val="22"/>
        </w:rPr>
        <w:t>FormularioData.toMap()</w:t>
      </w:r>
      <w:r>
        <w:rPr>
          <w:rFonts w:eastAsia="Times New Roman"/>
        </w:rPr>
        <w:t xml:space="preserve"> (aninhado, versionado) e </w:t>
      </w:r>
      <w:r>
        <w:rPr>
          <w:rFonts w:ascii="Courier New" w:eastAsia="Courier New" w:hAnsi="Courier New"/>
          <w:sz w:val="22"/>
        </w:rPr>
        <w:t>toFlatMap()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dimensao.campo</w:t>
      </w:r>
      <w:r>
        <w:rPr>
          <w:rFonts w:eastAsia="Times New Roman"/>
        </w:rPr>
        <w:t xml:space="preserve">). O schema possui seis dimensões e 48 variáveis, todas estruturadas (booleanas, categóricas por código, múltipla escolha por código ou numéricas) — </w:t>
      </w:r>
      <w:r>
        <w:rPr>
          <w:rFonts w:eastAsia="Times New Roman"/>
          <w:b/>
        </w:rPr>
        <w:t>sem campos de texto livre</w:t>
      </w:r>
      <w:r>
        <w:rPr>
          <w:rFonts w:eastAsia="Times New Roman"/>
        </w:rPr>
        <w:t>.</w:t>
      </w:r>
    </w:p>
    <w:p w14:paraId="0CCEB59E" w14:textId="77777777" w:rsidR="00E62C65" w:rsidRDefault="00474360">
      <w:pPr>
        <w:pStyle w:val="Ttulo2"/>
      </w:pPr>
      <w:bookmarkStart w:id="26" w:name="_Toc238653806"/>
      <w:r>
        <w:rPr>
          <w:rFonts w:ascii="Times New Roman" w:eastAsia="Times New Roman" w:hAnsi="Times New Roman"/>
        </w:rPr>
        <w:t>3.5 População, T0 e variável-alvo</w:t>
      </w:r>
      <w:bookmarkEnd w:id="26"/>
    </w:p>
    <w:p w14:paraId="711A1AE7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População-alvo do modelo:</w:t>
      </w:r>
      <w:r>
        <w:rPr>
          <w:rFonts w:eastAsia="Times New Roman"/>
        </w:rPr>
        <w:t xml:space="preserve"> gestantes que </w:t>
      </w:r>
      <w:r>
        <w:rPr>
          <w:rFonts w:eastAsia="Times New Roman"/>
          <w:b/>
        </w:rPr>
        <w:t>já iniciaram</w:t>
      </w:r>
      <w:r>
        <w:rPr>
          <w:rFonts w:eastAsia="Times New Roman"/>
        </w:rPr>
        <w:t xml:space="preserve"> o acompanhamento pré-natal. O critério de inclusão "iniciou o pré-natal" é </w:t>
      </w:r>
      <w:r>
        <w:rPr>
          <w:rFonts w:eastAsia="Times New Roman"/>
          <w:b/>
        </w:rPr>
        <w:t>parte da população</w:t>
      </w:r>
      <w:r>
        <w:rPr>
          <w:rFonts w:eastAsia="Times New Roman"/>
        </w:rPr>
        <w:t>, não uma variável coletada pelo formulário.</w:t>
      </w:r>
    </w:p>
    <w:p w14:paraId="11870C14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T0</w:t>
      </w:r>
      <w:r>
        <w:rPr>
          <w:rFonts w:eastAsia="Times New Roman"/>
        </w:rPr>
        <w:t xml:space="preserve"> = instante em que a gestante conclui o questionário DSS e os dados são enviados à API para inferência. Somente informações </w:t>
      </w:r>
      <w:r>
        <w:rPr>
          <w:rFonts w:eastAsia="Times New Roman"/>
          <w:b/>
        </w:rPr>
        <w:t>legitimamente disponíveis em ou antes de T0</w:t>
      </w:r>
      <w:r>
        <w:rPr>
          <w:rFonts w:eastAsia="Times New Roman"/>
        </w:rPr>
        <w:t xml:space="preserve"> participam do modelo preditivo principal.</w:t>
      </w:r>
    </w:p>
    <w:p w14:paraId="04E70DF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Horizonte:</w:t>
      </w:r>
      <w:r>
        <w:rPr>
          <w:rFonts w:eastAsia="Times New Roman"/>
        </w:rPr>
        <w:t xml:space="preserve"> de T0 até o término da gestação.</w:t>
      </w:r>
    </w:p>
    <w:p w14:paraId="2F10A1FD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Variável-alvo (externa ao formulário):</w:t>
      </w:r>
    </w:p>
    <w:p w14:paraId="2C234326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Conceito:</w:t>
      </w:r>
      <w:r>
        <w:rPr>
          <w:rFonts w:eastAsia="Times New Roman"/>
        </w:rPr>
        <w:t xml:space="preserve"> descontinuidade do acompanhamento pré-natal.</w:t>
      </w:r>
    </w:p>
    <w:p w14:paraId="5FD3D348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Há dois planos distintos que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devem ser confundidos:</w:t>
      </w:r>
    </w:p>
    <w:p w14:paraId="5C5D6020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A) Referência para futuro estudo com dados reais.</w:t>
      </w:r>
    </w:p>
    <w:p w14:paraId="053D85D8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A Portaria GM/MS nº 5.350/2024 estabelece, no contexto da </w:t>
      </w:r>
      <w:r>
        <w:rPr>
          <w:rFonts w:eastAsia="Times New Roman"/>
          <w:b/>
        </w:rPr>
        <w:t>Rede Alyne</w:t>
      </w:r>
      <w:r>
        <w:rPr>
          <w:rFonts w:eastAsia="Times New Roman"/>
        </w:rPr>
        <w:t xml:space="preserve">, captação até 12 semanas e </w:t>
      </w:r>
      <w:r>
        <w:rPr>
          <w:rFonts w:eastAsia="Times New Roman"/>
          <w:b/>
        </w:rPr>
        <w:t>no mínimo sete consultas</w:t>
      </w:r>
      <w:r>
        <w:rPr>
          <w:rFonts w:eastAsia="Times New Roman"/>
        </w:rPr>
        <w:t xml:space="preserve"> (Art. 7º, §1º, I).</w:t>
      </w:r>
    </w:p>
    <w:p w14:paraId="24445742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Essa referência normativa contextualiza a adequação </w:t>
      </w:r>
      <w:r>
        <w:rPr>
          <w:rFonts w:eastAsia="Times New Roman"/>
          <w:b/>
        </w:rPr>
        <w:t>quantitativa</w:t>
      </w:r>
      <w:r>
        <w:rPr>
          <w:rFonts w:eastAsia="Times New Roman"/>
        </w:rPr>
        <w:t xml:space="preserve"> do acompanhamento.</w:t>
      </w:r>
    </w:p>
    <w:p w14:paraId="6CD443C2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A Portaria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define "menos de sete consultas" como critério clínico universal de abandono/descontinuidade.</w:t>
      </w:r>
    </w:p>
    <w:p w14:paraId="26385FF1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A Portaria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fornece, nesse dispositivo, tabela de número mínimo de consultas ajustada pela duração gestacional.</w:t>
      </w:r>
    </w:p>
    <w:p w14:paraId="5BC55AC5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Em futura pesquisa com dados reais, a operacionalização </w:t>
      </w:r>
      <w:r>
        <w:rPr>
          <w:rFonts w:eastAsia="Times New Roman"/>
          <w:b/>
        </w:rPr>
        <w:t>longitudinal</w:t>
      </w:r>
      <w:r>
        <w:rPr>
          <w:rFonts w:eastAsia="Times New Roman"/>
        </w:rPr>
        <w:t xml:space="preserve"> do desfecho ainda deverá ser fundamentada especificamente e considerar adequadamente a duração da gestação.</w:t>
      </w:r>
    </w:p>
    <w:p w14:paraId="3D381693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B) Experimento sintético atual.</w:t>
      </w:r>
    </w:p>
    <w:p w14:paraId="2BC6EB88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Y</w:t>
      </w:r>
      <w:r>
        <w:rPr>
          <w:rFonts w:eastAsia="Times New Roman"/>
        </w:rPr>
        <w:t xml:space="preserve"> é uma variável binária </w:t>
      </w:r>
      <w:r>
        <w:rPr>
          <w:rFonts w:eastAsia="Times New Roman"/>
          <w:b/>
        </w:rPr>
        <w:t>experimental</w:t>
      </w:r>
      <w:r>
        <w:rPr>
          <w:rFonts w:eastAsia="Times New Roman"/>
        </w:rPr>
        <w:t>, externa ao formulário (</w:t>
      </w:r>
      <w:r>
        <w:rPr>
          <w:rFonts w:ascii="Courier New" w:eastAsia="Courier New" w:hAnsi="Courier New"/>
          <w:sz w:val="22"/>
        </w:rPr>
        <w:t>descontinuou_pre_natal ∈ {0,1}</w:t>
      </w:r>
      <w:r>
        <w:rPr>
          <w:rFonts w:eastAsia="Times New Roman"/>
        </w:rPr>
        <w:t>).</w:t>
      </w:r>
    </w:p>
    <w:p w14:paraId="094689FD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Y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é calculado a partir de consultas simuladas.</w:t>
      </w:r>
    </w:p>
    <w:p w14:paraId="7228709F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lastRenderedPageBreak/>
        <w:t xml:space="preserve">Y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é produzido pela aplicação da regra de sete consultas.</w:t>
      </w:r>
    </w:p>
    <w:p w14:paraId="14756911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Y é gerado pelo </w:t>
      </w:r>
      <w:r>
        <w:rPr>
          <w:rFonts w:eastAsia="Times New Roman"/>
          <w:b/>
        </w:rPr>
        <w:t>DGM probabilístico</w:t>
      </w:r>
      <w:r>
        <w:rPr>
          <w:rFonts w:eastAsia="Times New Roman"/>
        </w:rPr>
        <w:t xml:space="preserve">: </w:t>
      </w:r>
      <w:r>
        <w:rPr>
          <w:rFonts w:ascii="Courier New" w:eastAsia="Courier New" w:hAnsi="Courier New"/>
          <w:sz w:val="22"/>
        </w:rPr>
        <w:t>g_* → eta → sigmoid → Bernoulli</w:t>
      </w:r>
      <w:r>
        <w:rPr>
          <w:rFonts w:eastAsia="Times New Roman"/>
        </w:rPr>
        <w:t xml:space="preserve"> (ver 4.6).</w:t>
      </w:r>
    </w:p>
    <w:p w14:paraId="774C7AD4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O objetivo desse Y é testar </w:t>
      </w:r>
      <w:r>
        <w:rPr>
          <w:rFonts w:eastAsia="Times New Roman"/>
          <w:b/>
        </w:rPr>
        <w:t>tecnicamente</w:t>
      </w:r>
      <w:r>
        <w:rPr>
          <w:rFonts w:eastAsia="Times New Roman"/>
        </w:rPr>
        <w:t xml:space="preserve"> o pipeline de ML em cenário controlado.</w:t>
      </w:r>
    </w:p>
    <w:p w14:paraId="4C11060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Nenhuma</w:t>
      </w:r>
      <w:r>
        <w:rPr>
          <w:rFonts w:eastAsia="Times New Roman"/>
        </w:rPr>
        <w:t xml:space="preserve"> pergunta do formulário fabrica o rótulo. Em futura validação com dados reais, o critério longitudinal de desfecho deve ser definido e validado a partir dos registros reais de acompanhamento (prontuário/SISPRENATAL).</w:t>
      </w:r>
    </w:p>
    <w:p w14:paraId="44224EC8" w14:textId="77777777" w:rsidR="00E62C65" w:rsidRDefault="00474360">
      <w:pPr>
        <w:pStyle w:val="Ttulo2"/>
      </w:pPr>
      <w:bookmarkStart w:id="27" w:name="_Toc238653807"/>
      <w:r>
        <w:rPr>
          <w:rFonts w:ascii="Times New Roman" w:eastAsia="Times New Roman" w:hAnsi="Times New Roman"/>
        </w:rPr>
        <w:t>3.6 Geração do dataset sintético</w:t>
      </w:r>
      <w:bookmarkEnd w:id="27"/>
    </w:p>
    <w:p w14:paraId="7335269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Nomenclatura conceitual (usada em todo o documento):</w:t>
      </w:r>
    </w:p>
    <w:p w14:paraId="5917850A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Q_full</w:t>
      </w:r>
      <w:r>
        <w:rPr>
          <w:rFonts w:eastAsia="Times New Roman"/>
        </w:rPr>
        <w:t xml:space="preserve"> = conjunto completo das </w:t>
      </w:r>
      <w:r>
        <w:rPr>
          <w:rFonts w:eastAsia="Times New Roman"/>
          <w:b/>
        </w:rPr>
        <w:t>48 variáveis</w:t>
      </w:r>
      <w:r>
        <w:rPr>
          <w:rFonts w:eastAsia="Times New Roman"/>
        </w:rPr>
        <w:t xml:space="preserve"> observadas do questionário DSS.</w:t>
      </w:r>
    </w:p>
    <w:p w14:paraId="7657C465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X_model</w:t>
      </w:r>
      <w:r>
        <w:rPr>
          <w:rFonts w:eastAsia="Times New Roman"/>
        </w:rPr>
        <w:t xml:space="preserve"> = subconjunto das </w:t>
      </w:r>
      <w:r>
        <w:rPr>
          <w:rFonts w:eastAsia="Times New Roman"/>
          <w:b/>
        </w:rPr>
        <w:t>34 variáveis ML-IN</w:t>
      </w:r>
      <w:r>
        <w:rPr>
          <w:rFonts w:eastAsia="Times New Roman"/>
        </w:rPr>
        <w:t xml:space="preserve"> usadas como entrada do modelo principal.</w:t>
      </w:r>
    </w:p>
    <w:p w14:paraId="201648E2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X_sens</w:t>
      </w:r>
      <w:r>
        <w:rPr>
          <w:rFonts w:eastAsia="Times New Roman"/>
        </w:rPr>
        <w:t xml:space="preserve"> = 34 ML-IN + 2 variáveis de sensibilidade (36), usado somente no experimento secundário 34 vs. 36.</w:t>
      </w:r>
    </w:p>
    <w:p w14:paraId="11F6D90D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Y</w:t>
      </w:r>
      <w:r>
        <w:rPr>
          <w:rFonts w:eastAsia="Times New Roman"/>
        </w:rPr>
        <w:t xml:space="preserve"> = target binário sintético (externo ao formulário).</w:t>
      </w:r>
    </w:p>
    <w:p w14:paraId="45F17E1F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M_sim</w:t>
      </w:r>
      <w:r>
        <w:rPr>
          <w:rFonts w:eastAsia="Times New Roman"/>
        </w:rPr>
        <w:t xml:space="preserve"> = metadados internos da simulação (</w:t>
      </w:r>
      <w:r>
        <w:rPr>
          <w:rFonts w:ascii="Courier New" w:eastAsia="Courier New" w:hAnsi="Courier New"/>
          <w:sz w:val="22"/>
        </w:rPr>
        <w:t>Z_*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g_*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eta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p_true</w:t>
      </w:r>
      <w:r>
        <w:rPr>
          <w:rFonts w:eastAsia="Times New Roman"/>
        </w:rPr>
        <w:t>, condição/renda latente verdadeira etc.), nunca observados pelo modelo.</w:t>
      </w:r>
    </w:p>
    <w:p w14:paraId="5C804027" w14:textId="77777777" w:rsidR="00E62C65" w:rsidRDefault="00474360">
      <w:pPr>
        <w:pStyle w:val="CodeBlock"/>
        <w:shd w:val="clear" w:color="auto" w:fill="F2F2F2"/>
      </w:pPr>
      <w:r>
        <w:rPr>
          <w:rFonts w:eastAsia="Courier New"/>
        </w:rPr>
        <w:t>Q_full (48)</w:t>
      </w:r>
      <w:r>
        <w:rPr>
          <w:rFonts w:eastAsia="Courier New"/>
        </w:rPr>
        <w:br/>
        <w:t xml:space="preserve">   |</w:t>
      </w:r>
      <w:r>
        <w:rPr>
          <w:rFonts w:eastAsia="Courier New"/>
        </w:rPr>
        <w:br/>
        <w:t xml:space="preserve">   |--&gt; seleção --&gt; X_model (34) --&gt; ML principal</w:t>
      </w:r>
      <w:r>
        <w:rPr>
          <w:rFonts w:eastAsia="Courier New"/>
        </w:rPr>
        <w:br/>
        <w:t xml:space="preserve">   |</w:t>
      </w:r>
      <w:r>
        <w:rPr>
          <w:rFonts w:eastAsia="Courier New"/>
        </w:rPr>
        <w:br/>
        <w:t xml:space="preserve">   |--&gt; seleção --&gt; X_sens (36)  --&gt; análise de sensibilidade</w:t>
      </w:r>
      <w:r>
        <w:rPr>
          <w:rFonts w:eastAsia="Courier New"/>
        </w:rPr>
        <w:br/>
        <w:t xml:space="preserve">   |</w:t>
      </w:r>
      <w:r>
        <w:rPr>
          <w:rFonts w:eastAsia="Courier New"/>
        </w:rPr>
        <w:br/>
        <w:t xml:space="preserve">   `--&gt; cálculo independente --&gt; IV-DSS</w:t>
      </w:r>
      <w:r>
        <w:rPr>
          <w:rFonts w:eastAsia="Courier New"/>
        </w:rPr>
        <w:br/>
      </w:r>
      <w:r>
        <w:rPr>
          <w:rFonts w:eastAsia="Courier New"/>
        </w:rPr>
        <w:br/>
        <w:t>M_sim  --&gt; auditoria do simulador somente</w:t>
      </w:r>
      <w:r>
        <w:rPr>
          <w:rFonts w:eastAsia="Courier New"/>
        </w:rPr>
        <w:br/>
        <w:t>Y      --&gt; variável-alvo</w:t>
      </w:r>
    </w:p>
    <w:p w14:paraId="3F2A10A7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As 5 OUT-LEAKAGE e as 5 OUT-TEMPORAL pertencem a </w:t>
      </w:r>
      <w:r>
        <w:rPr>
          <w:rFonts w:ascii="Courier New" w:eastAsia="Courier New" w:hAnsi="Courier New"/>
          <w:sz w:val="22"/>
        </w:rPr>
        <w:t>Q_full</w:t>
      </w:r>
      <w:r>
        <w:rPr>
          <w:rFonts w:eastAsia="Times New Roman"/>
        </w:rPr>
        <w:t xml:space="preserve">, mas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a </w:t>
      </w:r>
      <w:r>
        <w:rPr>
          <w:rFonts w:ascii="Courier New" w:eastAsia="Courier New" w:hAnsi="Courier New"/>
          <w:sz w:val="22"/>
        </w:rPr>
        <w:t>X_model</w:t>
      </w:r>
      <w:r>
        <w:rPr>
          <w:rFonts w:eastAsia="Times New Roman"/>
        </w:rPr>
        <w:t>.</w:t>
      </w:r>
    </w:p>
    <w:p w14:paraId="4BCDB381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As 2 DESCRITIVAS pertencem a </w:t>
      </w:r>
      <w:r>
        <w:rPr>
          <w:rFonts w:ascii="Courier New" w:eastAsia="Courier New" w:hAnsi="Courier New"/>
          <w:sz w:val="22"/>
        </w:rPr>
        <w:t>Q_full</w:t>
      </w:r>
      <w:r>
        <w:rPr>
          <w:rFonts w:eastAsia="Times New Roman"/>
        </w:rPr>
        <w:t xml:space="preserve">, mas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a </w:t>
      </w:r>
      <w:r>
        <w:rPr>
          <w:rFonts w:ascii="Courier New" w:eastAsia="Courier New" w:hAnsi="Courier New"/>
          <w:sz w:val="22"/>
        </w:rPr>
        <w:t>X_model</w:t>
      </w:r>
      <w:r>
        <w:rPr>
          <w:rFonts w:eastAsia="Times New Roman"/>
        </w:rPr>
        <w:t>.</w:t>
      </w:r>
    </w:p>
    <w:p w14:paraId="2D6C37BA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As 2 SENSIBILIDADE pertencem a </w:t>
      </w:r>
      <w:r>
        <w:rPr>
          <w:rFonts w:ascii="Courier New" w:eastAsia="Courier New" w:hAnsi="Courier New"/>
          <w:sz w:val="22"/>
        </w:rPr>
        <w:t>Q_full</w:t>
      </w:r>
      <w:r>
        <w:rPr>
          <w:rFonts w:eastAsia="Times New Roman"/>
        </w:rPr>
        <w:t xml:space="preserve"> e somente entram em </w:t>
      </w:r>
      <w:r>
        <w:rPr>
          <w:rFonts w:ascii="Courier New" w:eastAsia="Courier New" w:hAnsi="Courier New"/>
          <w:sz w:val="22"/>
        </w:rPr>
        <w:t>X_sens</w:t>
      </w:r>
      <w:r>
        <w:rPr>
          <w:rFonts w:eastAsia="Times New Roman"/>
        </w:rPr>
        <w:t>.</w:t>
      </w:r>
    </w:p>
    <w:p w14:paraId="2BA2A892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ascii="Courier New" w:eastAsia="Courier New" w:hAnsi="Courier New"/>
          <w:sz w:val="22"/>
        </w:rPr>
        <w:t>M_sim</w:t>
      </w:r>
      <w:r>
        <w:rPr>
          <w:rFonts w:eastAsia="Times New Roman"/>
        </w:rPr>
        <w:t xml:space="preserve"> </w:t>
      </w:r>
      <w:r>
        <w:rPr>
          <w:rFonts w:eastAsia="Times New Roman"/>
          <w:b/>
        </w:rPr>
        <w:t>nunca</w:t>
      </w:r>
      <w:r>
        <w:rPr>
          <w:rFonts w:eastAsia="Times New Roman"/>
        </w:rPr>
        <w:t xml:space="preserve"> é entrada do treinamento.</w:t>
      </w:r>
    </w:p>
    <w:p w14:paraId="1A29C641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Fluxo de geração (seed fixa, gerador versionado):</w:t>
      </w:r>
    </w:p>
    <w:p w14:paraId="4FA75D97" w14:textId="77777777" w:rsidR="00E62C65" w:rsidRDefault="00474360">
      <w:pPr>
        <w:pStyle w:val="CodeBlock"/>
        <w:shd w:val="clear" w:color="auto" w:fill="F2F2F2"/>
      </w:pPr>
      <w:r>
        <w:rPr>
          <w:rFonts w:eastAsia="Courier New"/>
        </w:rPr>
        <w:t>Geração de Q_full (48)</w:t>
      </w:r>
      <w:r>
        <w:rPr>
          <w:rFonts w:eastAsia="Courier New"/>
        </w:rPr>
        <w:br/>
        <w:t xml:space="preserve">      |</w:t>
      </w:r>
      <w:r>
        <w:rPr>
          <w:rFonts w:eastAsia="Courier New"/>
        </w:rPr>
        <w:br/>
        <w:t xml:space="preserve">      |--&gt; cálculo independente do IV-DSS   (função de Q_full)</w:t>
      </w:r>
      <w:r>
        <w:rPr>
          <w:rFonts w:eastAsia="Courier New"/>
        </w:rPr>
        <w:br/>
        <w:t xml:space="preserve">      |</w:t>
      </w:r>
      <w:r>
        <w:rPr>
          <w:rFonts w:eastAsia="Courier New"/>
        </w:rPr>
        <w:br/>
        <w:t xml:space="preserve">      `--&gt; fatores g_* → escore latente → probabilidade → Y</w:t>
      </w:r>
    </w:p>
    <w:p w14:paraId="62BE499D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lastRenderedPageBreak/>
        <w:t>Q_full</w:t>
      </w:r>
      <w:r>
        <w:rPr>
          <w:rFonts w:eastAsia="Times New Roman"/>
        </w:rPr>
        <w:t xml:space="preserve"> = variáveis dos DSS observadas (48, tabulares);</w:t>
      </w:r>
    </w:p>
    <w:p w14:paraId="391AEB1F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IV-DSS</w:t>
      </w:r>
      <w:r>
        <w:rPr>
          <w:rFonts w:eastAsia="Times New Roman"/>
        </w:rPr>
        <w:t xml:space="preserve"> = variável </w:t>
      </w:r>
      <w:r>
        <w:rPr>
          <w:rFonts w:eastAsia="Times New Roman"/>
          <w:b/>
        </w:rPr>
        <w:t>derivada</w:t>
      </w:r>
      <w:r>
        <w:rPr>
          <w:rFonts w:eastAsia="Times New Roman"/>
        </w:rPr>
        <w:t xml:space="preserve"> de </w:t>
      </w:r>
      <w:r>
        <w:rPr>
          <w:rFonts w:ascii="Courier New" w:eastAsia="Courier New" w:hAnsi="Courier New"/>
          <w:sz w:val="22"/>
        </w:rPr>
        <w:t>Q_full</w:t>
      </w:r>
      <w:r>
        <w:rPr>
          <w:rFonts w:eastAsia="Times New Roman"/>
        </w:rPr>
        <w:t xml:space="preserve"> (função determinística, independente);</w:t>
      </w:r>
    </w:p>
    <w:p w14:paraId="58BACAFE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Y</w:t>
      </w:r>
      <w:r>
        <w:rPr>
          <w:rFonts w:eastAsia="Times New Roman"/>
        </w:rPr>
        <w:t xml:space="preserve"> = descontinuidade do pré-natal (target sintético).</w:t>
      </w:r>
    </w:p>
    <w:p w14:paraId="110A5E19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O IV-DSS não participa da geração de Y.</w:t>
      </w:r>
      <w:r>
        <w:rPr>
          <w:rFonts w:eastAsia="Times New Roman"/>
        </w:rPr>
        <w:t xml:space="preserve"> O Y é gerado por um </w:t>
      </w:r>
      <w:r>
        <w:rPr>
          <w:rFonts w:eastAsia="Times New Roman"/>
          <w:b/>
        </w:rPr>
        <w:t>mecanismo probabilístico experimental (DGM)</w:t>
      </w:r>
      <w:r>
        <w:rPr>
          <w:rFonts w:eastAsia="Times New Roman"/>
        </w:rPr>
        <w:t xml:space="preserve">, cujos coeficientes são </w:t>
      </w:r>
      <w:r>
        <w:rPr>
          <w:rFonts w:eastAsia="Times New Roman"/>
          <w:b/>
        </w:rPr>
        <w:t>parâmetros de simulação</w:t>
      </w:r>
      <w:r>
        <w:rPr>
          <w:rFonts w:eastAsia="Times New Roman"/>
        </w:rPr>
        <w:t xml:space="preserve"> — não _odds ratios_ da literatura.</w:t>
      </w:r>
    </w:p>
    <w:p w14:paraId="55C8A72B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Fatores latentes Z:</w:t>
      </w:r>
      <w:r>
        <w:rPr>
          <w:rFonts w:eastAsia="Times New Roman"/>
        </w:rPr>
        <w:t xml:space="preserve"> cinco fatores internos do simulador (</w:t>
      </w:r>
      <w:r>
        <w:rPr>
          <w:rFonts w:ascii="Courier New" w:eastAsia="Courier New" w:hAnsi="Courier New"/>
          <w:sz w:val="22"/>
        </w:rPr>
        <w:t>Z_SES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Z_LAB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Z_TERR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Z_INFRA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Z_SERV</w:t>
      </w:r>
      <w:r>
        <w:rPr>
          <w:rFonts w:eastAsia="Times New Roman"/>
        </w:rPr>
        <w:t xml:space="preserve">) gerados por distribuição normal multivariada com correlações moderadas. Esses fatores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vão ao Flutter, à API, ao ML nem ao IV-DSS.</w:t>
      </w:r>
    </w:p>
    <w:p w14:paraId="0DC1FE68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Camadas de geração:</w:t>
      </w:r>
      <w:r>
        <w:rPr>
          <w:rFonts w:eastAsia="Times New Roman"/>
        </w:rPr>
        <w:t xml:space="preserve"> fatores latentes → variáveis base → variáveis dependentes/condicionais → multiselects/descritivas → validação das invariantes do schema → fatores </w:t>
      </w:r>
      <w:r>
        <w:rPr>
          <w:rFonts w:ascii="Courier New" w:eastAsia="Courier New" w:hAnsi="Courier New"/>
          <w:sz w:val="22"/>
        </w:rPr>
        <w:t>g_*</w:t>
      </w:r>
      <w:r>
        <w:rPr>
          <w:rFonts w:eastAsia="Times New Roman"/>
        </w:rPr>
        <w:t xml:space="preserve"> → Y → IV-DSS.</w:t>
      </w:r>
    </w:p>
    <w:p w14:paraId="664990D4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Fatores g:</w:t>
      </w:r>
      <w:r>
        <w:rPr>
          <w:rFonts w:eastAsia="Times New Roman"/>
        </w:rPr>
        <w:t xml:space="preserve"> oito fatores internos derivados de </w:t>
      </w:r>
      <w:r>
        <w:rPr>
          <w:rFonts w:ascii="Courier New" w:eastAsia="Courier New" w:hAnsi="Courier New"/>
          <w:sz w:val="22"/>
        </w:rPr>
        <w:t>Q_full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g_escolaridade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g_renda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g_distancia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g_transporte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g_organizacao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g_trabalho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g_privacao_alimentar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g_adensamento</w:t>
      </w:r>
      <w:r>
        <w:rPr>
          <w:rFonts w:eastAsia="Times New Roman"/>
        </w:rPr>
        <w:t>) alimentam o escore latente de Y, com duas interações experimentais (</w:t>
      </w:r>
      <w:r>
        <w:rPr>
          <w:rFonts w:ascii="Courier New" w:eastAsia="Courier New" w:hAnsi="Courier New"/>
          <w:sz w:val="22"/>
        </w:rPr>
        <w:t>g_renda × g_privacao_alimentar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 xml:space="preserve">g_distancia × </w:t>
      </w:r>
      <w:r>
        <w:rPr>
          <w:rFonts w:ascii="Courier New" w:eastAsia="Courier New" w:hAnsi="Courier New"/>
          <w:sz w:val="22"/>
        </w:rPr>
        <w:t>g_transporte</w:t>
      </w:r>
      <w:r>
        <w:rPr>
          <w:rFonts w:eastAsia="Times New Roman"/>
        </w:rPr>
        <w:t>).</w:t>
      </w:r>
    </w:p>
    <w:p w14:paraId="2F4605EF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Equação:</w:t>
      </w:r>
      <w:r>
        <w:rPr>
          <w:rFonts w:eastAsia="Times New Roman"/>
        </w:rPr>
        <w:t xml:space="preserve"> </w:t>
      </w:r>
      <w:r>
        <w:rPr>
          <w:rFonts w:ascii="Courier New" w:eastAsia="Courier New" w:hAnsi="Courier New"/>
          <w:sz w:val="22"/>
        </w:rPr>
        <w:t>eta = alpha + 0.50·E + 0.55·R + 0.45·D + 0.55·T + 0.40·O + 0.40·W + 0.30·F + 0.25·H + 0.30·(R·F) + 0.35·(D·T) + U</w:t>
      </w:r>
      <w:r>
        <w:rPr>
          <w:rFonts w:eastAsia="Times New Roman"/>
        </w:rPr>
        <w:t xml:space="preserve">, com </w:t>
      </w:r>
      <w:r>
        <w:rPr>
          <w:rFonts w:ascii="Courier New" w:eastAsia="Courier New" w:hAnsi="Courier New"/>
          <w:sz w:val="22"/>
        </w:rPr>
        <w:t>U ~ Normal(0, 0.50)</w:t>
      </w:r>
      <w:r>
        <w:rPr>
          <w:rFonts w:eastAsia="Times New Roman"/>
        </w:rPr>
        <w:t xml:space="preserve">; depois </w:t>
      </w:r>
      <w:r>
        <w:rPr>
          <w:rFonts w:ascii="Courier New" w:eastAsia="Courier New" w:hAnsi="Courier New"/>
          <w:sz w:val="22"/>
        </w:rPr>
        <w:t>p = sigmoid(eta)</w:t>
      </w:r>
      <w:r>
        <w:rPr>
          <w:rFonts w:eastAsia="Times New Roman"/>
        </w:rPr>
        <w:t xml:space="preserve"> e </w:t>
      </w:r>
      <w:r>
        <w:rPr>
          <w:rFonts w:ascii="Courier New" w:eastAsia="Courier New" w:hAnsi="Courier New"/>
          <w:sz w:val="22"/>
        </w:rPr>
        <w:t>Y ~ Bernoulli(p)</w:t>
      </w:r>
      <w:r>
        <w:rPr>
          <w:rFonts w:eastAsia="Times New Roman"/>
        </w:rPr>
        <w:t>.</w:t>
      </w:r>
    </w:p>
    <w:p w14:paraId="2C5E7166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Calibração do intercepto:</w:t>
      </w:r>
      <w:r>
        <w:rPr>
          <w:rFonts w:eastAsia="Times New Roman"/>
        </w:rPr>
        <w:t xml:space="preserve"> </w:t>
      </w:r>
      <w:r>
        <w:rPr>
          <w:rFonts w:ascii="Courier New" w:eastAsia="Courier New" w:hAnsi="Courier New"/>
          <w:sz w:val="22"/>
        </w:rPr>
        <w:t>alpha</w:t>
      </w:r>
      <w:r>
        <w:rPr>
          <w:rFonts w:eastAsia="Times New Roman"/>
        </w:rPr>
        <w:t xml:space="preserve"> é calibrado numericamente para que a média das probabilidades verdadeiras ≈ proporção sintética planejada (~25%).</w:t>
      </w:r>
    </w:p>
    <w:p w14:paraId="3E312C26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Não-determinismo controlado:</w:t>
      </w:r>
      <w:r>
        <w:rPr>
          <w:rFonts w:eastAsia="Times New Roman"/>
        </w:rPr>
        <w:t xml:space="preserve"> </w:t>
      </w:r>
      <w:r>
        <w:rPr>
          <w:rFonts w:ascii="Courier New" w:eastAsia="Courier New" w:hAnsi="Courier New"/>
          <w:sz w:val="22"/>
        </w:rPr>
        <w:t>faixa_renda = nao_informar</w:t>
      </w:r>
      <w:r>
        <w:rPr>
          <w:rFonts w:eastAsia="Times New Roman"/>
        </w:rPr>
        <w:t xml:space="preserve"> em pequena parcela dos registros — o simulador conhece a condição econômica verdadeira antes da ocultação; o modelo recebe apenas </w:t>
      </w:r>
      <w:r>
        <w:rPr>
          <w:rFonts w:ascii="Courier New" w:eastAsia="Courier New" w:hAnsi="Courier New"/>
          <w:sz w:val="22"/>
        </w:rPr>
        <w:t>nao_informar</w:t>
      </w:r>
      <w:r>
        <w:rPr>
          <w:rFonts w:eastAsia="Times New Roman"/>
        </w:rPr>
        <w:t>.</w:t>
      </w:r>
    </w:p>
    <w:p w14:paraId="7F777C53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dataset foi </w:t>
      </w:r>
      <w:r>
        <w:rPr>
          <w:rFonts w:eastAsia="Times New Roman"/>
          <w:b/>
        </w:rPr>
        <w:t>gerado</w:t>
      </w:r>
      <w:r>
        <w:rPr>
          <w:rFonts w:eastAsia="Times New Roman"/>
        </w:rPr>
        <w:t xml:space="preserve"> com as seguintes configurações: </w:t>
      </w:r>
      <w:r>
        <w:rPr>
          <w:rFonts w:eastAsia="Times New Roman"/>
          <w:b/>
        </w:rPr>
        <w:t>5.000 registros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proporção sintética planejada ~25%</w:t>
      </w:r>
      <w:r>
        <w:rPr>
          <w:rFonts w:eastAsia="Times New Roman"/>
        </w:rPr>
        <w:t xml:space="preserve"> de Y=1 (não chamar de "prevalência"), seed fixa </w:t>
      </w:r>
      <w:r>
        <w:rPr>
          <w:rFonts w:ascii="Courier New" w:eastAsia="Courier New" w:hAnsi="Courier New"/>
          <w:sz w:val="22"/>
        </w:rPr>
        <w:t>42</w:t>
      </w:r>
      <w:r>
        <w:rPr>
          <w:rFonts w:eastAsia="Times New Roman"/>
        </w:rPr>
        <w:t>. Cenários de sensibilidade futuros: ~15%, ~25%, ~35%.</w:t>
      </w:r>
    </w:p>
    <w:p w14:paraId="25E98A25" w14:textId="77777777" w:rsidR="00E62C65" w:rsidRDefault="00474360">
      <w:pPr>
        <w:pStyle w:val="Ttulo2"/>
      </w:pPr>
      <w:bookmarkStart w:id="28" w:name="_Toc238653808"/>
      <w:r>
        <w:rPr>
          <w:rFonts w:ascii="Times New Roman" w:eastAsia="Times New Roman" w:hAnsi="Times New Roman"/>
        </w:rPr>
        <w:t>3.7 Seleção de variáveis e controle de leakage</w:t>
      </w:r>
      <w:bookmarkEnd w:id="28"/>
    </w:p>
    <w:p w14:paraId="0B656903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Nem todas as 48 respostas do questionário são utilizadas no modelo principal. A classificação consolidada das 48 variáveis é:</w:t>
      </w:r>
    </w:p>
    <w:p w14:paraId="4C7A5B13" w14:textId="77777777" w:rsidR="00E62C65" w:rsidRDefault="00474360">
      <w:pPr>
        <w:keepNext/>
      </w:pPr>
      <w:r>
        <w:rPr>
          <w:b/>
          <w:sz w:val="20"/>
          <w:szCs w:val="20"/>
        </w:rPr>
        <w:lastRenderedPageBreak/>
        <w:t>Quadro 1 – Classificação consolidada das 48 variáveis do questionário</w:t>
      </w:r>
    </w:p>
    <w:tbl>
      <w:tblPr>
        <w:tblStyle w:val="Tabelacomgrade"/>
        <w:tblW w:w="90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62C65" w14:paraId="73417C75" w14:textId="77777777">
        <w:trPr>
          <w:tblHeader/>
          <w:jc w:val="center"/>
        </w:trPr>
        <w:tc>
          <w:tcPr>
            <w:tcW w:w="3024" w:type="dxa"/>
            <w:shd w:val="clear" w:color="auto" w:fill="E7E6E6"/>
            <w:vAlign w:val="center"/>
          </w:tcPr>
          <w:p w14:paraId="0D04D095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Classe</w:t>
            </w:r>
          </w:p>
        </w:tc>
        <w:tc>
          <w:tcPr>
            <w:tcW w:w="3024" w:type="dxa"/>
            <w:shd w:val="clear" w:color="auto" w:fill="E7E6E6"/>
            <w:vAlign w:val="center"/>
          </w:tcPr>
          <w:p w14:paraId="0CC28E18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Qtde</w:t>
            </w:r>
          </w:p>
        </w:tc>
        <w:tc>
          <w:tcPr>
            <w:tcW w:w="3024" w:type="dxa"/>
            <w:shd w:val="clear" w:color="auto" w:fill="E7E6E6"/>
            <w:vAlign w:val="center"/>
          </w:tcPr>
          <w:p w14:paraId="1ED1D768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Significado</w:t>
            </w:r>
          </w:p>
        </w:tc>
      </w:tr>
      <w:tr w:rsidR="00E62C65" w14:paraId="2C83DCA9" w14:textId="77777777">
        <w:trPr>
          <w:jc w:val="center"/>
        </w:trPr>
        <w:tc>
          <w:tcPr>
            <w:tcW w:w="3024" w:type="dxa"/>
            <w:vAlign w:val="center"/>
          </w:tcPr>
          <w:p w14:paraId="32507FE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ML-IN</w:t>
            </w:r>
          </w:p>
        </w:tc>
        <w:tc>
          <w:tcPr>
            <w:tcW w:w="3024" w:type="dxa"/>
            <w:vAlign w:val="center"/>
          </w:tcPr>
          <w:p w14:paraId="5546997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34</w:t>
            </w:r>
          </w:p>
        </w:tc>
        <w:tc>
          <w:tcPr>
            <w:tcW w:w="3024" w:type="dxa"/>
            <w:vAlign w:val="center"/>
          </w:tcPr>
          <w:p w14:paraId="1079D242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feature metodologicamente admissível</w:t>
            </w:r>
          </w:p>
        </w:tc>
      </w:tr>
      <w:tr w:rsidR="00E62C65" w14:paraId="27FF32C9" w14:textId="77777777">
        <w:trPr>
          <w:jc w:val="center"/>
        </w:trPr>
        <w:tc>
          <w:tcPr>
            <w:tcW w:w="3024" w:type="dxa"/>
            <w:vAlign w:val="center"/>
          </w:tcPr>
          <w:p w14:paraId="59B4F917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OUT-LEAKAGE</w:t>
            </w:r>
          </w:p>
        </w:tc>
        <w:tc>
          <w:tcPr>
            <w:tcW w:w="3024" w:type="dxa"/>
            <w:vAlign w:val="center"/>
          </w:tcPr>
          <w:p w14:paraId="0EC4BBF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5</w:t>
            </w:r>
          </w:p>
        </w:tc>
        <w:tc>
          <w:tcPr>
            <w:tcW w:w="3024" w:type="dxa"/>
            <w:vAlign w:val="center"/>
          </w:tcPr>
          <w:p w14:paraId="2C6B35E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proximidade com acompanhamento/desfecho</w:t>
            </w:r>
          </w:p>
        </w:tc>
      </w:tr>
      <w:tr w:rsidR="00E62C65" w14:paraId="094FFB52" w14:textId="77777777">
        <w:trPr>
          <w:jc w:val="center"/>
        </w:trPr>
        <w:tc>
          <w:tcPr>
            <w:tcW w:w="3024" w:type="dxa"/>
            <w:vAlign w:val="center"/>
          </w:tcPr>
          <w:p w14:paraId="044C2363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OUT-TEMPORAL</w:t>
            </w:r>
          </w:p>
        </w:tc>
        <w:tc>
          <w:tcPr>
            <w:tcW w:w="3024" w:type="dxa"/>
            <w:vAlign w:val="center"/>
          </w:tcPr>
          <w:p w14:paraId="77F642AF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5</w:t>
            </w:r>
          </w:p>
        </w:tc>
        <w:tc>
          <w:tcPr>
            <w:tcW w:w="3024" w:type="dxa"/>
            <w:vAlign w:val="center"/>
          </w:tcPr>
          <w:p w14:paraId="3D693CD8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mistura antecedente com acontecimento durante a gestação/acompanhamento</w:t>
            </w:r>
          </w:p>
        </w:tc>
      </w:tr>
      <w:tr w:rsidR="00E62C65" w14:paraId="6A5EA7EA" w14:textId="77777777">
        <w:trPr>
          <w:jc w:val="center"/>
        </w:trPr>
        <w:tc>
          <w:tcPr>
            <w:tcW w:w="3024" w:type="dxa"/>
            <w:vAlign w:val="center"/>
          </w:tcPr>
          <w:p w14:paraId="5C692BE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DESCRITIVA</w:t>
            </w:r>
          </w:p>
        </w:tc>
        <w:tc>
          <w:tcPr>
            <w:tcW w:w="3024" w:type="dxa"/>
            <w:vAlign w:val="center"/>
          </w:tcPr>
          <w:p w14:paraId="49C59F0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2</w:t>
            </w:r>
          </w:p>
        </w:tc>
        <w:tc>
          <w:tcPr>
            <w:tcW w:w="3024" w:type="dxa"/>
            <w:vAlign w:val="center"/>
          </w:tcPr>
          <w:p w14:paraId="3D7270D0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 xml:space="preserve">caracterização; sem </w:t>
            </w:r>
            <w:r>
              <w:rPr>
                <w:rFonts w:eastAsia="Times New Roman"/>
                <w:sz w:val="18"/>
              </w:rPr>
              <w:t>justificativa para feature principal</w:t>
            </w:r>
          </w:p>
        </w:tc>
      </w:tr>
      <w:tr w:rsidR="00E62C65" w14:paraId="71EB6A5E" w14:textId="77777777">
        <w:trPr>
          <w:jc w:val="center"/>
        </w:trPr>
        <w:tc>
          <w:tcPr>
            <w:tcW w:w="3024" w:type="dxa"/>
            <w:vAlign w:val="center"/>
          </w:tcPr>
          <w:p w14:paraId="4C5C995E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SENSIBILIDADE</w:t>
            </w:r>
          </w:p>
        </w:tc>
        <w:tc>
          <w:tcPr>
            <w:tcW w:w="3024" w:type="dxa"/>
            <w:vAlign w:val="center"/>
          </w:tcPr>
          <w:p w14:paraId="1774916E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2</w:t>
            </w:r>
          </w:p>
        </w:tc>
        <w:tc>
          <w:tcPr>
            <w:tcW w:w="3024" w:type="dxa"/>
            <w:vAlign w:val="center"/>
          </w:tcPr>
          <w:p w14:paraId="6DFBDA1D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fora do modelo principal; comparadas em sensibilidade (34 vs. 34+2)</w:t>
            </w:r>
          </w:p>
        </w:tc>
      </w:tr>
    </w:tbl>
    <w:p w14:paraId="6F5C7E46" w14:textId="77777777" w:rsidR="00E62C65" w:rsidRDefault="00474360">
      <w:pPr>
        <w:spacing w:before="40" w:after="120"/>
      </w:pPr>
      <w:r>
        <w:rPr>
          <w:rFonts w:eastAsia="Times New Roman"/>
          <w:sz w:val="18"/>
        </w:rPr>
        <w:t>Fonte: elaboração própria (2026), a partir dos artefatos técnicos do projeto.</w:t>
      </w:r>
    </w:p>
    <w:p w14:paraId="4A653372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Total: 34 + 5 + 5 + 2 + 2 = 48.</w:t>
      </w:r>
    </w:p>
    <w:p w14:paraId="27738B89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Leakage (excluídas do ML e do IV-DSS):</w:t>
      </w:r>
      <w:r>
        <w:rPr>
          <w:rFonts w:eastAsia="Times New Roman"/>
        </w:rPr>
        <w:t xml:space="preserve"> </w:t>
      </w:r>
      <w:r>
        <w:rPr>
          <w:rFonts w:ascii="Courier New" w:eastAsia="Courier New" w:hAnsi="Courier New"/>
          <w:sz w:val="22"/>
        </w:rPr>
        <w:t>faltou_consulta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servicos_pre_natal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exames_pre_natal_completos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vacinas_em_dia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avaliacao_pre_natal</w:t>
      </w:r>
      <w:r>
        <w:rPr>
          <w:rFonts w:eastAsia="Times New Roman"/>
        </w:rPr>
        <w:t xml:space="preserve">. Descrevem a própria trajetória, experiência ou adesão ao pré-natal e podem aproximar-se indevidamente do desfecho. </w:t>
      </w:r>
      <w:r>
        <w:rPr>
          <w:rFonts w:eastAsia="Times New Roman"/>
          <w:b/>
        </w:rPr>
        <w:t>Decisão fechada.</w:t>
      </w:r>
    </w:p>
    <w:p w14:paraId="16BCC88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Temporais (coletadas, fora do modelo principal):</w:t>
      </w:r>
      <w:r>
        <w:rPr>
          <w:rFonts w:eastAsia="Times New Roman"/>
        </w:rPr>
        <w:t xml:space="preserve"> </w:t>
      </w:r>
      <w:r>
        <w:rPr>
          <w:rFonts w:ascii="Courier New" w:eastAsia="Courier New" w:hAnsi="Courier New"/>
          <w:sz w:val="22"/>
        </w:rPr>
        <w:t>situacao_estudos_gestacao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motivo_desemprego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impacto_gestacao_trabalho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mudanca_alimentacao_gestacao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usa_suplementos</w:t>
      </w:r>
      <w:r>
        <w:rPr>
          <w:rFonts w:eastAsia="Times New Roman"/>
        </w:rPr>
        <w:t>. Misturam condição antecedente com acontecimentos/comportamentos durante a gestação/acompanhamento.</w:t>
      </w:r>
    </w:p>
    <w:p w14:paraId="6366DBDB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Descritivas (fora do modelo principal):</w:t>
      </w:r>
      <w:r>
        <w:rPr>
          <w:rFonts w:eastAsia="Times New Roman"/>
        </w:rPr>
        <w:t xml:space="preserve"> </w:t>
      </w:r>
      <w:r>
        <w:rPr>
          <w:rFonts w:ascii="Courier New" w:eastAsia="Courier New" w:hAnsi="Courier New"/>
          <w:sz w:val="22"/>
        </w:rPr>
        <w:t>cuidados_vetores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melhorias_desejadas</w:t>
      </w:r>
      <w:r>
        <w:rPr>
          <w:rFonts w:eastAsia="Times New Roman"/>
        </w:rPr>
        <w:t>.</w:t>
      </w:r>
    </w:p>
    <w:p w14:paraId="7C0D4C74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  <w:b/>
        </w:rPr>
        <w:t>Sensibilidade (fora do modelo principal):</w:t>
      </w:r>
      <w:r>
        <w:rPr>
          <w:rFonts w:eastAsia="Times New Roman"/>
        </w:rPr>
        <w:t xml:space="preserve"> </w:t>
      </w:r>
      <w:r>
        <w:rPr>
          <w:rFonts w:ascii="Courier New" w:eastAsia="Courier New" w:hAnsi="Courier New"/>
          <w:sz w:val="22"/>
        </w:rPr>
        <w:t>problema_saude_agua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facil_acesso_saude</w:t>
      </w:r>
      <w:r>
        <w:rPr>
          <w:rFonts w:eastAsia="Times New Roman"/>
        </w:rPr>
        <w:t>.</w:t>
      </w:r>
    </w:p>
    <w:p w14:paraId="253AED90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IV-DSS é construído </w:t>
      </w:r>
      <w:r>
        <w:rPr>
          <w:rFonts w:eastAsia="Times New Roman"/>
          <w:b/>
        </w:rPr>
        <w:t>exclusivamente</w:t>
      </w:r>
      <w:r>
        <w:rPr>
          <w:rFonts w:eastAsia="Times New Roman"/>
        </w:rPr>
        <w:t xml:space="preserve"> a partir de determinantes sociais e condições de vulnerabilidade, nunca de informações do próprio acompanhamento.</w:t>
      </w:r>
    </w:p>
    <w:p w14:paraId="60B864AF" w14:textId="77777777" w:rsidR="00E62C65" w:rsidRDefault="00474360">
      <w:pPr>
        <w:pStyle w:val="Ttulo2"/>
      </w:pPr>
      <w:bookmarkStart w:id="29" w:name="_Toc238653809"/>
      <w:r>
        <w:rPr>
          <w:rFonts w:ascii="Times New Roman" w:eastAsia="Times New Roman" w:hAnsi="Times New Roman"/>
        </w:rPr>
        <w:t>3.8 Modelos de aprendizado de máquina</w:t>
      </w:r>
      <w:bookmarkEnd w:id="29"/>
    </w:p>
    <w:p w14:paraId="1CFB7055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protocolo experimental avaliou </w:t>
      </w:r>
      <w:r>
        <w:rPr>
          <w:rFonts w:eastAsia="Times New Roman"/>
          <w:b/>
        </w:rPr>
        <w:t>três</w:t>
      </w:r>
      <w:r>
        <w:rPr>
          <w:rFonts w:eastAsia="Times New Roman"/>
        </w:rPr>
        <w:t xml:space="preserve"> algoritmos de classificação supervisionada:</w:t>
      </w:r>
    </w:p>
    <w:p w14:paraId="75112FC9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1. </w:t>
      </w:r>
      <w:r>
        <w:rPr>
          <w:rFonts w:eastAsia="Times New Roman"/>
          <w:b/>
        </w:rPr>
        <w:t>Regressão logística</w:t>
      </w:r>
      <w:r>
        <w:rPr>
          <w:rFonts w:eastAsia="Times New Roman"/>
        </w:rPr>
        <w:t xml:space="preserve"> — baseline interpretável, com regularização L2;</w:t>
      </w:r>
    </w:p>
    <w:p w14:paraId="2F633A17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2. </w:t>
      </w:r>
      <w:r>
        <w:rPr>
          <w:rFonts w:eastAsia="Times New Roman"/>
          <w:b/>
        </w:rPr>
        <w:t>Random Forest</w:t>
      </w:r>
      <w:r>
        <w:rPr>
          <w:rFonts w:eastAsia="Times New Roman"/>
        </w:rPr>
        <w:t xml:space="preserve"> — ensemble de árvores;</w:t>
      </w:r>
    </w:p>
    <w:p w14:paraId="0CB858CE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3. </w:t>
      </w:r>
      <w:r>
        <w:rPr>
          <w:rFonts w:eastAsia="Times New Roman"/>
          <w:b/>
        </w:rPr>
        <w:t>XGBoost</w:t>
      </w:r>
      <w:r>
        <w:rPr>
          <w:rFonts w:eastAsia="Times New Roman"/>
        </w:rPr>
        <w:t xml:space="preserve"> — gradient boosting.</w:t>
      </w:r>
    </w:p>
    <w:p w14:paraId="17337F26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lastRenderedPageBreak/>
        <w:t xml:space="preserve">A proposta inicial do trabalho considerou, adicionalmente, técnicas como </w:t>
      </w:r>
      <w:r>
        <w:rPr>
          <w:rFonts w:eastAsia="Times New Roman"/>
          <w:b/>
        </w:rPr>
        <w:t>redes neurais</w:t>
      </w:r>
      <w:r>
        <w:rPr>
          <w:rFonts w:eastAsia="Times New Roman"/>
        </w:rPr>
        <w:t xml:space="preserve"> e análise de agrupamento exploratória (</w:t>
      </w:r>
      <w:r>
        <w:rPr>
          <w:rFonts w:eastAsia="Times New Roman"/>
          <w:b/>
        </w:rPr>
        <w:t>K-means</w:t>
      </w:r>
      <w:r>
        <w:rPr>
          <w:rFonts w:eastAsia="Times New Roman"/>
        </w:rPr>
        <w:t xml:space="preserve">). Essas abordagens, entretanto, </w:t>
      </w:r>
      <w:r>
        <w:rPr>
          <w:rFonts w:eastAsia="Times New Roman"/>
          <w:b/>
        </w:rPr>
        <w:t>não foram executadas</w:t>
      </w:r>
      <w:r>
        <w:rPr>
          <w:rFonts w:eastAsia="Times New Roman"/>
        </w:rPr>
        <w:t xml:space="preserve"> no experimento: o protocolo adotado restringiu-se aos três modelos efetivamente implementados e comparados, levando à seleção do </w:t>
      </w:r>
      <w:r>
        <w:rPr>
          <w:rFonts w:eastAsia="Times New Roman"/>
          <w:b/>
        </w:rPr>
        <w:t>Random Forest</w:t>
      </w:r>
      <w:r>
        <w:rPr>
          <w:rFonts w:eastAsia="Times New Roman"/>
        </w:rPr>
        <w:t xml:space="preserve"> (seção 5.2). Essa evolução metodológica — de uma proposta ampla para um protocolo fechado com três classificadores — é registrada aqui de forma explícita, sem que as técnicas não executadas sejam descritas como realizadas.</w:t>
      </w:r>
    </w:p>
    <w:p w14:paraId="2DA1A401" w14:textId="77777777" w:rsidR="00E62C65" w:rsidRDefault="00474360">
      <w:pPr>
        <w:pStyle w:val="Ttulo2"/>
      </w:pPr>
      <w:bookmarkStart w:id="30" w:name="_Toc238653810"/>
      <w:r>
        <w:rPr>
          <w:rFonts w:ascii="Times New Roman" w:eastAsia="Times New Roman" w:hAnsi="Times New Roman"/>
        </w:rPr>
        <w:t>3.9 Treinamento e validação</w:t>
      </w:r>
      <w:bookmarkEnd w:id="30"/>
    </w:p>
    <w:p w14:paraId="2D1D93FB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O protocolo de treinamento e validação seguiu os seguintes procedimentos:</w:t>
      </w:r>
    </w:p>
    <w:p w14:paraId="62C2C0F3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Divisão treino/teste:</w:t>
      </w:r>
      <w:r>
        <w:rPr>
          <w:rFonts w:eastAsia="Times New Roman"/>
        </w:rPr>
        <w:t xml:space="preserve"> o dataset sintético (5.000 registros) foi dividido em </w:t>
      </w:r>
      <w:r>
        <w:rPr>
          <w:rFonts w:eastAsia="Times New Roman"/>
          <w:b/>
        </w:rPr>
        <w:t>80% treino (4.000)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20% teste (1.000)</w:t>
      </w:r>
      <w:r>
        <w:rPr>
          <w:rFonts w:eastAsia="Times New Roman"/>
        </w:rPr>
        <w:t xml:space="preserve">, de forma </w:t>
      </w:r>
      <w:r>
        <w:rPr>
          <w:rFonts w:eastAsia="Times New Roman"/>
          <w:b/>
        </w:rPr>
        <w:t>estratificada</w:t>
      </w:r>
      <w:r>
        <w:rPr>
          <w:rFonts w:eastAsia="Times New Roman"/>
        </w:rPr>
        <w:t xml:space="preserve"> em relação ao desfecho.</w:t>
      </w:r>
    </w:p>
    <w:p w14:paraId="64711007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Validação cruzada:</w:t>
      </w:r>
      <w:r>
        <w:rPr>
          <w:rFonts w:eastAsia="Times New Roman"/>
        </w:rPr>
        <w:t xml:space="preserve"> 5-fold estratificado, com </w:t>
      </w:r>
      <w:r>
        <w:rPr>
          <w:rFonts w:eastAsia="Times New Roman"/>
          <w:b/>
        </w:rPr>
        <w:t>folds congelados</w:t>
      </w:r>
      <w:r>
        <w:rPr>
          <w:rFonts w:eastAsia="Times New Roman"/>
        </w:rPr>
        <w:t xml:space="preserve"> e seed fixa.</w:t>
      </w:r>
    </w:p>
    <w:p w14:paraId="6080D001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Controle de desbalanceamento:</w:t>
      </w:r>
      <w:r>
        <w:rPr>
          <w:rFonts w:eastAsia="Times New Roman"/>
        </w:rPr>
        <w:t xml:space="preserve"> </w:t>
      </w:r>
      <w:r>
        <w:rPr>
          <w:rFonts w:ascii="Courier New" w:eastAsia="Courier New" w:hAnsi="Courier New"/>
          <w:sz w:val="22"/>
        </w:rPr>
        <w:t>class_weight</w:t>
      </w:r>
      <w:r>
        <w:rPr>
          <w:rFonts w:eastAsia="Times New Roman"/>
        </w:rPr>
        <w:t xml:space="preserve"> quando disponível (balanced na regressão logística; </w:t>
      </w:r>
      <w:r>
        <w:rPr>
          <w:rFonts w:ascii="Courier New" w:eastAsia="Courier New" w:hAnsi="Courier New"/>
          <w:sz w:val="22"/>
        </w:rPr>
        <w:t>balanced_subsample</w:t>
      </w:r>
      <w:r>
        <w:rPr>
          <w:rFonts w:eastAsia="Times New Roman"/>
        </w:rPr>
        <w:t xml:space="preserve"> no Random Forest; </w:t>
      </w:r>
      <w:r>
        <w:rPr>
          <w:rFonts w:ascii="Courier New" w:eastAsia="Courier New" w:hAnsi="Courier New"/>
          <w:sz w:val="22"/>
        </w:rPr>
        <w:t>scale_pos_weight</w:t>
      </w:r>
      <w:r>
        <w:rPr>
          <w:rFonts w:eastAsia="Times New Roman"/>
        </w:rPr>
        <w:t xml:space="preserve"> calculado exclusivamente a partir do y de cada fold no XGBoost).</w:t>
      </w:r>
    </w:p>
    <w:p w14:paraId="48B8B30B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Controle de leakage de preprocessing:</w:t>
      </w:r>
      <w:r>
        <w:rPr>
          <w:rFonts w:eastAsia="Times New Roman"/>
        </w:rPr>
        <w:t xml:space="preserve"> o pré-processamento foi aprendido </w:t>
      </w:r>
      <w:r>
        <w:rPr>
          <w:rFonts w:eastAsia="Times New Roman"/>
          <w:b/>
        </w:rPr>
        <w:t>somente</w:t>
      </w:r>
      <w:r>
        <w:rPr>
          <w:rFonts w:eastAsia="Times New Roman"/>
        </w:rPr>
        <w:t xml:space="preserve"> sobre o treinamento (encodings one-hot/multi-hot, ordinais e booleanos, sem imputação, sem scaling e sem feature selection), e aplicado aos folds de validação e ao teste sem reutilizar estatísticas do teste.</w:t>
      </w:r>
    </w:p>
    <w:p w14:paraId="70B9906C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Conjunto de teste:</w:t>
      </w:r>
      <w:r>
        <w:rPr>
          <w:rFonts w:eastAsia="Times New Roman"/>
        </w:rPr>
        <w:t xml:space="preserve"> o teste (1.000 registros) </w:t>
      </w:r>
      <w:r>
        <w:rPr>
          <w:rFonts w:eastAsia="Times New Roman"/>
          <w:b/>
        </w:rPr>
        <w:t>não participou</w:t>
      </w:r>
      <w:r>
        <w:rPr>
          <w:rFonts w:eastAsia="Times New Roman"/>
        </w:rPr>
        <w:t xml:space="preserve"> de nenhuma decisão — nem do ajuste, nem da seleção de modelo.</w:t>
      </w:r>
    </w:p>
    <w:p w14:paraId="19E680DD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pré-processamento transformou as </w:t>
      </w:r>
      <w:r>
        <w:rPr>
          <w:rFonts w:eastAsia="Times New Roman"/>
          <w:b/>
        </w:rPr>
        <w:t>34 variáveis brutas</w:t>
      </w:r>
      <w:r>
        <w:rPr>
          <w:rFonts w:eastAsia="Times New Roman"/>
        </w:rPr>
        <w:t xml:space="preserve"> de </w:t>
      </w:r>
      <w:r>
        <w:rPr>
          <w:rFonts w:ascii="Courier New" w:eastAsia="Courier New" w:hAnsi="Courier New"/>
          <w:sz w:val="22"/>
        </w:rPr>
        <w:t>X_model</w:t>
      </w:r>
      <w:r>
        <w:rPr>
          <w:rFonts w:eastAsia="Times New Roman"/>
        </w:rPr>
        <w:t xml:space="preserve"> em </w:t>
      </w:r>
      <w:r>
        <w:rPr>
          <w:rFonts w:eastAsia="Times New Roman"/>
          <w:b/>
        </w:rPr>
        <w:t>96 features</w:t>
      </w:r>
      <w:r>
        <w:rPr>
          <w:rFonts w:eastAsia="Times New Roman"/>
        </w:rPr>
        <w:t xml:space="preserve"> numéricas (</w:t>
      </w:r>
      <w:r>
        <w:rPr>
          <w:rFonts w:ascii="Courier New" w:eastAsia="Courier New" w:hAnsi="Courier New"/>
          <w:sz w:val="22"/>
        </w:rPr>
        <w:t>float64</w:t>
      </w:r>
      <w:r>
        <w:rPr>
          <w:rFonts w:eastAsia="Times New Roman"/>
        </w:rPr>
        <w:t>), por codificação one-hot/multi-hot de categorias nominais e multiselect, mapeamento de ordinais e normalização de booleanos — sem imputação e sem escalonamento.</w:t>
      </w:r>
    </w:p>
    <w:p w14:paraId="3AEA5B0D" w14:textId="77777777" w:rsidR="00E62C65" w:rsidRDefault="00474360">
      <w:pPr>
        <w:pStyle w:val="Ttulo2"/>
      </w:pPr>
      <w:bookmarkStart w:id="31" w:name="_Toc238653811"/>
      <w:r>
        <w:rPr>
          <w:rFonts w:ascii="Times New Roman" w:eastAsia="Times New Roman" w:hAnsi="Times New Roman"/>
        </w:rPr>
        <w:t>3.10 Métricas</w:t>
      </w:r>
      <w:bookmarkEnd w:id="31"/>
    </w:p>
    <w:p w14:paraId="4BB3E77A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avaliação adotou métricas </w:t>
      </w:r>
      <w:r>
        <w:rPr>
          <w:rFonts w:eastAsia="Times New Roman"/>
          <w:b/>
        </w:rPr>
        <w:t>independentes de threshold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dependentes de threshold</w:t>
      </w:r>
      <w:r>
        <w:rPr>
          <w:rFonts w:eastAsia="Times New Roman"/>
        </w:rPr>
        <w:t>:</w:t>
      </w:r>
    </w:p>
    <w:p w14:paraId="4FC4006C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Independentes de threshold:</w:t>
      </w:r>
      <w:r>
        <w:rPr>
          <w:rFonts w:eastAsia="Times New Roman"/>
        </w:rPr>
        <w:t xml:space="preserve"> ROC-AUC e PR-AUC (métricas primárias para seleção e comparação), além do Brier score e da curva de calibração.</w:t>
      </w:r>
    </w:p>
    <w:p w14:paraId="2D51058E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Dependentes de threshold (referência 0.5):</w:t>
      </w:r>
      <w:r>
        <w:rPr>
          <w:rFonts w:eastAsia="Times New Roman"/>
        </w:rPr>
        <w:t xml:space="preserve"> accuracy, precision, recall, F1 e matriz de confusão.</w:t>
      </w:r>
    </w:p>
    <w:p w14:paraId="184ED5A8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lastRenderedPageBreak/>
        <w:t xml:space="preserve">O </w:t>
      </w:r>
      <w:r>
        <w:rPr>
          <w:rFonts w:eastAsia="Times New Roman"/>
          <w:b/>
        </w:rPr>
        <w:t>Recall</w:t>
      </w:r>
      <w:r>
        <w:rPr>
          <w:rFonts w:eastAsia="Times New Roman"/>
        </w:rPr>
        <w:t xml:space="preserve"> recebe atenção especial em razão do objetivo experimental de avaliar a capacidade dos modelos de identificar a maior proporção possível dos casos positivos sintéticos, sendo interpretado conjuntamente com as demais métricas —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como critério único de escolha do modelo.</w:t>
      </w:r>
    </w:p>
    <w:p w14:paraId="236742E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seleção do modelo foi orientada pela </w:t>
      </w:r>
      <w:r>
        <w:rPr>
          <w:rFonts w:eastAsia="Times New Roman"/>
          <w:b/>
        </w:rPr>
        <w:t>PR-AUC média</w:t>
      </w:r>
      <w:r>
        <w:rPr>
          <w:rFonts w:eastAsia="Times New Roman"/>
        </w:rPr>
        <w:t xml:space="preserve"> na validação cruzada (desempate por recall e F1), por ser mais adequada a cenários desbalanceados do que a accuracy. Os resultados são apresentados na seção 5.</w:t>
      </w:r>
    </w:p>
    <w:p w14:paraId="4B7F8771" w14:textId="77777777" w:rsidR="00E62C65" w:rsidRDefault="00474360">
      <w:pPr>
        <w:pStyle w:val="Ttulo2"/>
      </w:pPr>
      <w:bookmarkStart w:id="32" w:name="_Toc238653812"/>
      <w:r>
        <w:rPr>
          <w:rFonts w:ascii="Times New Roman" w:eastAsia="Times New Roman" w:hAnsi="Times New Roman"/>
        </w:rPr>
        <w:t>3.11 Procedimento de validação da integração Flutter → API → ML</w:t>
      </w:r>
      <w:bookmarkEnd w:id="32"/>
    </w:p>
    <w:p w14:paraId="767BD1DD" w14:textId="77777777" w:rsidR="00E62C65" w:rsidRDefault="00474360">
      <w:pPr>
        <w:spacing w:after="0" w:line="360" w:lineRule="auto"/>
        <w:ind w:firstLine="709"/>
        <w:jc w:val="both"/>
      </w:pPr>
      <w:r>
        <w:t xml:space="preserve">O aplicativo integra o formulário DSS à API e ao modelo de ML: a resposta do modelo é uma </w:t>
      </w:r>
      <w:r>
        <w:rPr>
          <w:b/>
        </w:rPr>
        <w:t>probabilidade de descontinuidade</w:t>
      </w:r>
      <w:r>
        <w:t xml:space="preserve">, apresentada </w:t>
      </w:r>
      <w:r>
        <w:rPr>
          <w:b/>
        </w:rPr>
        <w:t>não</w:t>
      </w:r>
      <w:r>
        <w:t xml:space="preserve"> como diagnóstico. A integração foi </w:t>
      </w:r>
      <w:r>
        <w:rPr>
          <w:b/>
        </w:rPr>
        <w:t>implementada e validada</w:t>
      </w:r>
      <w:r>
        <w:t xml:space="preserve"> (seções 4.1 e 5.9). Adicionalmente, a </w:t>
      </w:r>
      <w:r>
        <w:rPr>
          <w:b/>
        </w:rPr>
        <w:t>infraestrutura de persistência</w:t>
      </w:r>
      <w:r>
        <w:t xml:space="preserve"> do backend foi submetida a um procedimento de validação técnica próprio, contra </w:t>
      </w:r>
      <w:r>
        <w:rPr>
          <w:b/>
        </w:rPr>
        <w:t>PostgreSQL real</w:t>
      </w:r>
      <w:r>
        <w:t xml:space="preserve">, cobrindo conexão, sessão, transação, rollback e encerramento de recursos. A </w:t>
      </w:r>
      <w:r>
        <w:rPr>
          <w:b/>
        </w:rPr>
        <w:t>autenticação</w:t>
      </w:r>
      <w:r>
        <w:t xml:space="preserve"> (backend) foi submetida a </w:t>
      </w:r>
      <w:r>
        <w:rPr>
          <w:b/>
        </w:rPr>
        <w:t>testes automatizados</w:t>
      </w:r>
      <w:r>
        <w:t xml:space="preserve"> e a um </w:t>
      </w:r>
      <w:r>
        <w:rPr>
          <w:b/>
        </w:rPr>
        <w:t>smoke HTTP</w:t>
      </w:r>
      <w:r>
        <w:t xml:space="preserve"> real (detalhado em 5.9).</w:t>
      </w:r>
    </w:p>
    <w:p w14:paraId="072F06FF" w14:textId="77777777" w:rsidR="00E62C65" w:rsidRDefault="00474360">
      <w:pPr>
        <w:pStyle w:val="Ttulo2"/>
      </w:pPr>
      <w:bookmarkStart w:id="33" w:name="_Toc238653813"/>
      <w:r>
        <w:rPr>
          <w:rFonts w:ascii="Times New Roman" w:eastAsia="Times New Roman" w:hAnsi="Times New Roman"/>
        </w:rPr>
        <w:t>3.12 Aspectos éticos e limitações</w:t>
      </w:r>
      <w:bookmarkEnd w:id="33"/>
    </w:p>
    <w:p w14:paraId="322C13EB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1. </w:t>
      </w:r>
      <w:r>
        <w:rPr>
          <w:rFonts w:eastAsia="Times New Roman"/>
        </w:rPr>
        <w:t xml:space="preserve">Dados sintéticos </w:t>
      </w:r>
      <w:r>
        <w:rPr>
          <w:rFonts w:eastAsia="Times New Roman"/>
          <w:b/>
        </w:rPr>
        <w:t>≠</w:t>
      </w:r>
      <w:r>
        <w:rPr>
          <w:rFonts w:eastAsia="Times New Roman"/>
        </w:rPr>
        <w:t xml:space="preserve"> dados reais (sem validade externa clínica).</w:t>
      </w:r>
    </w:p>
    <w:p w14:paraId="6004E973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2. </w:t>
      </w:r>
      <w:r>
        <w:rPr>
          <w:rFonts w:eastAsia="Times New Roman"/>
        </w:rPr>
        <w:t xml:space="preserve">Estimativa </w:t>
      </w:r>
      <w:r>
        <w:rPr>
          <w:rFonts w:eastAsia="Times New Roman"/>
          <w:b/>
        </w:rPr>
        <w:t>≠</w:t>
      </w:r>
      <w:r>
        <w:rPr>
          <w:rFonts w:eastAsia="Times New Roman"/>
        </w:rPr>
        <w:t xml:space="preserve"> diagnóstico médico.</w:t>
      </w:r>
    </w:p>
    <w:p w14:paraId="377CBAC4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3. </w:t>
      </w:r>
      <w:r>
        <w:rPr>
          <w:rFonts w:eastAsia="Times New Roman"/>
        </w:rPr>
        <w:t xml:space="preserve">Associação estatística </w:t>
      </w:r>
      <w:r>
        <w:rPr>
          <w:rFonts w:eastAsia="Times New Roman"/>
          <w:b/>
        </w:rPr>
        <w:t>≠</w:t>
      </w:r>
      <w:r>
        <w:rPr>
          <w:rFonts w:eastAsia="Times New Roman"/>
        </w:rPr>
        <w:t xml:space="preserve"> causalidade.</w:t>
      </w:r>
    </w:p>
    <w:p w14:paraId="4715D0D0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4. </w:t>
      </w:r>
      <w:r>
        <w:rPr>
          <w:rFonts w:eastAsia="Times New Roman"/>
        </w:rPr>
        <w:t xml:space="preserve">O IV-DSS é um </w:t>
      </w:r>
      <w:r>
        <w:rPr>
          <w:rFonts w:eastAsia="Times New Roman"/>
          <w:b/>
        </w:rPr>
        <w:t>índice descritivo experimental</w:t>
      </w:r>
      <w:r>
        <w:rPr>
          <w:rFonts w:eastAsia="Times New Roman"/>
        </w:rPr>
        <w:t>, não validado; não é escala diagnóstica.</w:t>
      </w:r>
    </w:p>
    <w:p w14:paraId="2AF88CB6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5. </w:t>
      </w:r>
      <w:r>
        <w:rPr>
          <w:rFonts w:ascii="Courier New" w:eastAsia="Courier New" w:hAnsi="Courier New"/>
          <w:sz w:val="22"/>
        </w:rPr>
        <w:t>faixa_renda</w:t>
      </w:r>
      <w:r>
        <w:rPr>
          <w:rFonts w:eastAsia="Times New Roman"/>
        </w:rPr>
        <w:t xml:space="preserve"> representa </w:t>
      </w:r>
      <w:r>
        <w:rPr>
          <w:rFonts w:eastAsia="Times New Roman"/>
          <w:b/>
        </w:rPr>
        <w:t>renda familiar</w:t>
      </w:r>
      <w:r>
        <w:rPr>
          <w:rFonts w:eastAsia="Times New Roman"/>
        </w:rPr>
        <w:t>, não renda per capita.</w:t>
      </w:r>
    </w:p>
    <w:p w14:paraId="1C3AF118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6. </w:t>
      </w:r>
      <w:r>
        <w:rPr>
          <w:rFonts w:eastAsia="Times New Roman"/>
        </w:rPr>
        <w:t xml:space="preserve">A normalização ordinal com </w:t>
      </w:r>
      <w:r>
        <w:rPr>
          <w:rFonts w:eastAsia="Times New Roman"/>
          <w:b/>
        </w:rPr>
        <w:t>intervalos iguais</w:t>
      </w:r>
      <w:r>
        <w:rPr>
          <w:rFonts w:eastAsia="Times New Roman"/>
        </w:rPr>
        <w:t xml:space="preserve"> é operacional; não implica que as diferenças sociais entre níveis consecutivos sejam empiricamente iguais.</w:t>
      </w:r>
    </w:p>
    <w:p w14:paraId="1C3FEA6E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7. </w:t>
      </w:r>
      <w:r>
        <w:rPr>
          <w:rFonts w:eastAsia="Times New Roman"/>
        </w:rPr>
        <w:t xml:space="preserve">O mínimo de </w:t>
      </w:r>
      <w:r>
        <w:rPr>
          <w:rFonts w:eastAsia="Times New Roman"/>
          <w:b/>
        </w:rPr>
        <w:t>≥ 7 consultas</w:t>
      </w:r>
      <w:r>
        <w:rPr>
          <w:rFonts w:eastAsia="Times New Roman"/>
        </w:rPr>
        <w:t xml:space="preserve"> (Portaria GM/MS nº 5.350/2024, contexto </w:t>
      </w:r>
      <w:r>
        <w:rPr>
          <w:rFonts w:eastAsia="Times New Roman"/>
          <w:b/>
        </w:rPr>
        <w:t>Rede Alyne</w:t>
      </w:r>
      <w:r>
        <w:rPr>
          <w:rFonts w:eastAsia="Times New Roman"/>
        </w:rPr>
        <w:t xml:space="preserve">) é uma </w:t>
      </w:r>
      <w:r>
        <w:rPr>
          <w:rFonts w:eastAsia="Times New Roman"/>
          <w:b/>
        </w:rPr>
        <w:t>referência normativa contextual/preliminar</w:t>
      </w:r>
      <w:r>
        <w:rPr>
          <w:rFonts w:eastAsia="Times New Roman"/>
        </w:rPr>
        <w:t xml:space="preserve"> para a futura operacionalização longitudinal com dados reais.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gera o Y sintético do experimento atual (que provém do DGM)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é definição universal de abandono/descontinuidade; a Portaria também não estabelece, nesse dispositivo, ajuste pela duração gestacional.</w:t>
      </w:r>
    </w:p>
    <w:p w14:paraId="5B114717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8. </w:t>
      </w:r>
      <w:r>
        <w:rPr>
          <w:rFonts w:eastAsia="Times New Roman"/>
        </w:rPr>
        <w:t xml:space="preserve">A </w:t>
      </w:r>
      <w:r>
        <w:rPr>
          <w:rFonts w:ascii="Courier New" w:eastAsia="Courier New" w:hAnsi="Courier New"/>
          <w:sz w:val="22"/>
        </w:rPr>
        <w:t>fonte_agua</w:t>
      </w:r>
      <w:r>
        <w:rPr>
          <w:rFonts w:eastAsia="Times New Roman"/>
        </w:rPr>
        <w:t xml:space="preserve"> isolada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avalia potabilidade nem adequação total.</w:t>
      </w:r>
    </w:p>
    <w:p w14:paraId="40E121FC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lastRenderedPageBreak/>
        <w:t xml:space="preserve">9. </w:t>
      </w:r>
      <w:r>
        <w:rPr>
          <w:rFonts w:ascii="Courier New" w:eastAsia="Courier New" w:hAnsi="Courier New"/>
          <w:sz w:val="22"/>
        </w:rPr>
        <w:t>fossa_septica</w:t>
      </w:r>
      <w:r>
        <w:rPr>
          <w:rFonts w:eastAsia="Times New Roman"/>
        </w:rPr>
        <w:t xml:space="preserve"> é tratada como equivalente a </w:t>
      </w:r>
      <w:r>
        <w:rPr>
          <w:rFonts w:ascii="Courier New" w:eastAsia="Courier New" w:hAnsi="Courier New"/>
          <w:sz w:val="22"/>
        </w:rPr>
        <w:t>rede_coletora</w:t>
      </w:r>
      <w:r>
        <w:rPr>
          <w:rFonts w:eastAsia="Times New Roman"/>
        </w:rPr>
        <w:t xml:space="preserve"> sem distinguir qualidade/conservação.</w:t>
      </w:r>
    </w:p>
    <w:p w14:paraId="17E19837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10. </w:t>
      </w:r>
      <w:r>
        <w:rPr>
          <w:rFonts w:eastAsia="Times New Roman"/>
        </w:rPr>
        <w:t>O indicador alimentar (</w:t>
      </w:r>
      <w:r>
        <w:rPr>
          <w:rFonts w:ascii="Courier New" w:eastAsia="Courier New" w:hAnsi="Courier New"/>
          <w:sz w:val="22"/>
        </w:rPr>
        <w:t>deixou_de_comer_falta_dinheiro</w:t>
      </w:r>
      <w:r>
        <w:rPr>
          <w:rFonts w:eastAsia="Times New Roman"/>
        </w:rPr>
        <w:t xml:space="preserve">) é </w:t>
      </w:r>
      <w:r>
        <w:rPr>
          <w:rFonts w:eastAsia="Times New Roman"/>
          <w:b/>
        </w:rPr>
        <w:t>único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constitui EBIA/FIES nem classifica insegurança alimentar leve/moderada/grave.</w:t>
      </w:r>
    </w:p>
    <w:p w14:paraId="44993D63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11. </w:t>
      </w:r>
      <w:r>
        <w:rPr>
          <w:rFonts w:eastAsia="Times New Roman"/>
        </w:rPr>
        <w:t xml:space="preserve">O </w:t>
      </w:r>
      <w:r>
        <w:rPr>
          <w:rFonts w:ascii="Courier New" w:eastAsia="Courier New" w:hAnsi="Courier New"/>
          <w:sz w:val="22"/>
        </w:rPr>
        <w:t>adensamento_habitacional</w:t>
      </w:r>
      <w:r>
        <w:rPr>
          <w:rFonts w:eastAsia="Times New Roman"/>
        </w:rPr>
        <w:t xml:space="preserve"> usa moradores/dormitório sem considerar outros fatores de inadequação habitacional.</w:t>
      </w:r>
    </w:p>
    <w:p w14:paraId="45D4DCC6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12. </w:t>
      </w:r>
      <w:r>
        <w:rPr>
          <w:rFonts w:eastAsia="Times New Roman"/>
        </w:rPr>
        <w:t xml:space="preserve">Os coeficientes do DGM são </w:t>
      </w:r>
      <w:r>
        <w:rPr>
          <w:rFonts w:eastAsia="Times New Roman"/>
          <w:b/>
        </w:rPr>
        <w:t>parâmetros de simulação</w:t>
      </w:r>
      <w:r>
        <w:rPr>
          <w:rFonts w:eastAsia="Times New Roman"/>
        </w:rPr>
        <w:t>, não efeitos epidemiológicos quantitativamente comprovados.</w:t>
      </w:r>
    </w:p>
    <w:p w14:paraId="122681A8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13. </w:t>
      </w:r>
      <w:r>
        <w:rPr>
          <w:rFonts w:eastAsia="Times New Roman"/>
        </w:rPr>
        <w:t xml:space="preserve">A proporção sintética planejada (~25%)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representa prevalência real.</w:t>
      </w:r>
    </w:p>
    <w:p w14:paraId="6A48C8D2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14. </w:t>
      </w:r>
      <w:r>
        <w:rPr>
          <w:rFonts w:eastAsia="Times New Roman"/>
        </w:rPr>
        <w:t xml:space="preserve">O modelo selecionado apresentou </w:t>
      </w:r>
      <w:r>
        <w:rPr>
          <w:rFonts w:eastAsia="Times New Roman"/>
          <w:b/>
        </w:rPr>
        <w:t>recall zero no limiar 0,5</w:t>
      </w:r>
      <w:r>
        <w:rPr>
          <w:rFonts w:eastAsia="Times New Roman"/>
        </w:rPr>
        <w:t xml:space="preserve"> (seção 5.3); isso é um resultado experimental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sustenta interpretação de desempenho clínico.</w:t>
      </w:r>
    </w:p>
    <w:p w14:paraId="054D0260" w14:textId="77777777" w:rsidR="00E62C65" w:rsidRDefault="00474360">
      <w:pPr>
        <w:spacing w:line="360" w:lineRule="auto"/>
        <w:ind w:left="454" w:hanging="340"/>
      </w:pPr>
      <w:r>
        <w:rPr>
          <w:rFonts w:eastAsia="Times New Roman"/>
        </w:rPr>
        <w:t xml:space="preserve">15. </w:t>
      </w:r>
      <w:r>
        <w:rPr>
          <w:rFonts w:eastAsia="Times New Roman"/>
          <w:b/>
        </w:rPr>
        <w:t>Persistência operacional ≠ uso científico.</w:t>
      </w:r>
      <w:r>
        <w:rPr>
          <w:rFonts w:eastAsia="Times New Roman"/>
        </w:rPr>
        <w:t xml:space="preserve"> Armazenar futuramente as respostas DSS em servidor para o funcionamento do aplicativo é uma finalidade </w:t>
      </w:r>
      <w:r>
        <w:rPr>
          <w:rFonts w:eastAsia="Times New Roman"/>
          <w:b/>
        </w:rPr>
        <w:t>operacional</w:t>
      </w:r>
      <w:r>
        <w:rPr>
          <w:rFonts w:eastAsia="Times New Roman"/>
        </w:rPr>
        <w:t xml:space="preserve">, que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autoriza automaticamente o uso desses dados como dataset de treinamento, validação científica ou publicação. Qualquer uso científico com dados reais deverá observar consentimento, privacidade/LGPD, metodologia e os requisitos éticos aplicáveis.</w:t>
      </w:r>
    </w:p>
    <w:p w14:paraId="7660C76E" w14:textId="77777777" w:rsidR="00E62C65" w:rsidRDefault="00474360">
      <w:r>
        <w:br w:type="page"/>
      </w:r>
    </w:p>
    <w:p w14:paraId="79CFCDC1" w14:textId="77777777" w:rsidR="00E62C65" w:rsidRDefault="00474360">
      <w:pPr>
        <w:pStyle w:val="Ttulo1"/>
        <w:spacing w:before="0"/>
      </w:pPr>
      <w:bookmarkStart w:id="34" w:name="_Toc238653814"/>
      <w:r>
        <w:rPr>
          <w:rFonts w:ascii="Times New Roman" w:eastAsia="Times New Roman" w:hAnsi="Times New Roman"/>
        </w:rPr>
        <w:lastRenderedPageBreak/>
        <w:t>4 DESENVOLVIMENTO DA SOLUÇÃO</w:t>
      </w:r>
      <w:bookmarkEnd w:id="34"/>
    </w:p>
    <w:p w14:paraId="34155CA0" w14:textId="77777777" w:rsidR="00E62C65" w:rsidRDefault="00474360">
      <w:pPr>
        <w:pStyle w:val="EditorialStatus"/>
      </w:pPr>
      <w:r>
        <w:rPr>
          <w:rFonts w:eastAsia="Times New Roman"/>
        </w:rPr>
        <w:t>STATUS EDITORIAL — descreve o estado implementado em 25/08/2026. O eixo DSS já está integrado a FastAPI/ML; o acompanhamento pré-natal ainda usa persistência local e será migrado gradualmente para API em fases posteriores.</w:t>
      </w:r>
    </w:p>
    <w:p w14:paraId="328F352D" w14:textId="77777777" w:rsidR="00E62C65" w:rsidRDefault="00474360">
      <w:pPr>
        <w:pStyle w:val="Ttulo2"/>
      </w:pPr>
      <w:bookmarkStart w:id="35" w:name="_Toc238653815"/>
      <w:r>
        <w:rPr>
          <w:rFonts w:ascii="Times New Roman" w:eastAsia="Times New Roman" w:hAnsi="Times New Roman"/>
        </w:rPr>
        <w:t>4.1 Arquitetura</w:t>
      </w:r>
      <w:bookmarkEnd w:id="35"/>
    </w:p>
    <w:p w14:paraId="3AF7CB07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solução é composta por um </w:t>
      </w:r>
      <w:r>
        <w:rPr>
          <w:rFonts w:eastAsia="Times New Roman"/>
          <w:b/>
        </w:rPr>
        <w:t>aplicativo móvel</w:t>
      </w:r>
      <w:r>
        <w:rPr>
          <w:rFonts w:eastAsia="Times New Roman"/>
        </w:rPr>
        <w:t xml:space="preserve"> (Flutter), um </w:t>
      </w:r>
      <w:r>
        <w:rPr>
          <w:rFonts w:eastAsia="Times New Roman"/>
          <w:b/>
        </w:rPr>
        <w:t>backend</w:t>
      </w:r>
      <w:r>
        <w:rPr>
          <w:rFonts w:eastAsia="Times New Roman"/>
        </w:rPr>
        <w:t xml:space="preserve"> (FastAPI) e um </w:t>
      </w:r>
      <w:r>
        <w:rPr>
          <w:rFonts w:eastAsia="Times New Roman"/>
          <w:b/>
        </w:rPr>
        <w:t>pacote de aprendizado de máquina</w:t>
      </w:r>
      <w:r>
        <w:rPr>
          <w:rFonts w:eastAsia="Times New Roman"/>
        </w:rPr>
        <w:t xml:space="preserve"> (</w:t>
      </w:r>
      <w:r>
        <w:rPr>
          <w:rFonts w:ascii="Courier New" w:eastAsia="Courier New" w:hAnsi="Courier New"/>
          <w:sz w:val="22"/>
        </w:rPr>
        <w:t>meu_bebe_ml</w:t>
      </w:r>
      <w:r>
        <w:rPr>
          <w:rFonts w:eastAsia="Times New Roman"/>
        </w:rPr>
        <w:t xml:space="preserve">, Python). O aplicativo reúne dois eixos funcionais: (i) o </w:t>
      </w:r>
      <w:r>
        <w:rPr>
          <w:rFonts w:eastAsia="Times New Roman"/>
          <w:b/>
        </w:rPr>
        <w:t>questionário DSS</w:t>
      </w:r>
      <w:r>
        <w:rPr>
          <w:rFonts w:eastAsia="Times New Roman"/>
        </w:rPr>
        <w:t xml:space="preserve"> com a estimativa experimental; e (ii) o </w:t>
      </w:r>
      <w:r>
        <w:rPr>
          <w:rFonts w:eastAsia="Times New Roman"/>
          <w:b/>
        </w:rPr>
        <w:t>acompanhamento do pré-natal</w:t>
      </w:r>
      <w:r>
        <w:rPr>
          <w:rFonts w:eastAsia="Times New Roman"/>
        </w:rPr>
        <w:t>, com armazenamento local.</w:t>
      </w:r>
    </w:p>
    <w:p w14:paraId="4F34908D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eixo DSS é </w:t>
      </w:r>
      <w:r>
        <w:rPr>
          <w:rFonts w:eastAsia="Times New Roman"/>
          <w:b/>
        </w:rPr>
        <w:t>integrado de ponta a ponta</w:t>
      </w:r>
      <w:r>
        <w:rPr>
          <w:rFonts w:eastAsia="Times New Roman"/>
        </w:rPr>
        <w:t xml:space="preserve"> e segue o fluxo:</w:t>
      </w:r>
    </w:p>
    <w:p w14:paraId="2E9A563A" w14:textId="77777777" w:rsidR="00E62C65" w:rsidRDefault="00474360">
      <w:pPr>
        <w:pStyle w:val="CodeBlock"/>
        <w:shd w:val="clear" w:color="auto" w:fill="F2F2F2"/>
      </w:pPr>
      <w:r>
        <w:rPr>
          <w:rFonts w:eastAsia="Courier New"/>
        </w:rPr>
        <w:t>Flutter</w:t>
      </w:r>
      <w:r>
        <w:rPr>
          <w:rFonts w:eastAsia="Courier New"/>
        </w:rPr>
        <w:br/>
        <w:t xml:space="preserve">→ </w:t>
      </w:r>
      <w:r>
        <w:rPr>
          <w:rFonts w:eastAsia="Courier New"/>
        </w:rPr>
        <w:t>formulário DSS</w:t>
      </w:r>
      <w:r>
        <w:rPr>
          <w:rFonts w:eastAsia="Courier New"/>
        </w:rPr>
        <w:br/>
        <w:t>→ FormularioData (contrato versionado)</w:t>
      </w:r>
      <w:r>
        <w:rPr>
          <w:rFonts w:eastAsia="Courier New"/>
        </w:rPr>
        <w:br/>
        <w:t>→ RiskEstimateRepository</w:t>
      </w:r>
      <w:r>
        <w:rPr>
          <w:rFonts w:eastAsia="Courier New"/>
        </w:rPr>
        <w:br/>
        <w:t>→ cliente HTTP dedicado</w:t>
      </w:r>
      <w:r>
        <w:rPr>
          <w:rFonts w:eastAsia="Courier New"/>
        </w:rPr>
        <w:br/>
        <w:t>→ FastAPI (POST /api/v1/risk-estimate)</w:t>
      </w:r>
      <w:r>
        <w:rPr>
          <w:rFonts w:eastAsia="Courier New"/>
        </w:rPr>
        <w:br/>
        <w:t>→ meu_bebe_ml (pipeline congelado)</w:t>
      </w:r>
      <w:r>
        <w:rPr>
          <w:rFonts w:eastAsia="Courier New"/>
        </w:rPr>
        <w:br/>
        <w:t>→ RandomForestClassifier → predict_proba</w:t>
      </w:r>
      <w:r>
        <w:rPr>
          <w:rFonts w:eastAsia="Courier New"/>
        </w:rPr>
        <w:br/>
        <w:t>→ probability (classe positiva)</w:t>
      </w:r>
      <w:r>
        <w:rPr>
          <w:rFonts w:eastAsia="Courier New"/>
        </w:rPr>
        <w:br/>
        <w:t>→ resposta HTTP</w:t>
      </w:r>
      <w:r>
        <w:rPr>
          <w:rFonts w:eastAsia="Courier New"/>
        </w:rPr>
        <w:br/>
        <w:t>→ Flutter (bottom sheet de resultado)</w:t>
      </w:r>
    </w:p>
    <w:p w14:paraId="71EAC336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API expõe os seguintes endpoints: </w:t>
      </w:r>
      <w:r>
        <w:rPr>
          <w:rFonts w:ascii="Courier New" w:eastAsia="Courier New" w:hAnsi="Courier New"/>
          <w:sz w:val="22"/>
        </w:rPr>
        <w:t>GET /health</w:t>
      </w:r>
      <w:r>
        <w:rPr>
          <w:rFonts w:eastAsia="Times New Roman"/>
        </w:rPr>
        <w:t xml:space="preserve"> (status do serviço), </w:t>
      </w:r>
      <w:r>
        <w:rPr>
          <w:rFonts w:ascii="Courier New" w:eastAsia="Courier New" w:hAnsi="Courier New"/>
          <w:sz w:val="22"/>
        </w:rPr>
        <w:t>GET /ready</w:t>
      </w:r>
      <w:r>
        <w:rPr>
          <w:rFonts w:eastAsia="Times New Roman"/>
        </w:rPr>
        <w:t xml:space="preserve"> (disponibilidade do modelo) e </w:t>
      </w:r>
      <w:r>
        <w:rPr>
          <w:rFonts w:ascii="Courier New" w:eastAsia="Courier New" w:hAnsi="Courier New"/>
          <w:sz w:val="22"/>
        </w:rPr>
        <w:t>POST /api/v1/risk-estimate</w:t>
      </w:r>
      <w:r>
        <w:rPr>
          <w:rFonts w:eastAsia="Times New Roman"/>
        </w:rPr>
        <w:t xml:space="preserve"> (estimativa). A API utiliza o pacote de ML como dependência, sem duplicar o código do modelo no aplicativo.</w:t>
      </w:r>
    </w:p>
    <w:p w14:paraId="564FEE25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camada de apresentação é construída com </w:t>
      </w:r>
      <w:r>
        <w:rPr>
          <w:rFonts w:eastAsia="Times New Roman"/>
          <w:b/>
        </w:rPr>
        <w:t>flutter_modular + MobX</w:t>
      </w:r>
      <w:r>
        <w:rPr>
          <w:rFonts w:eastAsia="Times New Roman"/>
        </w:rPr>
        <w:t>, com contratos de dados canônicos versionados.</w:t>
      </w:r>
    </w:p>
    <w:p w14:paraId="536FE146" w14:textId="77777777" w:rsidR="00E62C65" w:rsidRDefault="00474360">
      <w:r>
        <w:t xml:space="preserve">O backend conta, adicionalmente, com uma </w:t>
      </w:r>
      <w:r>
        <w:rPr>
          <w:b/>
        </w:rPr>
        <w:t>infraestrutura de persistência</w:t>
      </w:r>
      <w:r>
        <w:t xml:space="preserve"> já </w:t>
      </w:r>
      <w:r>
        <w:rPr>
          <w:b/>
        </w:rPr>
        <w:t>implementada e validada</w:t>
      </w:r>
      <w:r>
        <w:t xml:space="preserve">, que recebeu a sua </w:t>
      </w:r>
      <w:r>
        <w:rPr>
          <w:b/>
        </w:rPr>
        <w:t>primeira funcionalidade real conectada</w:t>
      </w:r>
      <w:r>
        <w:t xml:space="preserve"> — a </w:t>
      </w:r>
      <w:r>
        <w:rPr>
          <w:b/>
        </w:rPr>
        <w:t>autenticação</w:t>
      </w:r>
      <w:r>
        <w:t xml:space="preserve"> (seção 4.5), com as tabelas users e auth_refresh_sessions no PostgreSQL. O módulo de acompanhamento, por sua vez, permanece em </w:t>
      </w:r>
      <w:r>
        <w:rPr>
          <w:b/>
        </w:rPr>
        <w:t>SQLite local</w:t>
      </w:r>
      <w:r>
        <w:t xml:space="preserve"> (seção 4.4). Essa infraestrutura organiza o acesso ao banco de dados relacional em uma camada própria da API, com ciclo de vida centralizado:</w:t>
      </w:r>
    </w:p>
    <w:p w14:paraId="0622207C" w14:textId="77777777" w:rsidR="00E62C65" w:rsidRDefault="00474360">
      <w:pPr>
        <w:pStyle w:val="CodeBlock"/>
      </w:pPr>
      <w:r>
        <w:t>FastAPI</w:t>
      </w:r>
      <w:r>
        <w:br/>
        <w:t>├── Fluxo DSS atual (implementado):</w:t>
      </w:r>
      <w:r>
        <w:br/>
        <w:t>│     POST /api/v1/risk-estimate (stateless)</w:t>
      </w:r>
      <w:r>
        <w:br/>
        <w:t>│     → meu_bebe_ml (pipeline congelado)</w:t>
      </w:r>
      <w:r>
        <w:br/>
        <w:t>│     → RandomForestClassifier → predict_proba</w:t>
      </w:r>
      <w:r>
        <w:br/>
        <w:t>│     → probability (classe positiva)</w:t>
      </w:r>
      <w:r>
        <w:br/>
        <w:t>└── Infraestrutura persistente (implementada e validada):</w:t>
      </w:r>
      <w:r>
        <w:br/>
        <w:t xml:space="preserve">      SQLAlchemy 2.x (síncrono) → psycopg 3 → PostgreSQL 16</w:t>
      </w:r>
      <w:r>
        <w:br/>
        <w:t xml:space="preserve">      Alembic (migrações; 0001 = users + auth_refresh_sessions)</w:t>
      </w:r>
    </w:p>
    <w:p w14:paraId="6644F7A8" w14:textId="77777777" w:rsidR="00E62C65" w:rsidRDefault="00474360">
      <w:r>
        <w:t xml:space="preserve">O ramo superior representa o </w:t>
      </w:r>
      <w:r>
        <w:rPr>
          <w:b/>
        </w:rPr>
        <w:t>fluxo DSS atual</w:t>
      </w:r>
      <w:r>
        <w:t xml:space="preserve">, já operacional e independente de banco de dados. O ramo inferior representa a </w:t>
      </w:r>
      <w:r>
        <w:rPr>
          <w:b/>
        </w:rPr>
        <w:t>infraestrutura de persistência</w:t>
      </w:r>
      <w:r>
        <w:t xml:space="preserve">, que nesta etapa já suporta a </w:t>
      </w:r>
      <w:r>
        <w:rPr>
          <w:b/>
        </w:rPr>
        <w:t>autenticação</w:t>
      </w:r>
      <w:r>
        <w:t xml:space="preserve"> — a primeira funcionalidade conectada ao banco. A </w:t>
      </w:r>
      <w:r>
        <w:rPr>
          <w:b/>
        </w:rPr>
        <w:t>migration 0001</w:t>
      </w:r>
      <w:r>
        <w:t xml:space="preserve"> criou as duas primeiras tabelas reais (users e auth_refresh_sessions); ainda </w:t>
      </w:r>
      <w:r>
        <w:rPr>
          <w:b/>
        </w:rPr>
        <w:t>não</w:t>
      </w:r>
      <w:r>
        <w:t xml:space="preserve"> há, contudo, </w:t>
      </w:r>
      <w:r>
        <w:lastRenderedPageBreak/>
        <w:t>persistência das entidades do acompanhamento pré-natal (consultas, exames, vacinas, medicamentos, gestações ou plano de parto). Essa infraestrutura emprega os seguintes componentes:</w:t>
      </w:r>
    </w:p>
    <w:p w14:paraId="7EDDD439" w14:textId="77777777" w:rsidR="00E62C65" w:rsidRDefault="00474360">
      <w:pPr>
        <w:keepNext/>
      </w:pPr>
      <w:r>
        <w:rPr>
          <w:b/>
          <w:sz w:val="20"/>
          <w:szCs w:val="20"/>
        </w:rPr>
        <w:t>Quadro 2 – Componentes tecnológicos da infraestrutura de persistência do backend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62C65" w14:paraId="45F4D60D" w14:textId="77777777">
        <w:tc>
          <w:tcPr>
            <w:tcW w:w="3024" w:type="dxa"/>
          </w:tcPr>
          <w:p w14:paraId="1F239A00" w14:textId="77777777" w:rsidR="00E62C65" w:rsidRDefault="00474360">
            <w:r>
              <w:rPr>
                <w:b/>
              </w:rPr>
              <w:t>Componente</w:t>
            </w:r>
          </w:p>
        </w:tc>
        <w:tc>
          <w:tcPr>
            <w:tcW w:w="3024" w:type="dxa"/>
          </w:tcPr>
          <w:p w14:paraId="33D7BF41" w14:textId="77777777" w:rsidR="00E62C65" w:rsidRDefault="00474360">
            <w:r>
              <w:rPr>
                <w:b/>
              </w:rPr>
              <w:t>Tecnologia</w:t>
            </w:r>
          </w:p>
        </w:tc>
        <w:tc>
          <w:tcPr>
            <w:tcW w:w="3024" w:type="dxa"/>
          </w:tcPr>
          <w:p w14:paraId="76D0DE80" w14:textId="77777777" w:rsidR="00E62C65" w:rsidRDefault="00474360">
            <w:r>
              <w:rPr>
                <w:b/>
              </w:rPr>
              <w:t>Função</w:t>
            </w:r>
          </w:p>
        </w:tc>
      </w:tr>
      <w:tr w:rsidR="00E62C65" w14:paraId="09E5D693" w14:textId="77777777">
        <w:tc>
          <w:tcPr>
            <w:tcW w:w="3024" w:type="dxa"/>
          </w:tcPr>
          <w:p w14:paraId="5CC48CCF" w14:textId="77777777" w:rsidR="00E62C65" w:rsidRDefault="00474360">
            <w:r>
              <w:t>API</w:t>
            </w:r>
          </w:p>
        </w:tc>
        <w:tc>
          <w:tcPr>
            <w:tcW w:w="3024" w:type="dxa"/>
          </w:tcPr>
          <w:p w14:paraId="7B5AC41A" w14:textId="77777777" w:rsidR="00E62C65" w:rsidRDefault="00474360">
            <w:r>
              <w:t>FastAPI</w:t>
            </w:r>
          </w:p>
        </w:tc>
        <w:tc>
          <w:tcPr>
            <w:tcW w:w="3024" w:type="dxa"/>
          </w:tcPr>
          <w:p w14:paraId="642210A8" w14:textId="77777777" w:rsidR="00E62C65" w:rsidRDefault="00474360">
            <w:r>
              <w:t>comunicação HTTP e orquestração dos endpoints</w:t>
            </w:r>
          </w:p>
        </w:tc>
      </w:tr>
      <w:tr w:rsidR="00E62C65" w14:paraId="47491648" w14:textId="77777777">
        <w:tc>
          <w:tcPr>
            <w:tcW w:w="3024" w:type="dxa"/>
          </w:tcPr>
          <w:p w14:paraId="51657B33" w14:textId="77777777" w:rsidR="00E62C65" w:rsidRDefault="00474360">
            <w:r>
              <w:t>ORM</w:t>
            </w:r>
          </w:p>
        </w:tc>
        <w:tc>
          <w:tcPr>
            <w:tcW w:w="3024" w:type="dxa"/>
          </w:tcPr>
          <w:p w14:paraId="3D343D67" w14:textId="77777777" w:rsidR="00E62C65" w:rsidRDefault="00474360">
            <w:r>
              <w:t>SQLAlchemy 2.x</w:t>
            </w:r>
          </w:p>
        </w:tc>
        <w:tc>
          <w:tcPr>
            <w:tcW w:w="3024" w:type="dxa"/>
          </w:tcPr>
          <w:p w14:paraId="18246526" w14:textId="77777777" w:rsidR="00E62C65" w:rsidRDefault="00474360">
            <w:r>
              <w:t>acesso estruturado aos dados, em modo síncrono</w:t>
            </w:r>
          </w:p>
        </w:tc>
      </w:tr>
      <w:tr w:rsidR="00E62C65" w14:paraId="67F6777A" w14:textId="77777777">
        <w:tc>
          <w:tcPr>
            <w:tcW w:w="3024" w:type="dxa"/>
          </w:tcPr>
          <w:p w14:paraId="59E899D4" w14:textId="77777777" w:rsidR="00E62C65" w:rsidRDefault="00474360">
            <w:r>
              <w:t>Driver</w:t>
            </w:r>
          </w:p>
        </w:tc>
        <w:tc>
          <w:tcPr>
            <w:tcW w:w="3024" w:type="dxa"/>
          </w:tcPr>
          <w:p w14:paraId="4B623368" w14:textId="77777777" w:rsidR="00E62C65" w:rsidRDefault="00474360">
            <w:r>
              <w:t>psycopg 3</w:t>
            </w:r>
          </w:p>
        </w:tc>
        <w:tc>
          <w:tcPr>
            <w:tcW w:w="3024" w:type="dxa"/>
          </w:tcPr>
          <w:p w14:paraId="115AEB02" w14:textId="77777777" w:rsidR="00E62C65" w:rsidRDefault="00474360">
            <w:r>
              <w:t>comunicação entre o ORM e o banco</w:t>
            </w:r>
          </w:p>
        </w:tc>
      </w:tr>
      <w:tr w:rsidR="00E62C65" w14:paraId="64D967A6" w14:textId="77777777">
        <w:tc>
          <w:tcPr>
            <w:tcW w:w="3024" w:type="dxa"/>
          </w:tcPr>
          <w:p w14:paraId="755275A8" w14:textId="77777777" w:rsidR="00E62C65" w:rsidRDefault="00474360">
            <w:r>
              <w:t>Banco</w:t>
            </w:r>
          </w:p>
        </w:tc>
        <w:tc>
          <w:tcPr>
            <w:tcW w:w="3024" w:type="dxa"/>
          </w:tcPr>
          <w:p w14:paraId="7778B546" w14:textId="77777777" w:rsidR="00E62C65" w:rsidRDefault="00474360">
            <w:r>
              <w:t>PostgreSQL 16</w:t>
            </w:r>
          </w:p>
        </w:tc>
        <w:tc>
          <w:tcPr>
            <w:tcW w:w="3024" w:type="dxa"/>
          </w:tcPr>
          <w:p w14:paraId="6CCF3962" w14:textId="77777777" w:rsidR="00E62C65" w:rsidRDefault="00474360">
            <w:r>
              <w:t>banco relacional da persistência futura</w:t>
            </w:r>
          </w:p>
        </w:tc>
      </w:tr>
      <w:tr w:rsidR="00E62C65" w14:paraId="3D4AC51A" w14:textId="77777777">
        <w:tc>
          <w:tcPr>
            <w:tcW w:w="3024" w:type="dxa"/>
          </w:tcPr>
          <w:p w14:paraId="036A3FAC" w14:textId="77777777" w:rsidR="00E62C65" w:rsidRDefault="00474360">
            <w:r>
              <w:t>Migrações</w:t>
            </w:r>
          </w:p>
        </w:tc>
        <w:tc>
          <w:tcPr>
            <w:tcW w:w="3024" w:type="dxa"/>
          </w:tcPr>
          <w:p w14:paraId="1E196056" w14:textId="77777777" w:rsidR="00E62C65" w:rsidRDefault="00474360">
            <w:r>
              <w:t>Alembic</w:t>
            </w:r>
          </w:p>
        </w:tc>
        <w:tc>
          <w:tcPr>
            <w:tcW w:w="3024" w:type="dxa"/>
          </w:tcPr>
          <w:p w14:paraId="4E917538" w14:textId="77777777" w:rsidR="00E62C65" w:rsidRDefault="00474360">
            <w:r>
              <w:t>controle versionado da evolução do esquema</w:t>
            </w:r>
          </w:p>
        </w:tc>
      </w:tr>
    </w:tbl>
    <w:p w14:paraId="78785587" w14:textId="77777777" w:rsidR="00E62C65" w:rsidRDefault="00474360">
      <w:r>
        <w:t xml:space="preserve">Fonte: </w:t>
      </w:r>
      <w:r>
        <w:t>elaboração própria (2026).</w:t>
      </w:r>
    </w:p>
    <w:p w14:paraId="3B760924" w14:textId="77777777" w:rsidR="00E62C65" w:rsidRDefault="00474360">
      <w:pPr>
        <w:spacing w:after="0" w:line="360" w:lineRule="auto"/>
        <w:ind w:firstLine="709"/>
        <w:jc w:val="both"/>
      </w:pPr>
      <w:r>
        <w:t xml:space="preserve">A arquitetura aqui descrita corresponde ao </w:t>
      </w:r>
      <w:r>
        <w:rPr>
          <w:b/>
        </w:rPr>
        <w:t>estado implementado</w:t>
      </w:r>
      <w:r>
        <w:t xml:space="preserve">. Além da </w:t>
      </w:r>
      <w:r>
        <w:rPr>
          <w:b/>
        </w:rPr>
        <w:t>infraestrutura de persistência</w:t>
      </w:r>
      <w:r>
        <w:t xml:space="preserve"> (PostgreSQL, SQLAlchemy e Alembic), o backend já conta com </w:t>
      </w:r>
      <w:r>
        <w:rPr>
          <w:b/>
        </w:rPr>
        <w:t>autenticação real</w:t>
      </w:r>
      <w:r>
        <w:t xml:space="preserve"> — cadastro, login, access/refresh token, logout e consulta do usuário autenticado (/auth/me) — persistida nas tabelas users e auth_refresh_sessions (seção 4.5). Distingue-se, portanto, a </w:t>
      </w:r>
      <w:r>
        <w:rPr>
          <w:b/>
        </w:rPr>
        <w:t>API DSS atual</w:t>
      </w:r>
      <w:r>
        <w:t xml:space="preserve"> (que recebe a estimativa experimental, de forma stateless) da futura </w:t>
      </w:r>
      <w:r>
        <w:rPr>
          <w:b/>
        </w:rPr>
        <w:t>API CRUD do acompanhamento pré-natal</w:t>
      </w:r>
      <w:r>
        <w:t xml:space="preserve">, cujas </w:t>
      </w:r>
      <w:r>
        <w:rPr>
          <w:b/>
        </w:rPr>
        <w:t>entidades de domínio</w:t>
      </w:r>
      <w:r>
        <w:t xml:space="preserve"> (GESTANTE, GESTAÇÃO e demais) e operaçõe</w:t>
      </w:r>
      <w:r>
        <w:t xml:space="preserve">s CRUD permanecem </w:t>
      </w:r>
      <w:r>
        <w:rPr>
          <w:b/>
        </w:rPr>
        <w:t>ainda não implementadas</w:t>
      </w:r>
      <w:r>
        <w:t xml:space="preserve"> (seção 4.7).</w:t>
      </w:r>
    </w:p>
    <w:p w14:paraId="3A496F8A" w14:textId="77777777" w:rsidR="00E62C65" w:rsidRDefault="00474360">
      <w:pPr>
        <w:pStyle w:val="Ttulo2"/>
      </w:pPr>
      <w:bookmarkStart w:id="36" w:name="_Toc238653816"/>
      <w:r>
        <w:rPr>
          <w:rFonts w:ascii="Times New Roman" w:eastAsia="Times New Roman" w:hAnsi="Times New Roman"/>
        </w:rPr>
        <w:t>4.2 Eixo 1 — Questionário dos DSS</w:t>
      </w:r>
      <w:bookmarkEnd w:id="36"/>
    </w:p>
    <w:p w14:paraId="2E48C339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Formulário estruturado das seis dimensões; coleta informações usadas na caracterização (IV-DSS) e na estimativa experimental do modelo. O resultado apresentado no aplicativo é denominado </w:t>
      </w:r>
      <w:r>
        <w:rPr>
          <w:rFonts w:eastAsia="Times New Roman"/>
          <w:b/>
        </w:rPr>
        <w:t>"Estimativa de acompanhamento"</w:t>
      </w:r>
      <w:r>
        <w:rPr>
          <w:rFonts w:eastAsia="Times New Roman"/>
        </w:rPr>
        <w:t xml:space="preserve">, contendo </w:t>
      </w:r>
      <w:r>
        <w:rPr>
          <w:rFonts w:eastAsia="Times New Roman"/>
          <w:b/>
        </w:rPr>
        <w:t>probabilidade percentual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texto explicativo</w:t>
      </w:r>
      <w:r>
        <w:rPr>
          <w:rFonts w:eastAsia="Times New Roman"/>
        </w:rPr>
        <w:t xml:space="preserve"> e um </w:t>
      </w:r>
      <w:r>
        <w:rPr>
          <w:rFonts w:eastAsia="Times New Roman"/>
          <w:b/>
        </w:rPr>
        <w:t>notice metodológico</w:t>
      </w:r>
      <w:r>
        <w:rPr>
          <w:rFonts w:eastAsia="Times New Roman"/>
        </w:rPr>
        <w:t xml:space="preserve"> que esclarece o caráter experimental, a base em dados sintéticos e a ausência de diagnóstico ou certeza.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há tela de "risco" nem classificação de risco.</w:t>
      </w:r>
    </w:p>
    <w:p w14:paraId="38761D20" w14:textId="77777777" w:rsidR="00E62C65" w:rsidRDefault="00474360">
      <w:pPr>
        <w:pStyle w:val="Ttulo2"/>
      </w:pPr>
      <w:bookmarkStart w:id="37" w:name="_Toc238653817"/>
      <w:r>
        <w:rPr>
          <w:rFonts w:ascii="Times New Roman" w:eastAsia="Times New Roman" w:hAnsi="Times New Roman"/>
        </w:rPr>
        <w:lastRenderedPageBreak/>
        <w:t>4.3 Eixo 2 — Módulo de acompanhamento do pré-natal</w:t>
      </w:r>
      <w:bookmarkEnd w:id="37"/>
    </w:p>
    <w:p w14:paraId="2648300A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aplicativo integra, em uma mesma solução, o gerenciamento do acompanhamento pré-natal, organizado em </w:t>
      </w:r>
      <w:r>
        <w:rPr>
          <w:rFonts w:eastAsia="Times New Roman"/>
          <w:b/>
        </w:rPr>
        <w:t>quatro abas principais</w:t>
      </w:r>
      <w:r>
        <w:rPr>
          <w:rFonts w:eastAsia="Times New Roman"/>
        </w:rPr>
        <w:t xml:space="preserve">: </w:t>
      </w:r>
      <w:r>
        <w:rPr>
          <w:rFonts w:eastAsia="Times New Roman"/>
          <w:b/>
        </w:rPr>
        <w:t>Home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Gestação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Parto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Perfil</w:t>
      </w:r>
      <w:r>
        <w:rPr>
          <w:rFonts w:eastAsia="Times New Roman"/>
        </w:rPr>
        <w:t>.</w:t>
      </w:r>
    </w:p>
    <w:p w14:paraId="3A67BA30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Home</w:t>
      </w:r>
      <w:r>
        <w:rPr>
          <w:rFonts w:eastAsia="Times New Roman"/>
        </w:rPr>
        <w:t xml:space="preserve"> — reúne </w:t>
      </w:r>
      <w:r>
        <w:rPr>
          <w:rFonts w:eastAsia="Times New Roman"/>
          <w:b/>
        </w:rPr>
        <w:t>Consultas e exames</w:t>
      </w:r>
      <w:r>
        <w:rPr>
          <w:rFonts w:eastAsia="Times New Roman"/>
        </w:rPr>
        <w:t xml:space="preserve"> (cadastro, listagem e exclusão local), </w:t>
      </w:r>
      <w:r>
        <w:rPr>
          <w:rFonts w:eastAsia="Times New Roman"/>
          <w:b/>
        </w:rPr>
        <w:t>Minhas vacinas</w:t>
      </w:r>
      <w:r>
        <w:rPr>
          <w:rFonts w:eastAsia="Times New Roman"/>
        </w:rPr>
        <w:t xml:space="preserve"> (catálogo pré-cadastrado com controle de realização), </w:t>
      </w:r>
      <w:r>
        <w:rPr>
          <w:rFonts w:eastAsia="Times New Roman"/>
          <w:b/>
        </w:rPr>
        <w:t>Meus medicamentos</w:t>
      </w:r>
      <w:r>
        <w:rPr>
          <w:rFonts w:eastAsia="Times New Roman"/>
        </w:rPr>
        <w:t xml:space="preserve"> (cadastro, listagem e exclusão local) e </w:t>
      </w:r>
      <w:r>
        <w:rPr>
          <w:rFonts w:eastAsia="Times New Roman"/>
          <w:b/>
        </w:rPr>
        <w:t>Informações básicas</w:t>
      </w:r>
      <w:r>
        <w:rPr>
          <w:rFonts w:eastAsia="Times New Roman"/>
        </w:rPr>
        <w:t xml:space="preserve"> (conteúdo educativo estático, sem persistência).</w:t>
      </w:r>
    </w:p>
    <w:p w14:paraId="385E9303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Gestação</w:t>
      </w:r>
      <w:r>
        <w:rPr>
          <w:rFonts w:eastAsia="Times New Roman"/>
        </w:rPr>
        <w:t xml:space="preserve"> — agrega identificação da gestante, </w:t>
      </w:r>
      <w:r>
        <w:rPr>
          <w:rFonts w:eastAsia="Times New Roman"/>
          <w:b/>
        </w:rPr>
        <w:t>idade gestacional (IG)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data provável do parto (DPP)</w:t>
      </w:r>
      <w:r>
        <w:rPr>
          <w:rFonts w:eastAsia="Times New Roman"/>
        </w:rPr>
        <w:t xml:space="preserve">, local do pré-natal, profissional, consultas, exames e histórico obstétrico. IG e DPP são </w:t>
      </w:r>
      <w:r>
        <w:rPr>
          <w:rFonts w:eastAsia="Times New Roman"/>
          <w:b/>
        </w:rPr>
        <w:t>calculadas em tempo de execução</w:t>
      </w:r>
      <w:r>
        <w:rPr>
          <w:rFonts w:eastAsia="Times New Roman"/>
        </w:rPr>
        <w:t xml:space="preserve"> a partir dos dados da gestação (data da última menstruação),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são persistidas como valores independentes.</w:t>
      </w:r>
    </w:p>
    <w:p w14:paraId="1F3AB02F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Parto</w:t>
      </w:r>
      <w:r>
        <w:rPr>
          <w:rFonts w:eastAsia="Times New Roman"/>
        </w:rPr>
        <w:t xml:space="preserve"> — representa um </w:t>
      </w:r>
      <w:r>
        <w:rPr>
          <w:rFonts w:eastAsia="Times New Roman"/>
          <w:b/>
        </w:rPr>
        <w:t>plano de parto</w:t>
      </w:r>
      <w:r>
        <w:rPr>
          <w:rFonts w:eastAsia="Times New Roman"/>
        </w:rPr>
        <w:t>, com seções de identificação, histórico, gestação atual, expectativas, parto, alívio da dor, nascimento, observações e resumo.</w:t>
      </w:r>
    </w:p>
    <w:p w14:paraId="2985C99A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Perfil</w:t>
      </w:r>
      <w:r>
        <w:rPr>
          <w:rFonts w:eastAsia="Times New Roman"/>
        </w:rPr>
        <w:t xml:space="preserve"> — reúne </w:t>
      </w:r>
      <w:r>
        <w:rPr>
          <w:rFonts w:eastAsia="Times New Roman"/>
          <w:b/>
        </w:rPr>
        <w:t>Meus Dados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Notificações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Configurações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Sobre o app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Sair</w:t>
      </w:r>
      <w:r>
        <w:rPr>
          <w:rFonts w:eastAsia="Times New Roman"/>
        </w:rPr>
        <w:t>.</w:t>
      </w:r>
    </w:p>
    <w:p w14:paraId="0C93DA36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Conceitualmente, no plano de parto, </w:t>
      </w:r>
      <w:r>
        <w:rPr>
          <w:rFonts w:eastAsia="Times New Roman"/>
          <w:b/>
        </w:rPr>
        <w:t>identificação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histórico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gestação atual</w:t>
      </w:r>
      <w:r>
        <w:rPr>
          <w:rFonts w:eastAsia="Times New Roman"/>
        </w:rPr>
        <w:t xml:space="preserve"> são </w:t>
      </w:r>
      <w:r>
        <w:rPr>
          <w:rFonts w:eastAsia="Times New Roman"/>
          <w:b/>
        </w:rPr>
        <w:t>dados de contexto</w:t>
      </w:r>
      <w:r>
        <w:rPr>
          <w:rFonts w:eastAsia="Times New Roman"/>
        </w:rPr>
        <w:t xml:space="preserve"> reutilizados de outras entidades; as </w:t>
      </w:r>
      <w:r>
        <w:rPr>
          <w:rFonts w:eastAsia="Times New Roman"/>
          <w:b/>
        </w:rPr>
        <w:t>preferências específicas do plano</w:t>
      </w:r>
      <w:r>
        <w:rPr>
          <w:rFonts w:eastAsia="Times New Roman"/>
        </w:rPr>
        <w:t xml:space="preserve"> são: </w:t>
      </w:r>
      <w:r>
        <w:rPr>
          <w:rFonts w:eastAsia="Times New Roman"/>
          <w:b/>
        </w:rPr>
        <w:t>expectativas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momento do parto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alívio da dor</w:t>
      </w:r>
      <w:r>
        <w:rPr>
          <w:rFonts w:eastAsia="Times New Roman"/>
        </w:rPr>
        <w:t xml:space="preserve">, </w:t>
      </w:r>
      <w:r>
        <w:rPr>
          <w:rFonts w:eastAsia="Times New Roman"/>
          <w:b/>
        </w:rPr>
        <w:t>nascimento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observações</w:t>
      </w:r>
      <w:r>
        <w:rPr>
          <w:rFonts w:eastAsia="Times New Roman"/>
        </w:rPr>
        <w:t xml:space="preserve">. Essas informações representam </w:t>
      </w:r>
      <w:r>
        <w:rPr>
          <w:rFonts w:eastAsia="Times New Roman"/>
          <w:b/>
        </w:rPr>
        <w:t>preferências e expectativas</w:t>
      </w:r>
      <w:r>
        <w:rPr>
          <w:rFonts w:eastAsia="Times New Roman"/>
        </w:rPr>
        <w:t xml:space="preserve">,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o registro do desfecho real do parto.</w:t>
      </w:r>
    </w:p>
    <w:p w14:paraId="1F27051D" w14:textId="77777777" w:rsidR="00E62C65" w:rsidRDefault="00474360">
      <w:pPr>
        <w:pStyle w:val="Ttulo2"/>
      </w:pPr>
      <w:bookmarkStart w:id="38" w:name="_Toc238653818"/>
      <w:r>
        <w:rPr>
          <w:rFonts w:ascii="Times New Roman" w:eastAsia="Times New Roman" w:hAnsi="Times New Roman"/>
        </w:rPr>
        <w:t>4.4 Armazenamento local / offline</w:t>
      </w:r>
      <w:bookmarkEnd w:id="38"/>
    </w:p>
    <w:p w14:paraId="36FBE58E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módulo de acompanhamento </w:t>
      </w:r>
      <w:r>
        <w:rPr>
          <w:rFonts w:eastAsia="Times New Roman"/>
          <w:b/>
        </w:rPr>
        <w:t>não depende de API</w:t>
      </w:r>
      <w:r>
        <w:rPr>
          <w:rFonts w:eastAsia="Times New Roman"/>
        </w:rPr>
        <w:t xml:space="preserve"> para armazenar essas informações; funciona offline. Esta é uma característica arquitetural e funcional —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um preditor do modelo.</w:t>
      </w:r>
    </w:p>
    <w:p w14:paraId="78A23F04" w14:textId="77777777" w:rsidR="00E62C65" w:rsidRDefault="00474360">
      <w:pPr>
        <w:pStyle w:val="EditorialStatus"/>
      </w:pPr>
      <w:r>
        <w:rPr>
          <w:rFonts w:eastAsia="Times New Roman"/>
        </w:rPr>
        <w:t xml:space="preserve">O módulo de acompanhamento é </w:t>
      </w:r>
      <w:r>
        <w:rPr>
          <w:rFonts w:eastAsia="Times New Roman"/>
          <w:b/>
        </w:rPr>
        <w:t>funcionalidade da aplicação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faz</w:t>
      </w:r>
    </w:p>
    <w:p w14:paraId="035872C5" w14:textId="77777777" w:rsidR="00E62C65" w:rsidRDefault="00474360">
      <w:pPr>
        <w:pStyle w:val="EditorialStatus"/>
      </w:pPr>
      <w:r>
        <w:rPr>
          <w:rFonts w:eastAsia="Times New Roman"/>
        </w:rPr>
        <w:t>parte diretamente do modelo de predição.</w:t>
      </w:r>
    </w:p>
    <w:p w14:paraId="73379BD9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persistência local é realizada com </w:t>
      </w:r>
      <w:r>
        <w:rPr>
          <w:rFonts w:eastAsia="Times New Roman"/>
          <w:b/>
        </w:rPr>
        <w:t>SQLite</w:t>
      </w:r>
      <w:r>
        <w:rPr>
          <w:rFonts w:eastAsia="Times New Roman"/>
        </w:rPr>
        <w:t xml:space="preserve"> por meio do pacote </w:t>
      </w:r>
      <w:r>
        <w:rPr>
          <w:rFonts w:eastAsia="Times New Roman"/>
          <w:b/>
        </w:rPr>
        <w:t>sqflite</w:t>
      </w:r>
      <w:r>
        <w:rPr>
          <w:rFonts w:eastAsia="Times New Roman"/>
        </w:rPr>
        <w:t xml:space="preserve">, com </w:t>
      </w:r>
      <w:r>
        <w:rPr>
          <w:rFonts w:eastAsia="Times New Roman"/>
          <w:b/>
        </w:rPr>
        <w:t>SQL bruto</w:t>
      </w:r>
      <w:r>
        <w:rPr>
          <w:rFonts w:eastAsia="Times New Roman"/>
        </w:rPr>
        <w:t xml:space="preserve"> (sem Drift/codegen). O banco </w:t>
      </w:r>
      <w:r>
        <w:rPr>
          <w:rFonts w:ascii="Courier New" w:eastAsia="Courier New" w:hAnsi="Courier New"/>
          <w:sz w:val="22"/>
        </w:rPr>
        <w:t>meu_bebe.db</w:t>
      </w:r>
      <w:r>
        <w:rPr>
          <w:rFonts w:eastAsia="Times New Roman"/>
        </w:rPr>
        <w:t xml:space="preserve"> (versão 1) contém </w:t>
      </w:r>
      <w:r>
        <w:rPr>
          <w:rFonts w:eastAsia="Times New Roman"/>
          <w:b/>
        </w:rPr>
        <w:t>13 models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13 tabelas</w:t>
      </w:r>
      <w:r>
        <w:rPr>
          <w:rFonts w:eastAsia="Times New Roman"/>
        </w:rPr>
        <w:t xml:space="preserve"> locais.</w:t>
      </w:r>
    </w:p>
    <w:p w14:paraId="3762BB16" w14:textId="77777777" w:rsidR="00E62C65" w:rsidRDefault="00474360">
      <w:pPr>
        <w:pStyle w:val="EditorialStatus"/>
      </w:pPr>
      <w:r>
        <w:rPr>
          <w:rFonts w:eastAsia="Times New Roman"/>
          <w:b/>
        </w:rPr>
        <w:t>Limitação relacional da implementação atual:</w:t>
      </w:r>
      <w:r>
        <w:rPr>
          <w:rFonts w:eastAsia="Times New Roman"/>
        </w:rPr>
        <w:t xml:space="preserve"> as tabelas locais </w:t>
      </w:r>
      <w:r>
        <w:rPr>
          <w:rFonts w:eastAsia="Times New Roman"/>
          <w:b/>
        </w:rPr>
        <w:t>não</w:t>
      </w:r>
    </w:p>
    <w:p w14:paraId="61AFFA28" w14:textId="77777777" w:rsidR="00E62C65" w:rsidRDefault="00474360">
      <w:pPr>
        <w:pStyle w:val="EditorialStatus"/>
      </w:pPr>
      <w:r>
        <w:rPr>
          <w:rFonts w:eastAsia="Times New Roman"/>
        </w:rPr>
        <w:t>possuem relacionamentos formais (foreign keys) entre os registros de domínio.</w:t>
      </w:r>
    </w:p>
    <w:p w14:paraId="371CAF17" w14:textId="77777777" w:rsidR="00E62C65" w:rsidRDefault="00474360">
      <w:pPr>
        <w:pStyle w:val="EditorialStatus"/>
      </w:pPr>
      <w:r>
        <w:rPr>
          <w:rFonts w:eastAsia="Times New Roman"/>
        </w:rPr>
        <w:t xml:space="preserve">Embora a configuração do banco ative </w:t>
      </w:r>
      <w:r>
        <w:rPr>
          <w:rFonts w:ascii="Courier New" w:eastAsia="Courier New" w:hAnsi="Courier New"/>
          <w:i w:val="0"/>
          <w:sz w:val="18"/>
        </w:rPr>
        <w:t>PRAGMA foreign_keys</w:t>
      </w:r>
      <w:r>
        <w:rPr>
          <w:rFonts w:eastAsia="Times New Roman"/>
        </w:rPr>
        <w:t>, nenhuma restrição</w:t>
      </w:r>
    </w:p>
    <w:p w14:paraId="6275E809" w14:textId="77777777" w:rsidR="00E62C65" w:rsidRDefault="00474360">
      <w:pPr>
        <w:pStyle w:val="EditorialStatus"/>
      </w:pPr>
      <w:r>
        <w:rPr>
          <w:rFonts w:eastAsia="Times New Roman"/>
        </w:rPr>
        <w:t xml:space="preserve">de </w:t>
      </w:r>
      <w:r>
        <w:rPr>
          <w:rFonts w:ascii="Courier New" w:eastAsia="Courier New" w:hAnsi="Courier New"/>
          <w:i w:val="0"/>
          <w:sz w:val="18"/>
        </w:rPr>
        <w:t>FOREIGN KEY</w:t>
      </w:r>
      <w:r>
        <w:rPr>
          <w:rFonts w:eastAsia="Times New Roman"/>
        </w:rPr>
        <w:t>/</w:t>
      </w:r>
      <w:r>
        <w:rPr>
          <w:rFonts w:ascii="Courier New" w:eastAsia="Courier New" w:hAnsi="Courier New"/>
          <w:i w:val="0"/>
          <w:sz w:val="18"/>
        </w:rPr>
        <w:t>REFERENCES</w:t>
      </w:r>
      <w:r>
        <w:rPr>
          <w:rFonts w:eastAsia="Times New Roman"/>
        </w:rPr>
        <w:t xml:space="preserve"> foi declarada. A implementação local assume</w:t>
      </w:r>
    </w:p>
    <w:p w14:paraId="60538393" w14:textId="77777777" w:rsidR="00E62C65" w:rsidRDefault="00474360">
      <w:pPr>
        <w:pStyle w:val="EditorialStatus"/>
      </w:pPr>
      <w:r>
        <w:rPr>
          <w:rFonts w:eastAsia="Times New Roman"/>
        </w:rPr>
        <w:t xml:space="preserve">implicitamente </w:t>
      </w:r>
      <w:r>
        <w:rPr>
          <w:rFonts w:eastAsia="Times New Roman"/>
          <w:b/>
        </w:rPr>
        <w:t>uma única gestante/gestação por instalação/dispositivo</w:t>
      </w:r>
      <w:r>
        <w:rPr>
          <w:rFonts w:eastAsia="Times New Roman"/>
        </w:rPr>
        <w:t>. Essa</w:t>
      </w:r>
    </w:p>
    <w:p w14:paraId="7EEB843A" w14:textId="77777777" w:rsidR="00E62C65" w:rsidRDefault="00474360">
      <w:pPr>
        <w:pStyle w:val="EditorialStatus"/>
      </w:pPr>
      <w:r>
        <w:rPr>
          <w:rFonts w:eastAsia="Times New Roman"/>
        </w:rPr>
        <w:lastRenderedPageBreak/>
        <w:t xml:space="preserve">é uma </w:t>
      </w:r>
      <w:r>
        <w:rPr>
          <w:rFonts w:eastAsia="Times New Roman"/>
          <w:b/>
        </w:rPr>
        <w:t>limitação da implementação atual</w:t>
      </w:r>
      <w:r>
        <w:rPr>
          <w:rFonts w:eastAsia="Times New Roman"/>
        </w:rPr>
        <w:t xml:space="preserve">,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uma decisão desejada para</w:t>
      </w:r>
    </w:p>
    <w:p w14:paraId="2C3C9F81" w14:textId="77777777" w:rsidR="00E62C65" w:rsidRDefault="00474360">
      <w:pPr>
        <w:pStyle w:val="EditorialStatus"/>
      </w:pPr>
      <w:r>
        <w:rPr>
          <w:rFonts w:eastAsia="Times New Roman"/>
        </w:rPr>
        <w:t>a arquitetura futura (seção 4.7).</w:t>
      </w:r>
    </w:p>
    <w:p w14:paraId="2CBFEA36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A estratégia de evolução aprovada para a persistência do acompanhamento prevê que a API/backend passe a ser a fonte de verdade, substituindo progressivamente a dependência do SQLite local. A transição será feature por feature: cada recurso migra da implementação local para uma implementação REST, validada de ponta a ponta, e só então a API passa a ser a fonte de verdade daquela feature. Não haverá, nesta etapa, migração automática dos registros SQLite existentes, nem offline-first, sincronização ou cache di</w:t>
      </w:r>
      <w:r>
        <w:rPr>
          <w:rFonts w:eastAsia="Times New Roman"/>
        </w:rPr>
        <w:t>stribuído (seção 4.7).</w:t>
      </w:r>
    </w:p>
    <w:p w14:paraId="5988E4FE" w14:textId="77777777" w:rsidR="00E62C65" w:rsidRDefault="00474360">
      <w:r>
        <w:t>A infraestrutura de persistência do backend — PostgreSQL 16, SQLAlchemy 2.x (síncrono) e Alembic — já foi implementada e validada (seções 4.1 e 5.9). Ainda assim, o SQLite continua sendo o estado atual da persistência no aplicativo: a troca por essa infraestrutura permanece planejada para etapas posteriores, feature por feature, por meio da API.</w:t>
      </w:r>
    </w:p>
    <w:p w14:paraId="73C5DA22" w14:textId="77777777" w:rsidR="00E62C65" w:rsidRDefault="00474360">
      <w:pPr>
        <w:pStyle w:val="Ttulo2"/>
      </w:pPr>
      <w:bookmarkStart w:id="39" w:name="_Toc238653819"/>
      <w:r>
        <w:rPr>
          <w:rFonts w:ascii="Times New Roman" w:eastAsia="Times New Roman" w:hAnsi="Times New Roman"/>
        </w:rPr>
        <w:t>4.5 Autenticação e estado atual do DSS</w:t>
      </w:r>
      <w:bookmarkEnd w:id="39"/>
    </w:p>
    <w:p w14:paraId="084E3FD8" w14:textId="77777777" w:rsidR="00E62C65" w:rsidRDefault="00474360">
      <w:pPr>
        <w:spacing w:after="0" w:line="360" w:lineRule="auto"/>
        <w:ind w:firstLine="709"/>
        <w:jc w:val="both"/>
      </w:pPr>
      <w:r>
        <w:t xml:space="preserve">A </w:t>
      </w:r>
      <w:r>
        <w:rPr>
          <w:b/>
        </w:rPr>
        <w:t>autenticação</w:t>
      </w:r>
      <w:r>
        <w:t xml:space="preserve"> foi </w:t>
      </w:r>
      <w:r>
        <w:rPr>
          <w:b/>
        </w:rPr>
        <w:t>implementada no backend</w:t>
      </w:r>
      <w:r>
        <w:t xml:space="preserve"> (FastAPI) e é a primeira funcionalidade persistente conectada à infraestrutura de banco de dados da API.</w:t>
      </w:r>
    </w:p>
    <w:p w14:paraId="3CF3EDC0" w14:textId="77777777" w:rsidR="00E62C65" w:rsidRDefault="00474360">
      <w:r>
        <w:rPr>
          <w:b/>
        </w:rPr>
        <w:t>Backend — implementado.</w:t>
      </w:r>
      <w:r>
        <w:t xml:space="preserve"> A API expõe os endpoints de autenticação sob o prefixo /api/v1/auth:</w:t>
      </w:r>
    </w:p>
    <w:p w14:paraId="74F4C600" w14:textId="77777777" w:rsidR="00E62C65" w:rsidRDefault="00474360">
      <w:pPr>
        <w:pStyle w:val="Commarcadores"/>
      </w:pPr>
      <w:r>
        <w:t xml:space="preserve">POST /api/v1/auth/register — cadastro do usuário, com </w:t>
      </w:r>
      <w:r>
        <w:rPr>
          <w:b/>
        </w:rPr>
        <w:t>e-mail normalizado</w:t>
      </w:r>
      <w:r>
        <w:t xml:space="preserve"> e </w:t>
      </w:r>
      <w:r>
        <w:rPr>
          <w:b/>
        </w:rPr>
        <w:t>senha com hash Argon2id</w:t>
      </w:r>
      <w:r>
        <w:t xml:space="preserve"> (nunca armazenada em claro), devolvendo os tokens de acesso e de renovação;</w:t>
      </w:r>
    </w:p>
    <w:p w14:paraId="6D5CD360" w14:textId="77777777" w:rsidR="00E62C65" w:rsidRDefault="00474360">
      <w:pPr>
        <w:pStyle w:val="Commarcadores"/>
      </w:pPr>
      <w:r>
        <w:t>POST /api/v1/auth/login — autenticação por e-mail e senha, com respostas equivalentes para e-mail inexistente e senha incorreta (anti-enumeração);</w:t>
      </w:r>
    </w:p>
    <w:p w14:paraId="1D2600F0" w14:textId="77777777" w:rsidR="00E62C65" w:rsidRDefault="00474360">
      <w:pPr>
        <w:pStyle w:val="Commarcadores"/>
      </w:pPr>
      <w:r>
        <w:t xml:space="preserve">POST /api/v1/auth/refresh — renovação do par de tokens, com </w:t>
      </w:r>
      <w:r>
        <w:rPr>
          <w:b/>
        </w:rPr>
        <w:t>rotação simples</w:t>
      </w:r>
      <w:r>
        <w:t xml:space="preserve"> (a sessão utilizada é revogada e uma nova é emitida);</w:t>
      </w:r>
    </w:p>
    <w:p w14:paraId="55FEC2CA" w14:textId="77777777" w:rsidR="00E62C65" w:rsidRDefault="00474360">
      <w:pPr>
        <w:pStyle w:val="Commarcadores"/>
      </w:pPr>
      <w:r>
        <w:t>POST /api/v1/auth/logout — revogação da sessão de renovação (o token de acesso permanece válido até sua expiração curta);</w:t>
      </w:r>
    </w:p>
    <w:p w14:paraId="2983A3CA" w14:textId="77777777" w:rsidR="00E62C65" w:rsidRDefault="00474360">
      <w:pPr>
        <w:pStyle w:val="Commarcadores"/>
      </w:pPr>
      <w:r>
        <w:t>GET /api/v1/auth/me — devolve o usuário autenticado a partir do token de acesso.</w:t>
      </w:r>
    </w:p>
    <w:p w14:paraId="3A2F3F25" w14:textId="77777777" w:rsidR="00E62C65" w:rsidRDefault="00474360">
      <w:r>
        <w:t xml:space="preserve">O </w:t>
      </w:r>
      <w:r>
        <w:rPr>
          <w:b/>
        </w:rPr>
        <w:t>usuário persistente</w:t>
      </w:r>
      <w:r>
        <w:t xml:space="preserve"> (USER) contém apenas </w:t>
      </w:r>
      <w:r>
        <w:rPr>
          <w:b/>
        </w:rPr>
        <w:t>identidade/autenticação</w:t>
      </w:r>
      <w:r>
        <w:t xml:space="preserve"> — identificador UUID, e-mail, hash de senha, flag de atividade e timestamps — e </w:t>
      </w:r>
      <w:r>
        <w:rPr>
          <w:b/>
        </w:rPr>
        <w:t>não</w:t>
      </w:r>
      <w:r>
        <w:t xml:space="preserve"> contém dados clínicos/pessoais da gestante (nome, CPF, CNS, nascimento ou histórico obstétrico), que pertencem ao futuro domínio GESTANTE (seção 4.7). As </w:t>
      </w:r>
      <w:r>
        <w:rPr>
          <w:b/>
        </w:rPr>
        <w:t>sessões de renovação</w:t>
      </w:r>
      <w:r>
        <w:t xml:space="preserve"> são persistidas em AUTH_REFRESH_SESSION, guardando apenas identificadores e metadados — nunca o token em claro. Os tokens são </w:t>
      </w:r>
      <w:r>
        <w:rPr>
          <w:b/>
        </w:rPr>
        <w:t>JWT (HS256)</w:t>
      </w:r>
      <w:r>
        <w:t xml:space="preserve">, com </w:t>
      </w:r>
      <w:r>
        <w:rPr>
          <w:b/>
        </w:rPr>
        <w:t>separação obrigatória</w:t>
      </w:r>
      <w:r>
        <w:t xml:space="preserve"> entre token de </w:t>
      </w:r>
      <w:r>
        <w:rPr>
          <w:b/>
        </w:rPr>
        <w:t>acesso</w:t>
      </w:r>
      <w:r>
        <w:t xml:space="preserve"> (</w:t>
      </w:r>
      <w:r>
        <w:t xml:space="preserve">15 minutos) e token de </w:t>
      </w:r>
      <w:r>
        <w:rPr>
          <w:b/>
        </w:rPr>
        <w:t>renovação</w:t>
      </w:r>
      <w:r>
        <w:t xml:space="preserve"> (30 dias). A criação dessas tabelas corresponde à </w:t>
      </w:r>
      <w:r>
        <w:rPr>
          <w:b/>
        </w:rPr>
        <w:t>primeira migration real</w:t>
      </w:r>
      <w:r>
        <w:t xml:space="preserve"> do Alembic (0001).</w:t>
      </w:r>
    </w:p>
    <w:p w14:paraId="41964236" w14:textId="77777777" w:rsidR="00E62C65" w:rsidRDefault="00474360">
      <w:r>
        <w:rPr>
          <w:b/>
        </w:rPr>
        <w:t>Flutter — ainda não integrado.</w:t>
      </w:r>
      <w:r>
        <w:t xml:space="preserve"> A tela atual de login do aplicativo </w:t>
      </w:r>
      <w:r>
        <w:rPr>
          <w:b/>
        </w:rPr>
        <w:t>não</w:t>
      </w:r>
      <w:r>
        <w:t xml:space="preserve"> é conectada à nova API: os botões "Entrar" e "Criar nova conta" ainda navegam sem autenticar de fato, e o item "Sair" da aba Perfil ainda corresponde a navegação para a tela de login — </w:t>
      </w:r>
      <w:r>
        <w:rPr>
          <w:b/>
        </w:rPr>
        <w:t>não</w:t>
      </w:r>
      <w:r>
        <w:t xml:space="preserve"> a um logout </w:t>
      </w:r>
      <w:r>
        <w:lastRenderedPageBreak/>
        <w:t xml:space="preserve">autenticado real. O armazenamento seguro de tokens e a integração do aplicativo com os endpoints acima permanecem </w:t>
      </w:r>
      <w:r>
        <w:rPr>
          <w:b/>
        </w:rPr>
        <w:t>etapa futura</w:t>
      </w:r>
      <w:r>
        <w:t xml:space="preserve"> (seção 4.7).</w:t>
      </w:r>
    </w:p>
    <w:p w14:paraId="3C76EE4E" w14:textId="77777777" w:rsidR="00E62C65" w:rsidRDefault="00474360">
      <w:pPr>
        <w:spacing w:after="0" w:line="360" w:lineRule="auto"/>
        <w:ind w:firstLine="709"/>
        <w:jc w:val="both"/>
      </w:pPr>
      <w:r>
        <w:t xml:space="preserve">O fluxo DSS atual é </w:t>
      </w:r>
      <w:r>
        <w:rPr>
          <w:b/>
        </w:rPr>
        <w:t>stateless</w:t>
      </w:r>
      <w:r>
        <w:t xml:space="preserve"> e </w:t>
      </w:r>
      <w:r>
        <w:rPr>
          <w:b/>
        </w:rPr>
        <w:t>independente da autenticação</w:t>
      </w:r>
      <w:r>
        <w:t xml:space="preserve">: o endpoint POST /api/v1/risk-estimate </w:t>
      </w:r>
      <w:r>
        <w:rPr>
          <w:b/>
        </w:rPr>
        <w:t>não</w:t>
      </w:r>
      <w:r>
        <w:t xml:space="preserve"> exige login, </w:t>
      </w:r>
      <w:r>
        <w:rPr>
          <w:b/>
        </w:rPr>
        <w:t>não</w:t>
      </w:r>
      <w:r>
        <w:t xml:space="preserve"> envia token, </w:t>
      </w:r>
      <w:r>
        <w:rPr>
          <w:b/>
        </w:rPr>
        <w:t>não</w:t>
      </w:r>
      <w:r>
        <w:t xml:space="preserve"> possui identificador de usuária/gestante/gestação e </w:t>
      </w:r>
      <w:r>
        <w:rPr>
          <w:b/>
        </w:rPr>
        <w:t>não</w:t>
      </w:r>
      <w:r>
        <w:t xml:space="preserve"> persiste a avaliação. A autenticação </w:t>
      </w:r>
      <w:r>
        <w:rPr>
          <w:b/>
        </w:rPr>
        <w:t>não</w:t>
      </w:r>
      <w:r>
        <w:t xml:space="preserve"> é aplicada globalmente — apenas nas rotas que a exigem — e sua indisponibilidade </w:t>
      </w:r>
      <w:r>
        <w:rPr>
          <w:b/>
        </w:rPr>
        <w:t>não</w:t>
      </w:r>
      <w:r>
        <w:t xml:space="preserve"> afeta o fluxo de inferência DSS.</w:t>
      </w:r>
    </w:p>
    <w:p w14:paraId="39A0F443" w14:textId="77777777" w:rsidR="00E62C65" w:rsidRDefault="00474360">
      <w:pPr>
        <w:pStyle w:val="Ttulo2"/>
      </w:pPr>
      <w:bookmarkStart w:id="40" w:name="_Toc238653820"/>
      <w:r>
        <w:rPr>
          <w:rFonts w:ascii="Times New Roman" w:eastAsia="Times New Roman" w:hAnsi="Times New Roman"/>
        </w:rPr>
        <w:t>4.6 Onde o IV-DSS é calculado</w:t>
      </w:r>
      <w:bookmarkEnd w:id="40"/>
    </w:p>
    <w:p w14:paraId="6EC78494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IV-DSS é calculado em </w:t>
      </w:r>
      <w:r>
        <w:rPr>
          <w:rFonts w:eastAsia="Times New Roman"/>
          <w:b/>
        </w:rPr>
        <w:t>etapa analítica independente</w:t>
      </w:r>
      <w:r>
        <w:rPr>
          <w:rFonts w:eastAsia="Times New Roman"/>
        </w:rPr>
        <w:t xml:space="preserve"> no pipeline Python (</w:t>
      </w:r>
      <w:r>
        <w:rPr>
          <w:rFonts w:ascii="Courier New" w:eastAsia="Courier New" w:hAnsi="Courier New"/>
          <w:sz w:val="22"/>
        </w:rPr>
        <w:t>meu_bebe_ml</w:t>
      </w:r>
      <w:r>
        <w:rPr>
          <w:rFonts w:eastAsia="Times New Roman"/>
        </w:rPr>
        <w:t xml:space="preserve">),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no aplicativo nem na API — nesta versão. Distinção explícita:</w:t>
      </w:r>
    </w:p>
    <w:p w14:paraId="77362496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IV-DSS</w:t>
      </w:r>
      <w:r>
        <w:rPr>
          <w:rFonts w:eastAsia="Times New Roman"/>
        </w:rPr>
        <w:t xml:space="preserve"> = cálculo analítico independente a partir de </w:t>
      </w:r>
      <w:r>
        <w:rPr>
          <w:rFonts w:ascii="Courier New" w:eastAsia="Courier New" w:hAnsi="Courier New"/>
          <w:sz w:val="22"/>
        </w:rPr>
        <w:t>Q_full</w:t>
      </w:r>
      <w:r>
        <w:rPr>
          <w:rFonts w:eastAsia="Times New Roman"/>
        </w:rPr>
        <w:t xml:space="preserve">;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entra no pré-processamento do modelo principal como feature.</w:t>
      </w:r>
    </w:p>
    <w:p w14:paraId="73269463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  <w:b/>
        </w:rPr>
        <w:t>Pré-processamento de ML</w:t>
      </w:r>
      <w:r>
        <w:rPr>
          <w:rFonts w:eastAsia="Times New Roman"/>
        </w:rPr>
        <w:t xml:space="preserve"> = preparação de </w:t>
      </w:r>
      <w:r>
        <w:rPr>
          <w:rFonts w:ascii="Courier New" w:eastAsia="Courier New" w:hAnsi="Courier New"/>
          <w:sz w:val="22"/>
        </w:rPr>
        <w:t>X_model</w:t>
      </w:r>
      <w:r>
        <w:rPr>
          <w:rFonts w:eastAsia="Times New Roman"/>
        </w:rPr>
        <w:t xml:space="preserve"> para os classificadores (one-hot, multi-hot, ordinais, booleanos).</w:t>
      </w:r>
    </w:p>
    <w:p w14:paraId="2A178A95" w14:textId="77777777" w:rsidR="00E62C65" w:rsidRDefault="00474360">
      <w:pPr>
        <w:pStyle w:val="Ttulo2"/>
      </w:pPr>
      <w:bookmarkStart w:id="41" w:name="_Toc238653821"/>
      <w:r>
        <w:rPr>
          <w:rFonts w:ascii="Times New Roman" w:eastAsia="Times New Roman" w:hAnsi="Times New Roman"/>
        </w:rPr>
        <w:t>4.7 Arquitetura futura aprovada (evolução planejada)</w:t>
      </w:r>
      <w:bookmarkEnd w:id="41"/>
    </w:p>
    <w:p w14:paraId="642C5044" w14:textId="77777777" w:rsidR="00E62C65" w:rsidRDefault="00474360">
      <w:pPr>
        <w:spacing w:after="0" w:line="360" w:lineRule="auto"/>
        <w:ind w:firstLine="709"/>
        <w:jc w:val="both"/>
      </w:pPr>
      <w:r>
        <w:t xml:space="preserve">A arquitetura descrita até aqui corresponde ao </w:t>
      </w:r>
      <w:r>
        <w:rPr>
          <w:b/>
        </w:rPr>
        <w:t>estado atual implementado</w:t>
      </w:r>
      <w:r>
        <w:t xml:space="preserve"> — o módulo de acompanhamento do pré-natal persiste localmente em SQLite, o fluxo DSS utiliza a API apenas para a estimativa experimental (de forma </w:t>
      </w:r>
      <w:r>
        <w:rPr>
          <w:b/>
        </w:rPr>
        <w:t>stateless</w:t>
      </w:r>
      <w:r>
        <w:t xml:space="preserve">), e o backend já conta com </w:t>
      </w:r>
      <w:r>
        <w:rPr>
          <w:b/>
        </w:rPr>
        <w:t>autenticação real</w:t>
      </w:r>
      <w:r>
        <w:t xml:space="preserve"> (seção 4.5), com as tabelas users e auth_refresh_sessions criadas pela </w:t>
      </w:r>
      <w:r>
        <w:rPr>
          <w:b/>
        </w:rPr>
        <w:t>migration 0001</w:t>
      </w:r>
      <w:r>
        <w:t xml:space="preserve">. A seguir apresenta-se a </w:t>
      </w:r>
      <w:r>
        <w:rPr>
          <w:b/>
        </w:rPr>
        <w:t>arquitetura futura aprovada</w:t>
      </w:r>
      <w:r>
        <w:t xml:space="preserve">, </w:t>
      </w:r>
      <w:r>
        <w:rPr>
          <w:b/>
        </w:rPr>
        <w:t>parcialmente implementada</w:t>
      </w:r>
      <w:r>
        <w:t>, que estabelece a direção de evolução do domínio de acompanhamento pré-natal.</w:t>
      </w:r>
    </w:p>
    <w:p w14:paraId="13102E40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Conceitualmente, o domínio evoluirá para as seguintes entidades e relacionamentos:</w:t>
      </w:r>
    </w:p>
    <w:p w14:paraId="6ECB1627" w14:textId="77777777" w:rsidR="00E62C65" w:rsidRDefault="00474360">
      <w:pPr>
        <w:pStyle w:val="CodeBlock"/>
        <w:shd w:val="clear" w:color="auto" w:fill="F2F2F2"/>
      </w:pPr>
      <w:r>
        <w:rPr>
          <w:rFonts w:eastAsia="Courier New"/>
        </w:rPr>
        <w:t>USER 1 ─ 1 GESTANTE</w:t>
      </w:r>
      <w:r>
        <w:rPr>
          <w:rFonts w:eastAsia="Courier New"/>
        </w:rPr>
        <w:br/>
        <w:t>GESTANTE 1 ─ N GESTACAO</w:t>
      </w:r>
      <w:r>
        <w:rPr>
          <w:rFonts w:eastAsia="Courier New"/>
        </w:rPr>
        <w:br/>
        <w:t>GESTANTE 1 ─ 1 HISTORICO_OBSTETRICO</w:t>
      </w:r>
      <w:r>
        <w:rPr>
          <w:rFonts w:eastAsia="Courier New"/>
        </w:rPr>
        <w:br/>
        <w:t>GESTACAO 1 ─ N CONSULTA</w:t>
      </w:r>
      <w:r>
        <w:rPr>
          <w:rFonts w:eastAsia="Courier New"/>
        </w:rPr>
        <w:br/>
        <w:t>GESTACAO 1 ─ N EXAME</w:t>
      </w:r>
      <w:r>
        <w:rPr>
          <w:rFonts w:eastAsia="Courier New"/>
        </w:rPr>
        <w:br/>
        <w:t>GESTACAO 1 ─ N MEDICACAO</w:t>
      </w:r>
      <w:r>
        <w:rPr>
          <w:rFonts w:eastAsia="Courier New"/>
        </w:rPr>
        <w:br/>
        <w:t>GESTACAO 1 ─ N VACINA</w:t>
      </w:r>
      <w:r>
        <w:rPr>
          <w:rFonts w:eastAsia="Courier New"/>
        </w:rPr>
        <w:br/>
        <w:t>GESTACAO 1 ─ 0..1 PLANO_DE_PARTO</w:t>
      </w:r>
      <w:r>
        <w:rPr>
          <w:rFonts w:eastAsia="Courier New"/>
        </w:rPr>
        <w:br/>
        <w:t>GESTACAO 1 ─ N AVALIACAO_DSS</w:t>
      </w:r>
    </w:p>
    <w:p w14:paraId="001DCC42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Nessa arquitetura, USER representa a identidade/autenticação e GESTANTE o perfil pessoal (nome, nome social, data de nascimento, CPF — se utilizado — e Cartão Nacional de Saúde). O histórico obstétrico atual (números agregados de gravidezes, partos e abortos) pertence à GESTANTE e não representa uma gestação anterior individual, sendo modelado </w:t>
      </w:r>
      <w:r>
        <w:rPr>
          <w:rFonts w:eastAsia="Times New Roman"/>
        </w:rPr>
        <w:lastRenderedPageBreak/>
        <w:t>como HISTORICO_OBSTETRICO. Cada GESTACAO possui identidade própria, e as entidades do pré-natal (consultas, exames, medicamentos, vacinas, plano de parto e avaliação DSS) ficam associadas à gestação.</w:t>
      </w:r>
    </w:p>
    <w:p w14:paraId="1231BDA5" w14:textId="77777777" w:rsidR="00E62C65" w:rsidRDefault="00474360">
      <w:pPr>
        <w:spacing w:after="0" w:line="360" w:lineRule="auto"/>
        <w:ind w:firstLine="709"/>
        <w:jc w:val="both"/>
      </w:pPr>
      <w:r>
        <w:t>A persistência futura aprovada prevê PostgreSQL como banco, SQLAlchemy 2.x como camada ORM e Alembic para migrações versionadas, com integridade referencial formal (chaves estrangeiras), timestamps e identificadores UUID v4 para as novas entidades persistentes. A infraestrutura de persistência correspondente já foi implementada e validada — PostgreSQL 16, SQLAlchemy 2.x em modo síncrono e Alembic configurado (seções 4.1 e 5.9); permanecem futuras as entidades de domínio do acompanhamento (GESTANTE, GESTAÇÃO</w:t>
      </w:r>
      <w:r>
        <w:t xml:space="preserve"> e demais), as migrations dessas entidades e o CRUD do acompanhamento. A autenticação (USER e AUTH_REFRESH_SESSION) já foi implementada (seções 4.5 e 5.9). A adoção do modo síncrono decorreu da adequação às características desta solução — endpoints síncronos, ausência de demanda concreta por I/O concorrente intenso, menor complexidade de implementação e maior simplicidade em transações, testes e manutenção — sem que isso constitua juízo de que a abordagem assíncrona seja inferior em geral. O CPF, quando uti</w:t>
      </w:r>
      <w:r>
        <w:t>lizado, pertence ao perfil da gestante e não é chave primária nem credencial de login automática.</w:t>
      </w:r>
    </w:p>
    <w:p w14:paraId="1945293A" w14:textId="77777777" w:rsidR="00E62C65" w:rsidRDefault="00474360">
      <w:pPr>
        <w:spacing w:after="0" w:line="360" w:lineRule="auto"/>
        <w:ind w:firstLine="709"/>
        <w:jc w:val="both"/>
      </w:pPr>
      <w:r>
        <w:t xml:space="preserve">A API/backend passará a ser a </w:t>
      </w:r>
      <w:r>
        <w:rPr>
          <w:b/>
        </w:rPr>
        <w:t>fonte de verdade</w:t>
      </w:r>
      <w:r>
        <w:t xml:space="preserve"> do acompanhamento pré-natal, com </w:t>
      </w:r>
      <w:r>
        <w:rPr>
          <w:b/>
        </w:rPr>
        <w:t>autorização por ownership</w:t>
      </w:r>
      <w:r>
        <w:t xml:space="preserve"> aplicada pelo caminho USER → GESTANTE → GESTACAO → recurso, para impedir o acesso a registros de outra usuária — sobre a </w:t>
      </w:r>
      <w:r>
        <w:rPr>
          <w:b/>
        </w:rPr>
        <w:t>autenticação já implementada</w:t>
      </w:r>
      <w:r>
        <w:t xml:space="preserve"> (seção 4.5). Distinguem-se, assim, </w:t>
      </w:r>
      <w:r>
        <w:rPr>
          <w:b/>
        </w:rPr>
        <w:t>autenticação</w:t>
      </w:r>
      <w:r>
        <w:t xml:space="preserve"> ("quem é a usuária") — </w:t>
      </w:r>
      <w:r>
        <w:rPr>
          <w:b/>
        </w:rPr>
        <w:t>já implementada</w:t>
      </w:r>
      <w:r>
        <w:t xml:space="preserve"> no backend — de </w:t>
      </w:r>
      <w:r>
        <w:rPr>
          <w:b/>
        </w:rPr>
        <w:t>autorização</w:t>
      </w:r>
      <w:r>
        <w:t xml:space="preserve"> ("quais registros ela pode acessar"), que depende do domínio GESTANTE/GESTACAO e permanece </w:t>
      </w:r>
      <w:r>
        <w:rPr>
          <w:b/>
        </w:rPr>
        <w:t>futura</w:t>
      </w:r>
      <w:r>
        <w:t xml:space="preserve">; trata-se de </w:t>
      </w:r>
      <w:r>
        <w:rPr>
          <w:b/>
        </w:rPr>
        <w:t>controle de propriedade/autorização</w:t>
      </w:r>
      <w:r>
        <w:t xml:space="preserve">, e </w:t>
      </w:r>
      <w:r>
        <w:rPr>
          <w:b/>
        </w:rPr>
        <w:t>não</w:t>
      </w:r>
      <w:r>
        <w:t xml:space="preserve"> de "multi-tenancy</w:t>
      </w:r>
      <w:r>
        <w:t>".</w:t>
      </w:r>
    </w:p>
    <w:p w14:paraId="0D4B6674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A transição do SQLite para a API será incremental, feature por feature: cada recurso migra da implementação local para a implementação REST, validado de ponta a ponta, e só então a API passa a ser a fonte de verdade daquela feature. Não haverá, nesta etapa, migração automática dos registros SQLite existentes, nem offline-first, sincronização ou cache distribuído; essas capacidades poderão ser avaliadas apenas posteriormente.</w:t>
      </w:r>
    </w:p>
    <w:p w14:paraId="20A627A5" w14:textId="77777777" w:rsidR="00E62C65" w:rsidRDefault="00474360">
      <w:pPr>
        <w:pStyle w:val="EditorialStatus"/>
      </w:pPr>
      <w:r>
        <w:rPr>
          <w:b/>
        </w:rPr>
        <w:t>Parcialmente implementado.</w:t>
      </w:r>
      <w:r>
        <w:t xml:space="preserve"> Esta subseção registra uma arquitetura </w:t>
      </w:r>
      <w:r>
        <w:rPr>
          <w:b/>
        </w:rPr>
        <w:t>aprovada</w:t>
      </w:r>
      <w:r>
        <w:t xml:space="preserve">, da qual a </w:t>
      </w:r>
      <w:r>
        <w:rPr>
          <w:b/>
        </w:rPr>
        <w:t>autenticação</w:t>
      </w:r>
      <w:r>
        <w:t xml:space="preserve"> (USER e AUTH_REFRESH_SESSION) já foi </w:t>
      </w:r>
      <w:r>
        <w:rPr>
          <w:b/>
        </w:rPr>
        <w:t>implementada e validada</w:t>
      </w:r>
      <w:r>
        <w:t xml:space="preserve"> no backend (seções 4.5 e 5.9); as demais entidades de domínio (GESTANTE, GESTAÇÃO e recursos do acompanhamento) permanecem </w:t>
      </w:r>
      <w:r>
        <w:rPr>
          <w:b/>
        </w:rPr>
        <w:t>planejadas</w:t>
      </w:r>
      <w:r>
        <w:t xml:space="preserve">, e </w:t>
      </w:r>
      <w:r>
        <w:rPr>
          <w:b/>
        </w:rPr>
        <w:t>não</w:t>
      </w:r>
      <w:r>
        <w:t xml:space="preserve"> devem ser lidas como resultado de implementação. O fluxo DSS (POST /api/v1/risk-estimate) permanece inalterado: stateless, sem autenticação e sem persistência operacional.</w:t>
      </w:r>
    </w:p>
    <w:p w14:paraId="214BB71F" w14:textId="77777777" w:rsidR="00E62C65" w:rsidRDefault="00474360">
      <w:r>
        <w:br w:type="page"/>
      </w:r>
    </w:p>
    <w:p w14:paraId="70BCE591" w14:textId="77777777" w:rsidR="00E62C65" w:rsidRDefault="00474360">
      <w:pPr>
        <w:pStyle w:val="Ttulo1"/>
        <w:spacing w:before="0"/>
      </w:pPr>
      <w:bookmarkStart w:id="42" w:name="_Toc238653822"/>
      <w:r>
        <w:rPr>
          <w:rFonts w:ascii="Times New Roman" w:eastAsia="Times New Roman" w:hAnsi="Times New Roman"/>
        </w:rPr>
        <w:lastRenderedPageBreak/>
        <w:t>5 RESULTADOS E DISCUSSÃO</w:t>
      </w:r>
      <w:bookmarkEnd w:id="42"/>
    </w:p>
    <w:p w14:paraId="19BFEC8E" w14:textId="77777777" w:rsidR="00E62C65" w:rsidRDefault="00474360">
      <w:pPr>
        <w:pStyle w:val="EditorialStatus"/>
      </w:pPr>
      <w:r>
        <w:rPr>
          <w:rFonts w:eastAsia="Times New Roman"/>
        </w:rPr>
        <w:t>STATUS EDITORIAL — resultados experimentais e de integração atuais incorporados. A interpretação científica será aprofundada com a bibliografia já validada antes do congelamento do capítulo.</w:t>
      </w:r>
    </w:p>
    <w:p w14:paraId="72E2C73E" w14:textId="77777777" w:rsidR="00E62C65" w:rsidRDefault="00474360">
      <w:pPr>
        <w:pStyle w:val="Ttulo2"/>
      </w:pPr>
      <w:bookmarkStart w:id="43" w:name="_Toc238653823"/>
      <w:r>
        <w:rPr>
          <w:rFonts w:ascii="Times New Roman" w:eastAsia="Times New Roman" w:hAnsi="Times New Roman"/>
        </w:rPr>
        <w:t>5.1 Conjunto sintético e protocolo</w:t>
      </w:r>
      <w:bookmarkEnd w:id="43"/>
    </w:p>
    <w:p w14:paraId="0102968E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experimento utilizou um dataset sintético de </w:t>
      </w:r>
      <w:r>
        <w:rPr>
          <w:rFonts w:eastAsia="Times New Roman"/>
          <w:b/>
        </w:rPr>
        <w:t>5.000 registros</w:t>
      </w:r>
      <w:r>
        <w:rPr>
          <w:rFonts w:eastAsia="Times New Roman"/>
        </w:rPr>
        <w:t xml:space="preserve"> (seed fixa </w:t>
      </w:r>
      <w:r>
        <w:rPr>
          <w:rFonts w:ascii="Courier New" w:eastAsia="Courier New" w:hAnsi="Courier New"/>
          <w:sz w:val="22"/>
        </w:rPr>
        <w:t>42</w:t>
      </w:r>
      <w:r>
        <w:rPr>
          <w:rFonts w:eastAsia="Times New Roman"/>
        </w:rPr>
        <w:t xml:space="preserve">), com proporção sintética planejada de ~25% de casos positivos. A divisão estratificada resultou em </w:t>
      </w:r>
      <w:r>
        <w:rPr>
          <w:rFonts w:eastAsia="Times New Roman"/>
          <w:b/>
        </w:rPr>
        <w:t>4.000 registros de treino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1.000 de teste</w:t>
      </w:r>
      <w:r>
        <w:rPr>
          <w:rFonts w:eastAsia="Times New Roman"/>
        </w:rPr>
        <w:t xml:space="preserve">, com razão de positivos preservada (~24,4%). O pré-processamento transformou as </w:t>
      </w:r>
      <w:r>
        <w:rPr>
          <w:rFonts w:eastAsia="Times New Roman"/>
          <w:b/>
        </w:rPr>
        <w:t>34 variáveis brutas</w:t>
      </w:r>
      <w:r>
        <w:rPr>
          <w:rFonts w:eastAsia="Times New Roman"/>
        </w:rPr>
        <w:t xml:space="preserve"> de </w:t>
      </w:r>
      <w:r>
        <w:rPr>
          <w:rFonts w:ascii="Courier New" w:eastAsia="Courier New" w:hAnsi="Courier New"/>
          <w:sz w:val="22"/>
        </w:rPr>
        <w:t>X_model</w:t>
      </w:r>
      <w:r>
        <w:rPr>
          <w:rFonts w:eastAsia="Times New Roman"/>
        </w:rPr>
        <w:t xml:space="preserve"> em </w:t>
      </w:r>
      <w:r>
        <w:rPr>
          <w:rFonts w:eastAsia="Times New Roman"/>
          <w:b/>
        </w:rPr>
        <w:t>96 features</w:t>
      </w:r>
      <w:r>
        <w:rPr>
          <w:rFonts w:eastAsia="Times New Roman"/>
        </w:rPr>
        <w:t xml:space="preserve"> numéricas.</w:t>
      </w:r>
    </w:p>
    <w:p w14:paraId="5B5670F8" w14:textId="77777777" w:rsidR="00E62C65" w:rsidRDefault="00474360">
      <w:pPr>
        <w:pStyle w:val="Ttulo2"/>
      </w:pPr>
      <w:bookmarkStart w:id="44" w:name="_Toc238653824"/>
      <w:r>
        <w:rPr>
          <w:rFonts w:ascii="Times New Roman" w:eastAsia="Times New Roman" w:hAnsi="Times New Roman"/>
        </w:rPr>
        <w:t>5.2 Comparação e seleção de modelos</w:t>
      </w:r>
      <w:bookmarkEnd w:id="44"/>
    </w:p>
    <w:p w14:paraId="1E38BA75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Três modelos foram comparados por validação cruzada 5-fold (folds congelados, somente sobre o treino), tendo como métrica primária a </w:t>
      </w:r>
      <w:r>
        <w:rPr>
          <w:rFonts w:eastAsia="Times New Roman"/>
          <w:b/>
        </w:rPr>
        <w:t>PR-AUC média</w:t>
      </w:r>
      <w:r>
        <w:rPr>
          <w:rFonts w:eastAsia="Times New Roman"/>
        </w:rPr>
        <w:t>:</w:t>
      </w:r>
    </w:p>
    <w:p w14:paraId="0155C9B6" w14:textId="77777777" w:rsidR="00E62C65" w:rsidRDefault="00474360">
      <w:pPr>
        <w:keepNext/>
      </w:pPr>
      <w:r>
        <w:rPr>
          <w:b/>
          <w:sz w:val="20"/>
          <w:szCs w:val="20"/>
        </w:rPr>
        <w:t>Tabela 1 – Comparação dos modelos na validação cruzada</w:t>
      </w:r>
    </w:p>
    <w:tbl>
      <w:tblPr>
        <w:tblStyle w:val="Tabelacomgrade"/>
        <w:tblW w:w="90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62C65" w14:paraId="0A094DCD" w14:textId="77777777">
        <w:trPr>
          <w:tblHeader/>
          <w:jc w:val="center"/>
        </w:trPr>
        <w:tc>
          <w:tcPr>
            <w:tcW w:w="3024" w:type="dxa"/>
            <w:shd w:val="clear" w:color="auto" w:fill="E7E6E6"/>
            <w:vAlign w:val="center"/>
          </w:tcPr>
          <w:p w14:paraId="53280F3A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Modelo</w:t>
            </w:r>
          </w:p>
        </w:tc>
        <w:tc>
          <w:tcPr>
            <w:tcW w:w="3024" w:type="dxa"/>
            <w:shd w:val="clear" w:color="auto" w:fill="E7E6E6"/>
            <w:vAlign w:val="center"/>
          </w:tcPr>
          <w:p w14:paraId="42DD022E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PR-AUC média (CV)</w:t>
            </w:r>
          </w:p>
        </w:tc>
        <w:tc>
          <w:tcPr>
            <w:tcW w:w="3024" w:type="dxa"/>
            <w:shd w:val="clear" w:color="auto" w:fill="E7E6E6"/>
            <w:vAlign w:val="center"/>
          </w:tcPr>
          <w:p w14:paraId="33A98969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ROC-AUC média (CV)</w:t>
            </w:r>
          </w:p>
        </w:tc>
      </w:tr>
      <w:tr w:rsidR="00E62C65" w14:paraId="047EE97E" w14:textId="77777777">
        <w:trPr>
          <w:jc w:val="center"/>
        </w:trPr>
        <w:tc>
          <w:tcPr>
            <w:tcW w:w="3024" w:type="dxa"/>
            <w:vAlign w:val="center"/>
          </w:tcPr>
          <w:p w14:paraId="21FA5DFB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Regressão logística</w:t>
            </w:r>
          </w:p>
        </w:tc>
        <w:tc>
          <w:tcPr>
            <w:tcW w:w="3024" w:type="dxa"/>
            <w:vAlign w:val="center"/>
          </w:tcPr>
          <w:p w14:paraId="1CF43BFB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0,3370</w:t>
            </w:r>
          </w:p>
        </w:tc>
        <w:tc>
          <w:tcPr>
            <w:tcW w:w="3024" w:type="dxa"/>
            <w:vAlign w:val="center"/>
          </w:tcPr>
          <w:p w14:paraId="60ADBED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0,6087</w:t>
            </w:r>
          </w:p>
        </w:tc>
      </w:tr>
      <w:tr w:rsidR="00E62C65" w14:paraId="086FA07F" w14:textId="77777777">
        <w:trPr>
          <w:jc w:val="center"/>
        </w:trPr>
        <w:tc>
          <w:tcPr>
            <w:tcW w:w="3024" w:type="dxa"/>
            <w:vAlign w:val="center"/>
          </w:tcPr>
          <w:p w14:paraId="13D040C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Random Forest</w:t>
            </w:r>
          </w:p>
        </w:tc>
        <w:tc>
          <w:tcPr>
            <w:tcW w:w="3024" w:type="dxa"/>
            <w:vAlign w:val="center"/>
          </w:tcPr>
          <w:p w14:paraId="37518FAC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0,3508</w:t>
            </w:r>
          </w:p>
        </w:tc>
        <w:tc>
          <w:tcPr>
            <w:tcW w:w="3024" w:type="dxa"/>
            <w:vAlign w:val="center"/>
          </w:tcPr>
          <w:p w14:paraId="4F01859C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0,6098</w:t>
            </w:r>
          </w:p>
        </w:tc>
      </w:tr>
      <w:tr w:rsidR="00E62C65" w14:paraId="1E5278F8" w14:textId="77777777">
        <w:trPr>
          <w:jc w:val="center"/>
        </w:trPr>
        <w:tc>
          <w:tcPr>
            <w:tcW w:w="3024" w:type="dxa"/>
            <w:vAlign w:val="center"/>
          </w:tcPr>
          <w:p w14:paraId="3D6CCE0D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XGBoost</w:t>
            </w:r>
          </w:p>
        </w:tc>
        <w:tc>
          <w:tcPr>
            <w:tcW w:w="3024" w:type="dxa"/>
            <w:vAlign w:val="center"/>
          </w:tcPr>
          <w:p w14:paraId="12299F1E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0,3346</w:t>
            </w:r>
          </w:p>
        </w:tc>
        <w:tc>
          <w:tcPr>
            <w:tcW w:w="3024" w:type="dxa"/>
            <w:vAlign w:val="center"/>
          </w:tcPr>
          <w:p w14:paraId="61CA05EE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0,6054</w:t>
            </w:r>
          </w:p>
        </w:tc>
      </w:tr>
    </w:tbl>
    <w:p w14:paraId="5CF77F15" w14:textId="77777777" w:rsidR="00E62C65" w:rsidRDefault="00474360">
      <w:pPr>
        <w:spacing w:before="40" w:after="120"/>
      </w:pPr>
      <w:r>
        <w:rPr>
          <w:rFonts w:eastAsia="Times New Roman"/>
          <w:sz w:val="18"/>
        </w:rPr>
        <w:t>Fonte: elaboração própria (2026), a partir dos artefatos técnicos do projeto.</w:t>
      </w:r>
    </w:p>
    <w:p w14:paraId="1DD3434A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</w:t>
      </w:r>
      <w:r>
        <w:rPr>
          <w:rFonts w:eastAsia="Times New Roman"/>
          <w:b/>
        </w:rPr>
        <w:t>Random Forest</w:t>
      </w:r>
      <w:r>
        <w:rPr>
          <w:rFonts w:eastAsia="Times New Roman"/>
        </w:rPr>
        <w:t xml:space="preserve"> foi selecionado por apresentar a maior PR-AUC média, sem empate numérico no critério de desempate (recall → F1). Esse é o </w:t>
      </w:r>
      <w:r>
        <w:rPr>
          <w:rFonts w:eastAsia="Times New Roman"/>
          <w:b/>
        </w:rPr>
        <w:t>modelo selecionado para o experimento técnico</w:t>
      </w:r>
      <w:r>
        <w:rPr>
          <w:rFonts w:eastAsia="Times New Roman"/>
        </w:rPr>
        <w:t xml:space="preserve"> realizado sobre dados sintéticos — não um modelo validado clinicamente, nem superior para a população real, nem uma ferramenta diagnóstica.</w:t>
      </w:r>
    </w:p>
    <w:p w14:paraId="4CC92E9F" w14:textId="77777777" w:rsidR="00E62C65" w:rsidRDefault="00474360">
      <w:pPr>
        <w:pStyle w:val="Ttulo2"/>
      </w:pPr>
      <w:bookmarkStart w:id="45" w:name="_Toc238653825"/>
      <w:r>
        <w:rPr>
          <w:rFonts w:ascii="Times New Roman" w:eastAsia="Times New Roman" w:hAnsi="Times New Roman"/>
        </w:rPr>
        <w:t>5.3 Desempenho do modelo selecionado (hold-out)</w:t>
      </w:r>
      <w:bookmarkEnd w:id="45"/>
    </w:p>
    <w:p w14:paraId="5D0E6134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modelo selecionado foi avaliado </w:t>
      </w:r>
      <w:r>
        <w:rPr>
          <w:rFonts w:eastAsia="Times New Roman"/>
          <w:b/>
        </w:rPr>
        <w:t>uma única vez</w:t>
      </w:r>
      <w:r>
        <w:rPr>
          <w:rFonts w:eastAsia="Times New Roman"/>
        </w:rPr>
        <w:t xml:space="preserve"> no conjunto de teste (1.000 registros), após a seleção. Resultados históricos:</w:t>
      </w:r>
    </w:p>
    <w:p w14:paraId="0BB3E0C2" w14:textId="77777777" w:rsidR="00E62C65" w:rsidRDefault="00474360">
      <w:pPr>
        <w:keepNext/>
      </w:pPr>
      <w:r>
        <w:rPr>
          <w:b/>
          <w:sz w:val="20"/>
          <w:szCs w:val="20"/>
        </w:rPr>
        <w:t>Tabela 2 – Desempenho do modelo selecionado no conjunto hold-out</w:t>
      </w:r>
    </w:p>
    <w:tbl>
      <w:tblPr>
        <w:tblStyle w:val="Tabelacomgrade"/>
        <w:tblW w:w="9070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4"/>
      </w:tblGrid>
      <w:tr w:rsidR="00E62C65" w14:paraId="3F4BA99E" w14:textId="77777777">
        <w:trPr>
          <w:tblHeader/>
          <w:jc w:val="center"/>
        </w:trPr>
        <w:tc>
          <w:tcPr>
            <w:tcW w:w="4535" w:type="dxa"/>
            <w:shd w:val="clear" w:color="auto" w:fill="E7E6E6"/>
            <w:vAlign w:val="center"/>
          </w:tcPr>
          <w:p w14:paraId="0EC2364A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Métrica</w:t>
            </w:r>
          </w:p>
        </w:tc>
        <w:tc>
          <w:tcPr>
            <w:tcW w:w="4534" w:type="dxa"/>
            <w:shd w:val="clear" w:color="auto" w:fill="E7E6E6"/>
            <w:vAlign w:val="center"/>
          </w:tcPr>
          <w:p w14:paraId="4BA9771E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Valor</w:t>
            </w:r>
          </w:p>
        </w:tc>
      </w:tr>
      <w:tr w:rsidR="00E62C65" w14:paraId="01E54181" w14:textId="77777777">
        <w:trPr>
          <w:jc w:val="center"/>
        </w:trPr>
        <w:tc>
          <w:tcPr>
            <w:tcW w:w="4535" w:type="dxa"/>
            <w:vAlign w:val="center"/>
          </w:tcPr>
          <w:p w14:paraId="54B6E59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ROC-AUC</w:t>
            </w:r>
          </w:p>
        </w:tc>
        <w:tc>
          <w:tcPr>
            <w:tcW w:w="4534" w:type="dxa"/>
            <w:vAlign w:val="center"/>
          </w:tcPr>
          <w:p w14:paraId="0791DD59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≈ 0,6174</w:t>
            </w:r>
          </w:p>
        </w:tc>
      </w:tr>
      <w:tr w:rsidR="00E62C65" w14:paraId="031A49D0" w14:textId="77777777">
        <w:trPr>
          <w:jc w:val="center"/>
        </w:trPr>
        <w:tc>
          <w:tcPr>
            <w:tcW w:w="4535" w:type="dxa"/>
            <w:vAlign w:val="center"/>
          </w:tcPr>
          <w:p w14:paraId="530E9EBF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PR-AUC</w:t>
            </w:r>
          </w:p>
        </w:tc>
        <w:tc>
          <w:tcPr>
            <w:tcW w:w="4534" w:type="dxa"/>
            <w:vAlign w:val="center"/>
          </w:tcPr>
          <w:p w14:paraId="72ECD7A8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≈ 0,3356</w:t>
            </w:r>
          </w:p>
        </w:tc>
      </w:tr>
      <w:tr w:rsidR="00E62C65" w14:paraId="0CD63009" w14:textId="77777777">
        <w:trPr>
          <w:jc w:val="center"/>
        </w:trPr>
        <w:tc>
          <w:tcPr>
            <w:tcW w:w="4535" w:type="dxa"/>
            <w:vAlign w:val="center"/>
          </w:tcPr>
          <w:p w14:paraId="228E54C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Brier Score</w:t>
            </w:r>
          </w:p>
        </w:tc>
        <w:tc>
          <w:tcPr>
            <w:tcW w:w="4534" w:type="dxa"/>
            <w:vAlign w:val="center"/>
          </w:tcPr>
          <w:p w14:paraId="49563FB0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≈ 0,1787</w:t>
            </w:r>
          </w:p>
        </w:tc>
      </w:tr>
    </w:tbl>
    <w:p w14:paraId="0FFD8EBB" w14:textId="77777777" w:rsidR="00E62C65" w:rsidRDefault="00474360">
      <w:pPr>
        <w:spacing w:before="40" w:after="120"/>
      </w:pPr>
      <w:r>
        <w:rPr>
          <w:rFonts w:eastAsia="Times New Roman"/>
          <w:sz w:val="18"/>
        </w:rPr>
        <w:t>Fonte: elaboração própria (2026), a partir dos artefatos técnicos do projeto.</w:t>
      </w:r>
    </w:p>
    <w:p w14:paraId="0D595E06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No limiar de decisão 0,5, a matriz de confusão foi:</w:t>
      </w:r>
    </w:p>
    <w:p w14:paraId="3878C799" w14:textId="77777777" w:rsidR="00E62C65" w:rsidRDefault="00474360">
      <w:pPr>
        <w:keepNext/>
      </w:pPr>
      <w:r>
        <w:rPr>
          <w:b/>
          <w:sz w:val="20"/>
          <w:szCs w:val="20"/>
        </w:rPr>
        <w:lastRenderedPageBreak/>
        <w:t>Tabela 3 – Matriz de confusão no limiar de referência 0,5</w:t>
      </w:r>
    </w:p>
    <w:tbl>
      <w:tblPr>
        <w:tblStyle w:val="Tabelacomgrade"/>
        <w:tblW w:w="90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62C65" w14:paraId="179E8BF8" w14:textId="77777777">
        <w:trPr>
          <w:tblHeader/>
          <w:jc w:val="center"/>
        </w:trPr>
        <w:tc>
          <w:tcPr>
            <w:tcW w:w="3024" w:type="dxa"/>
            <w:shd w:val="clear" w:color="auto" w:fill="E7E6E6"/>
            <w:vAlign w:val="center"/>
          </w:tcPr>
          <w:p w14:paraId="0C8E13FF" w14:textId="77777777" w:rsidR="00E62C65" w:rsidRDefault="00E62C65">
            <w:pPr>
              <w:spacing w:after="0" w:line="240" w:lineRule="auto"/>
              <w:jc w:val="center"/>
              <w:rPr>
                <w:rFonts w:eastAsia="MS Mincho"/>
              </w:rPr>
            </w:pPr>
          </w:p>
        </w:tc>
        <w:tc>
          <w:tcPr>
            <w:tcW w:w="3024" w:type="dxa"/>
            <w:shd w:val="clear" w:color="auto" w:fill="E7E6E6"/>
            <w:vAlign w:val="center"/>
          </w:tcPr>
          <w:p w14:paraId="41A1E831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Predito negativo</w:t>
            </w:r>
          </w:p>
        </w:tc>
        <w:tc>
          <w:tcPr>
            <w:tcW w:w="3024" w:type="dxa"/>
            <w:shd w:val="clear" w:color="auto" w:fill="E7E6E6"/>
            <w:vAlign w:val="center"/>
          </w:tcPr>
          <w:p w14:paraId="7B556F5F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Predito positivo</w:t>
            </w:r>
          </w:p>
        </w:tc>
      </w:tr>
      <w:tr w:rsidR="00E62C65" w14:paraId="66DC83DA" w14:textId="77777777">
        <w:trPr>
          <w:jc w:val="center"/>
        </w:trPr>
        <w:tc>
          <w:tcPr>
            <w:tcW w:w="3024" w:type="dxa"/>
            <w:vAlign w:val="center"/>
          </w:tcPr>
          <w:p w14:paraId="386C77B2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Real negativo</w:t>
            </w:r>
          </w:p>
        </w:tc>
        <w:tc>
          <w:tcPr>
            <w:tcW w:w="3024" w:type="dxa"/>
            <w:vAlign w:val="center"/>
          </w:tcPr>
          <w:p w14:paraId="3438AFE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755 (TN)</w:t>
            </w:r>
          </w:p>
        </w:tc>
        <w:tc>
          <w:tcPr>
            <w:tcW w:w="3024" w:type="dxa"/>
            <w:vAlign w:val="center"/>
          </w:tcPr>
          <w:p w14:paraId="7DC0C1EC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1 (FP)</w:t>
            </w:r>
          </w:p>
        </w:tc>
      </w:tr>
      <w:tr w:rsidR="00E62C65" w14:paraId="4127F9F4" w14:textId="77777777">
        <w:trPr>
          <w:jc w:val="center"/>
        </w:trPr>
        <w:tc>
          <w:tcPr>
            <w:tcW w:w="3024" w:type="dxa"/>
            <w:vAlign w:val="center"/>
          </w:tcPr>
          <w:p w14:paraId="34BB2B9F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Real positivo</w:t>
            </w:r>
          </w:p>
        </w:tc>
        <w:tc>
          <w:tcPr>
            <w:tcW w:w="3024" w:type="dxa"/>
            <w:vAlign w:val="center"/>
          </w:tcPr>
          <w:p w14:paraId="0B853C0C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244 (FN)</w:t>
            </w:r>
          </w:p>
        </w:tc>
        <w:tc>
          <w:tcPr>
            <w:tcW w:w="3024" w:type="dxa"/>
            <w:vAlign w:val="center"/>
          </w:tcPr>
          <w:p w14:paraId="115D3E34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0 (TP)</w:t>
            </w:r>
          </w:p>
        </w:tc>
      </w:tr>
    </w:tbl>
    <w:p w14:paraId="35ACCDCC" w14:textId="77777777" w:rsidR="00E62C65" w:rsidRDefault="00474360">
      <w:pPr>
        <w:spacing w:before="40" w:after="120"/>
      </w:pPr>
      <w:r>
        <w:rPr>
          <w:rFonts w:eastAsia="Times New Roman"/>
          <w:sz w:val="18"/>
        </w:rPr>
        <w:t>Fonte: elaboração própria (2026), a partir dos artefatos técnicos do projeto.</w:t>
      </w:r>
    </w:p>
    <w:p w14:paraId="415FE1E0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Ou seja, </w:t>
      </w:r>
      <w:r>
        <w:rPr>
          <w:rFonts w:eastAsia="Times New Roman"/>
          <w:b/>
        </w:rPr>
        <w:t xml:space="preserve">no </w:t>
      </w:r>
      <w:r>
        <w:rPr>
          <w:rFonts w:eastAsia="Times New Roman"/>
          <w:b/>
        </w:rPr>
        <w:t>threshold 0,5 houve recall zero para a classe positiva</w:t>
      </w:r>
      <w:r>
        <w:rPr>
          <w:rFonts w:eastAsia="Times New Roman"/>
        </w:rPr>
        <w:t xml:space="preserve">: nenhum dos 244 casos positivos do teste foi classificado como positivo. Esse resultado é apresentado de forma explícita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deve ser interpretado como desempenho clínico. A AUC modesta, o recall zero no limiar 0,5 e a natureza sintética dos dados impedem qualquer leitura de "bom desempenho" ou "capacidade preditiva validada".</w:t>
      </w:r>
    </w:p>
    <w:p w14:paraId="16693541" w14:textId="77777777" w:rsidR="00E62C65" w:rsidRDefault="00474360">
      <w:pPr>
        <w:pStyle w:val="EditorialStatus"/>
      </w:pPr>
      <w:r>
        <w:rPr>
          <w:rFonts w:eastAsia="Times New Roman"/>
          <w:b/>
        </w:rPr>
        <w:t>O threshold 0,5 não foi adotado operacionalmente.</w:t>
      </w:r>
      <w:r>
        <w:rPr>
          <w:rFonts w:eastAsia="Times New Roman"/>
        </w:rPr>
        <w:t xml:space="preserve"> O aplicativo </w:t>
      </w:r>
      <w:r>
        <w:rPr>
          <w:rFonts w:eastAsia="Times New Roman"/>
          <w:b/>
        </w:rPr>
        <w:t>não</w:t>
      </w:r>
    </w:p>
    <w:p w14:paraId="5D2CC126" w14:textId="77777777" w:rsidR="00E62C65" w:rsidRDefault="00474360">
      <w:pPr>
        <w:pStyle w:val="EditorialStatus"/>
      </w:pPr>
      <w:r>
        <w:rPr>
          <w:rFonts w:eastAsia="Times New Roman"/>
        </w:rPr>
        <w:t>retorna classe, faixa de risco ou previsão de abandono; retorna somente a</w:t>
      </w:r>
    </w:p>
    <w:p w14:paraId="18FAB409" w14:textId="77777777" w:rsidR="00E62C65" w:rsidRDefault="00474360">
      <w:pPr>
        <w:pStyle w:val="EditorialStatus"/>
      </w:pPr>
      <w:r>
        <w:rPr>
          <w:rFonts w:eastAsia="Times New Roman"/>
          <w:b/>
        </w:rPr>
        <w:t>probabilidade</w:t>
      </w:r>
      <w:r>
        <w:rPr>
          <w:rFonts w:eastAsia="Times New Roman"/>
        </w:rPr>
        <w:t>.</w:t>
      </w:r>
    </w:p>
    <w:p w14:paraId="64D97FF4" w14:textId="77777777" w:rsidR="00E62C65" w:rsidRDefault="00474360">
      <w:pPr>
        <w:pStyle w:val="Ttulo2"/>
      </w:pPr>
      <w:bookmarkStart w:id="46" w:name="_Toc238653826"/>
      <w:r>
        <w:rPr>
          <w:rFonts w:ascii="Times New Roman" w:eastAsia="Times New Roman" w:hAnsi="Times New Roman"/>
        </w:rPr>
        <w:t>5.4 Análise de threshold</w:t>
      </w:r>
      <w:bookmarkEnd w:id="46"/>
    </w:p>
    <w:p w14:paraId="070EA6C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Foi realizada uma análise exploratória de sensibilidade a diferentes limiares de decisão (grade de 0,05 a 0,5), sobre as probabilidades out-of-fold do treino. As probabilidades preditas concentraram-se em uma faixa restrita (aproximadamente 0,05 a 0,54, média ≈ 0,25), consistente com a baixa separação entre classes já evidenciada pelas AUCs. </w:t>
      </w:r>
      <w:r>
        <w:rPr>
          <w:rFonts w:eastAsia="Times New Roman"/>
          <w:b/>
        </w:rPr>
        <w:t>Nenhum threshold foi adotado operacionalmente</w:t>
      </w:r>
      <w:r>
        <w:rPr>
          <w:rFonts w:eastAsia="Times New Roman"/>
        </w:rPr>
        <w:t>; a análise serve apenas para caracterizar o comportamento do modelo.</w:t>
      </w:r>
    </w:p>
    <w:p w14:paraId="58220DA4" w14:textId="77777777" w:rsidR="00E62C65" w:rsidRDefault="00474360">
      <w:pPr>
        <w:pStyle w:val="Ttulo2"/>
      </w:pPr>
      <w:bookmarkStart w:id="47" w:name="_Toc238653827"/>
      <w:r>
        <w:rPr>
          <w:rFonts w:ascii="Times New Roman" w:eastAsia="Times New Roman" w:hAnsi="Times New Roman"/>
        </w:rPr>
        <w:t>5.5 Calibração e estabilidade</w:t>
      </w:r>
      <w:bookmarkEnd w:id="47"/>
    </w:p>
    <w:p w14:paraId="2D72407E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calibração do modelo foi avaliada por três indicadores complementares, todos sobre as previsões out-of-fold do treino: (i) o </w:t>
      </w:r>
      <w:r>
        <w:rPr>
          <w:rFonts w:eastAsia="Times New Roman"/>
          <w:b/>
        </w:rPr>
        <w:t>Brier score</w:t>
      </w:r>
      <w:r>
        <w:rPr>
          <w:rFonts w:eastAsia="Times New Roman"/>
        </w:rPr>
        <w:t xml:space="preserve">; (ii) a </w:t>
      </w:r>
      <w:r>
        <w:rPr>
          <w:rFonts w:eastAsia="Times New Roman"/>
          <w:b/>
        </w:rPr>
        <w:t>calibração em escala ampla</w:t>
      </w:r>
      <w:r>
        <w:rPr>
          <w:rFonts w:eastAsia="Times New Roman"/>
        </w:rPr>
        <w:t xml:space="preserve"> (calibration-in-the-large), comparando a probabilidade média predita com a taxa observada de positivos; e (iii) a </w:t>
      </w:r>
      <w:r>
        <w:rPr>
          <w:rFonts w:eastAsia="Times New Roman"/>
          <w:b/>
        </w:rPr>
        <w:t>curva de calibração</w:t>
      </w:r>
      <w:r>
        <w:rPr>
          <w:rFonts w:eastAsia="Times New Roman"/>
        </w:rPr>
        <w:t xml:space="preserve"> (em bins), comparando probabilidade média predita com a fração observada de positivos em cada bin.</w:t>
      </w:r>
    </w:p>
    <w:p w14:paraId="1320FB8A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O </w:t>
      </w:r>
      <w:r>
        <w:rPr>
          <w:rFonts w:eastAsia="Times New Roman"/>
          <w:b/>
        </w:rPr>
        <w:t>Brier score</w:t>
      </w:r>
      <w:r>
        <w:rPr>
          <w:rFonts w:eastAsia="Times New Roman"/>
        </w:rPr>
        <w:t xml:space="preserve"> médio foi ≈ 0,1789, ligeiramente inferior ao baseline (≈ 0,1846), uma melhora relativa de ≈ 3,1%. O Brier combina discriminação e calibração e, isoladamente,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é uma medida exclusiva de calibração.</w:t>
      </w:r>
      <w:r>
        <w:t xml:space="preserve"> Esse Brier out-of-fold (≈ 0,1789) distingue-se do Brier hold-out (≈ 0,1787) reportado na Tabela 2, calculado uma única vez sobre o conjunto de teste.</w:t>
      </w:r>
    </w:p>
    <w:p w14:paraId="735EA7D5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lastRenderedPageBreak/>
        <w:t xml:space="preserve">A </w:t>
      </w:r>
      <w:r>
        <w:rPr>
          <w:rFonts w:eastAsia="Times New Roman"/>
          <w:b/>
        </w:rPr>
        <w:t>calibração em escala ampla</w:t>
      </w:r>
      <w:r>
        <w:rPr>
          <w:rFonts w:eastAsia="Times New Roman"/>
        </w:rPr>
        <w:t xml:space="preserve"> apresentou diferença pequena (≈ 0,0018) entre a probabilidade média predita (≈ 0,246) e a taxa observada (≈ 0,244), indicando boa calibração global.</w:t>
      </w:r>
    </w:p>
    <w:p w14:paraId="11599A42" w14:textId="77777777" w:rsidR="00E62C65" w:rsidRDefault="00474360">
      <w:pPr>
        <w:pStyle w:val="Commarcadores"/>
        <w:spacing w:line="360" w:lineRule="auto"/>
        <w:ind w:left="454" w:hanging="227"/>
      </w:pPr>
      <w:r>
        <w:rPr>
          <w:rFonts w:eastAsia="Times New Roman"/>
        </w:rPr>
        <w:t xml:space="preserve">A </w:t>
      </w:r>
      <w:r>
        <w:rPr>
          <w:rFonts w:eastAsia="Times New Roman"/>
          <w:b/>
        </w:rPr>
        <w:t>curva de calibração</w:t>
      </w:r>
      <w:r>
        <w:rPr>
          <w:rFonts w:eastAsia="Times New Roman"/>
        </w:rPr>
        <w:t xml:space="preserve"> apresentou desvios médios por bin da ordem de 0,015, com maiores desvios nos bins extremos (probabilidades muito baixas e muito altas).</w:t>
      </w:r>
    </w:p>
    <w:p w14:paraId="357F7D77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</w:t>
      </w:r>
      <w:r>
        <w:rPr>
          <w:rFonts w:eastAsia="Times New Roman"/>
          <w:b/>
        </w:rPr>
        <w:t>estabilidade entre folds</w:t>
      </w:r>
      <w:r>
        <w:rPr>
          <w:rFonts w:eastAsia="Times New Roman"/>
        </w:rPr>
        <w:t xml:space="preserve"> foi avaliada pela dispersão das métricas: o desvio padrão do Brier entre folds foi ≈ 0,0017, o da ROC-AUC ≈ 0,017 e o da PR-AUC ≈ 0,025 — uma variação moderada, sem indício de instabilidade grave entre os folds.</w:t>
      </w:r>
    </w:p>
    <w:p w14:paraId="76FD0D80" w14:textId="77777777" w:rsidR="00E62C65" w:rsidRDefault="00474360">
      <w:pPr>
        <w:pStyle w:val="Ttulo2"/>
      </w:pPr>
      <w:bookmarkStart w:id="48" w:name="_Toc238653828"/>
      <w:r>
        <w:rPr>
          <w:rFonts w:ascii="Times New Roman" w:eastAsia="Times New Roman" w:hAnsi="Times New Roman"/>
        </w:rPr>
        <w:t>5.6 Sensibilidade metodológica</w:t>
      </w:r>
      <w:bookmarkEnd w:id="48"/>
    </w:p>
    <w:p w14:paraId="64FBEE72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A análise de sensibilidade comparou o modelo principal (</w:t>
      </w:r>
      <w:r>
        <w:rPr>
          <w:rFonts w:ascii="Courier New" w:eastAsia="Courier New" w:hAnsi="Courier New"/>
          <w:sz w:val="22"/>
        </w:rPr>
        <w:t>X_model</w:t>
      </w:r>
      <w:r>
        <w:rPr>
          <w:rFonts w:eastAsia="Times New Roman"/>
        </w:rPr>
        <w:t>, 34 variáveis) com uma variante estendida (</w:t>
      </w:r>
      <w:r>
        <w:rPr>
          <w:rFonts w:ascii="Courier New" w:eastAsia="Courier New" w:hAnsi="Courier New"/>
          <w:sz w:val="22"/>
        </w:rPr>
        <w:t>X_sens</w:t>
      </w:r>
      <w:r>
        <w:rPr>
          <w:rFonts w:eastAsia="Times New Roman"/>
        </w:rPr>
        <w:t>, 36 variáveis), que acrescenta duas variáveis de sensibilidade (</w:t>
      </w:r>
      <w:r>
        <w:rPr>
          <w:rFonts w:ascii="Courier New" w:eastAsia="Courier New" w:hAnsi="Courier New"/>
          <w:sz w:val="22"/>
        </w:rPr>
        <w:t>problema_saude_agua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facil_acesso_saude</w:t>
      </w:r>
      <w:r>
        <w:rPr>
          <w:rFonts w:eastAsia="Times New Roman"/>
        </w:rPr>
        <w:t xml:space="preserve">). Essas duas variáveis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fazem parte do modelo principal congelado; foram usadas apenas para avaliar a estabilidade dos resultados à inclusão de informação adicional.</w:t>
      </w:r>
    </w:p>
    <w:p w14:paraId="2FF76A80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Os resultados (validação cruzada, out-of-fold) indicaram que a inclusão das duas variáveis </w:t>
      </w:r>
      <w:r>
        <w:rPr>
          <w:rFonts w:eastAsia="Times New Roman"/>
          <w:b/>
        </w:rPr>
        <w:t>não alterou materialmente o desempenho</w:t>
      </w:r>
      <w:r>
        <w:rPr>
          <w:rFonts w:eastAsia="Times New Roman"/>
        </w:rPr>
        <w:t xml:space="preserve"> do modelo: a diferença média de PR-AUC foi de ≈ −0,004 e a de ROC-AUC de ≈ −0,003, com variação de Brier praticamente nula (≈ +0,0004). Trata-se de uma </w:t>
      </w:r>
      <w:r>
        <w:rPr>
          <w:rFonts w:eastAsia="Times New Roman"/>
          <w:b/>
        </w:rPr>
        <w:t>conclusão estritamente experimental</w:t>
      </w:r>
      <w:r>
        <w:rPr>
          <w:rFonts w:eastAsia="Times New Roman"/>
        </w:rPr>
        <w:t xml:space="preserve">: os resultados do modelo principal mostram-se estáveis à adição dessas duas variáveis, e este exercício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constitui validação clínica.</w:t>
      </w:r>
    </w:p>
    <w:p w14:paraId="41BD773C" w14:textId="77777777" w:rsidR="00E62C65" w:rsidRDefault="00474360">
      <w:pPr>
        <w:pStyle w:val="Ttulo2"/>
      </w:pPr>
      <w:bookmarkStart w:id="49" w:name="_Toc238653829"/>
      <w:r>
        <w:rPr>
          <w:rFonts w:ascii="Times New Roman" w:eastAsia="Times New Roman" w:hAnsi="Times New Roman"/>
        </w:rPr>
        <w:t>5.7 Interpretabilidade</w:t>
      </w:r>
      <w:bookmarkEnd w:id="49"/>
    </w:p>
    <w:p w14:paraId="1C93FE42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interpretabilidade foi avaliada por </w:t>
      </w:r>
      <w:r>
        <w:rPr>
          <w:rFonts w:eastAsia="Times New Roman"/>
          <w:b/>
        </w:rPr>
        <w:t>importância por permutação</w:t>
      </w:r>
      <w:r>
        <w:rPr>
          <w:rFonts w:eastAsia="Times New Roman"/>
        </w:rPr>
        <w:t xml:space="preserve"> (out-of-fold, múltiplas repetições, métrica PR-AUC). As variáveis com maior impacto na permutação incluíram, em ordem aproximada, </w:t>
      </w:r>
      <w:r>
        <w:rPr>
          <w:rFonts w:ascii="Courier New" w:eastAsia="Courier New" w:hAnsi="Courier New"/>
          <w:sz w:val="22"/>
        </w:rPr>
        <w:t>dificuldades_saude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faixa_renda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deixou_de_comer_falta_dinheiro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escolaridade</w:t>
      </w:r>
      <w:r>
        <w:rPr>
          <w:rFonts w:eastAsia="Times New Roman"/>
        </w:rPr>
        <w:t xml:space="preserve">, </w:t>
      </w:r>
      <w:r>
        <w:rPr>
          <w:rFonts w:ascii="Courier New" w:eastAsia="Courier New" w:hAnsi="Courier New"/>
          <w:sz w:val="22"/>
        </w:rPr>
        <w:t>distancia_ubs</w:t>
      </w:r>
      <w:r>
        <w:rPr>
          <w:rFonts w:eastAsia="Times New Roman"/>
        </w:rPr>
        <w:t xml:space="preserve"> e </w:t>
      </w:r>
      <w:r>
        <w:rPr>
          <w:rFonts w:ascii="Courier New" w:eastAsia="Courier New" w:hAnsi="Courier New"/>
          <w:sz w:val="22"/>
        </w:rPr>
        <w:t>acesso_ubs</w:t>
      </w:r>
      <w:r>
        <w:rPr>
          <w:rFonts w:eastAsia="Times New Roman"/>
        </w:rPr>
        <w:t>.</w:t>
      </w:r>
    </w:p>
    <w:p w14:paraId="748DEC0F" w14:textId="77777777" w:rsidR="00E62C65" w:rsidRDefault="00474360">
      <w:pPr>
        <w:pStyle w:val="EditorialStatus"/>
      </w:pPr>
      <w:r>
        <w:rPr>
          <w:rFonts w:eastAsia="Times New Roman"/>
        </w:rPr>
        <w:t xml:space="preserve">A importância de variável </w:t>
      </w:r>
      <w:r>
        <w:rPr>
          <w:rFonts w:eastAsia="Times New Roman"/>
          <w:b/>
        </w:rPr>
        <w:t>no modelo sintético</w:t>
      </w:r>
      <w:r>
        <w:rPr>
          <w:rFonts w:eastAsia="Times New Roman"/>
        </w:rPr>
        <w:t xml:space="preserve"> é uma propriedade do modelo</w:t>
      </w:r>
    </w:p>
    <w:p w14:paraId="03A60399" w14:textId="77777777" w:rsidR="00E62C65" w:rsidRDefault="00474360">
      <w:pPr>
        <w:pStyle w:val="EditorialStatus"/>
      </w:pPr>
      <w:r>
        <w:rPr>
          <w:rFonts w:eastAsia="Times New Roman"/>
        </w:rPr>
        <w:t xml:space="preserve">treinado,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deve ser lida como associação causal nem como determinante</w:t>
      </w:r>
    </w:p>
    <w:p w14:paraId="12E4B9B6" w14:textId="77777777" w:rsidR="00E62C65" w:rsidRDefault="00474360">
      <w:pPr>
        <w:pStyle w:val="EditorialStatus"/>
      </w:pPr>
      <w:r>
        <w:rPr>
          <w:rFonts w:eastAsia="Times New Roman"/>
        </w:rPr>
        <w:t>clinicamente comprovado de descontinuidade.</w:t>
      </w:r>
    </w:p>
    <w:p w14:paraId="6BB52646" w14:textId="77777777" w:rsidR="00E62C65" w:rsidRDefault="00474360">
      <w:pPr>
        <w:pStyle w:val="Ttulo2"/>
      </w:pPr>
      <w:bookmarkStart w:id="50" w:name="_Toc238653830"/>
      <w:r>
        <w:rPr>
          <w:rFonts w:ascii="Times New Roman" w:eastAsia="Times New Roman" w:hAnsi="Times New Roman"/>
        </w:rPr>
        <w:t>5.8 IV-DSS</w:t>
      </w:r>
      <w:bookmarkEnd w:id="50"/>
    </w:p>
    <w:p w14:paraId="1F8A3D40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IV-DSS foi </w:t>
      </w:r>
      <w:r>
        <w:rPr>
          <w:rFonts w:eastAsia="Times New Roman"/>
          <w:b/>
        </w:rPr>
        <w:t>implementado e calculado</w:t>
      </w:r>
      <w:r>
        <w:rPr>
          <w:rFonts w:eastAsia="Times New Roman"/>
        </w:rPr>
        <w:t xml:space="preserve"> sobre os 5.000 registros sintéticos, com as seis dimensões (educação; trabalho e renda; saneamento; acesso aos serviços de saúde; </w:t>
      </w:r>
      <w:r>
        <w:rPr>
          <w:rFonts w:eastAsia="Times New Roman"/>
        </w:rPr>
        <w:lastRenderedPageBreak/>
        <w:t xml:space="preserve">habitação; alimentação). O índice principal (cobertura 6/6) foi calculável para </w:t>
      </w:r>
      <w:r>
        <w:rPr>
          <w:rFonts w:eastAsia="Times New Roman"/>
          <w:b/>
        </w:rPr>
        <w:t>4.643 registros</w:t>
      </w:r>
      <w:r>
        <w:rPr>
          <w:rFonts w:eastAsia="Times New Roman"/>
        </w:rPr>
        <w:t xml:space="preserve">; o índice parcial (cobertura 5/6), para </w:t>
      </w:r>
      <w:r>
        <w:rPr>
          <w:rFonts w:eastAsia="Times New Roman"/>
          <w:b/>
        </w:rPr>
        <w:t>352 registros</w:t>
      </w:r>
      <w:r>
        <w:rPr>
          <w:rFonts w:eastAsia="Times New Roman"/>
        </w:rPr>
        <w:t xml:space="preserve">; e </w:t>
      </w:r>
      <w:r>
        <w:rPr>
          <w:rFonts w:eastAsia="Times New Roman"/>
          <w:b/>
        </w:rPr>
        <w:t>5 registros</w:t>
      </w:r>
      <w:r>
        <w:rPr>
          <w:rFonts w:eastAsia="Times New Roman"/>
        </w:rPr>
        <w:t xml:space="preserve"> apresentaram cobertura inferior (4/6), permanecendo não calculáveis. O IV-DSS é um </w:t>
      </w:r>
      <w:r>
        <w:rPr>
          <w:rFonts w:eastAsia="Times New Roman"/>
          <w:b/>
        </w:rPr>
        <w:t>índice descritivo experimental de vulnerabilidade social</w:t>
      </w:r>
      <w:r>
        <w:rPr>
          <w:rFonts w:eastAsia="Times New Roman"/>
        </w:rPr>
        <w:t>, e permanece conceitualmente separado da probabilida</w:t>
      </w:r>
      <w:r>
        <w:rPr>
          <w:rFonts w:eastAsia="Times New Roman"/>
        </w:rPr>
        <w:t xml:space="preserve">de do modelo: </w:t>
      </w:r>
      <w:r>
        <w:rPr>
          <w:rFonts w:eastAsia="Times New Roman"/>
          <w:b/>
        </w:rPr>
        <w:t>IV-DSS ≠ P(Y) ≠ probability do Random Forest ≠ diagnóstico ≠ classificador</w:t>
      </w:r>
      <w:r>
        <w:rPr>
          <w:rFonts w:eastAsia="Times New Roman"/>
        </w:rPr>
        <w:t>.</w:t>
      </w:r>
    </w:p>
    <w:p w14:paraId="155C706F" w14:textId="77777777" w:rsidR="00E62C65" w:rsidRDefault="00474360">
      <w:pPr>
        <w:pStyle w:val="Ttulo2"/>
      </w:pPr>
      <w:bookmarkStart w:id="51" w:name="_Toc238653831"/>
      <w:r>
        <w:rPr>
          <w:rFonts w:ascii="Times New Roman" w:eastAsia="Times New Roman" w:hAnsi="Times New Roman"/>
        </w:rPr>
        <w:t>5.9 Validação da implementação de software</w:t>
      </w:r>
      <w:bookmarkEnd w:id="51"/>
    </w:p>
    <w:p w14:paraId="1651FDE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integração </w:t>
      </w:r>
      <w:r>
        <w:rPr>
          <w:rFonts w:eastAsia="Times New Roman"/>
          <w:b/>
        </w:rPr>
        <w:t>Flutter → FastAPI → IA → Flutter</w:t>
      </w:r>
      <w:r>
        <w:rPr>
          <w:rFonts w:eastAsia="Times New Roman"/>
        </w:rPr>
        <w:t xml:space="preserve"> foi validada de ponta a ponta em </w:t>
      </w:r>
      <w:r>
        <w:rPr>
          <w:rFonts w:eastAsia="Times New Roman"/>
          <w:b/>
        </w:rPr>
        <w:t>Android Emulator</w:t>
      </w:r>
      <w:r>
        <w:rPr>
          <w:rFonts w:eastAsia="Times New Roman"/>
        </w:rPr>
        <w:t xml:space="preserve">. Trata-se de uma </w:t>
      </w:r>
      <w:r>
        <w:rPr>
          <w:rFonts w:eastAsia="Times New Roman"/>
          <w:b/>
        </w:rPr>
        <w:t>validação de integração de software</w:t>
      </w:r>
      <w:r>
        <w:rPr>
          <w:rFonts w:eastAsia="Times New Roman"/>
        </w:rPr>
        <w:t xml:space="preserve"> (smoke test), e </w:t>
      </w:r>
      <w:r>
        <w:rPr>
          <w:rFonts w:eastAsia="Times New Roman"/>
          <w:b/>
        </w:rPr>
        <w:t>não</w:t>
      </w:r>
      <w:r>
        <w:rPr>
          <w:rFonts w:eastAsia="Times New Roman"/>
        </w:rPr>
        <w:t xml:space="preserve"> de validação clínica, validação externa do modelo ou evidência científica sobre a população real.</w:t>
      </w:r>
    </w:p>
    <w:p w14:paraId="628788B9" w14:textId="77777777" w:rsidR="00E62C65" w:rsidRDefault="00474360">
      <w:r>
        <w:t xml:space="preserve">Além disso, a </w:t>
      </w:r>
      <w:r>
        <w:rPr>
          <w:b/>
        </w:rPr>
        <w:t>infraestrutura de persistência</w:t>
      </w:r>
      <w:r>
        <w:t xml:space="preserve"> do backend foi validada contra </w:t>
      </w:r>
      <w:r>
        <w:rPr>
          <w:b/>
        </w:rPr>
        <w:t>PostgreSQL real</w:t>
      </w:r>
      <w:r>
        <w:t xml:space="preserve"> (bancos locais meu_bebe e meu_bebe_test). Foram verificados: a abertura de conexão; o teste de conectividade (SELECT 1); a criação e o encerramento de sessões do SQLAlchemy; a execução de transação e o respectivo </w:t>
      </w:r>
      <w:r>
        <w:rPr>
          <w:b/>
        </w:rPr>
        <w:t>rollback</w:t>
      </w:r>
      <w:r>
        <w:t xml:space="preserve">; o acesso do </w:t>
      </w:r>
      <w:r>
        <w:rPr>
          <w:b/>
        </w:rPr>
        <w:t>Alembic</w:t>
      </w:r>
      <w:r>
        <w:t xml:space="preserve"> ao banco; a ausência de </w:t>
      </w:r>
      <w:r>
        <w:rPr>
          <w:b/>
        </w:rPr>
        <w:t>tabelas residuais</w:t>
      </w:r>
      <w:r>
        <w:t xml:space="preserve">; e o descarte explícito do </w:t>
      </w:r>
      <w:r>
        <w:rPr>
          <w:b/>
        </w:rPr>
        <w:t>engine</w:t>
      </w:r>
      <w:r>
        <w:t xml:space="preserve"> no encerramento da aplicação.</w:t>
      </w:r>
    </w:p>
    <w:p w14:paraId="04950551" w14:textId="77777777" w:rsidR="00E62C65" w:rsidRDefault="00474360">
      <w:r>
        <w:t xml:space="preserve">Sobre essa infraestrutura, a </w:t>
      </w:r>
      <w:r>
        <w:rPr>
          <w:b/>
        </w:rPr>
        <w:t>autenticação</w:t>
      </w:r>
      <w:r>
        <w:t xml:space="preserve"> foi implementada e submetida a </w:t>
      </w:r>
      <w:r>
        <w:rPr>
          <w:b/>
        </w:rPr>
        <w:t>validação técnica/funcional</w:t>
      </w:r>
      <w:r>
        <w:t xml:space="preserve"> — </w:t>
      </w:r>
      <w:r>
        <w:rPr>
          <w:b/>
        </w:rPr>
        <w:t>não</w:t>
      </w:r>
      <w:r>
        <w:t xml:space="preserve"> de segurança de produção, validade clínica ou maturidade industrial. A </w:t>
      </w:r>
      <w:r>
        <w:rPr>
          <w:b/>
        </w:rPr>
        <w:t>primeira migration real</w:t>
      </w:r>
      <w:r>
        <w:t xml:space="preserve"> do Alembic (0001) cria as tabelas users e auth_refresh_sessions, com upgrade e downgrade reversíveis, conferidos contra </w:t>
      </w:r>
      <w:r>
        <w:rPr>
          <w:b/>
        </w:rPr>
        <w:t>PostgreSQL real</w:t>
      </w:r>
      <w:r>
        <w:t xml:space="preserve">. Foram implementados o </w:t>
      </w:r>
      <w:r>
        <w:rPr>
          <w:b/>
        </w:rPr>
        <w:t>usuário persistente</w:t>
      </w:r>
      <w:r>
        <w:t xml:space="preserve"> (USER, com hash </w:t>
      </w:r>
      <w:r>
        <w:rPr>
          <w:b/>
        </w:rPr>
        <w:t>Argon2id</w:t>
      </w:r>
      <w:r>
        <w:t xml:space="preserve">), as </w:t>
      </w:r>
      <w:r>
        <w:rPr>
          <w:b/>
        </w:rPr>
        <w:t>sessões de renovação persistentes</w:t>
      </w:r>
      <w:r>
        <w:t xml:space="preserve"> (AUTH_REFRESH_SESSION), os endpoints de autenticação (register, login, refresh, logout, me) e os tokens </w:t>
      </w:r>
      <w:r>
        <w:rPr>
          <w:b/>
        </w:rPr>
        <w:t>JWT (HS256)</w:t>
      </w:r>
      <w:r>
        <w:t xml:space="preserve"> — access de 15 minutos e refresh de 30 dias, com rotação simples.</w:t>
      </w:r>
    </w:p>
    <w:p w14:paraId="63F99B50" w14:textId="77777777" w:rsidR="00E62C65" w:rsidRDefault="00474360">
      <w:r>
        <w:t xml:space="preserve">A suíte de testes da API encerrou com </w:t>
      </w:r>
      <w:r>
        <w:rPr>
          <w:b/>
        </w:rPr>
        <w:t>257 testes aprovados</w:t>
      </w:r>
      <w:r>
        <w:t xml:space="preserve">, </w:t>
      </w:r>
      <w:r>
        <w:rPr>
          <w:b/>
        </w:rPr>
        <w:t>0 falhas</w:t>
      </w:r>
      <w:r>
        <w:t xml:space="preserve"> e </w:t>
      </w:r>
      <w:r>
        <w:rPr>
          <w:b/>
        </w:rPr>
        <w:t>0 pulados</w:t>
      </w:r>
      <w:r>
        <w:t xml:space="preserve">, incluindo testes de autenticação contra </w:t>
      </w:r>
      <w:r>
        <w:rPr>
          <w:b/>
        </w:rPr>
        <w:t>PostgreSQL real</w:t>
      </w:r>
      <w:r>
        <w:t xml:space="preserve"> (banco meu_bebe_test, nunca SQLite). Um </w:t>
      </w:r>
      <w:r>
        <w:rPr>
          <w:b/>
        </w:rPr>
        <w:t>smoke HTTP</w:t>
      </w:r>
      <w:r>
        <w:t xml:space="preserve"> real validou o fluxo register → me → refresh → rejeição do refresh antigo → me com novo access → logout → rejeição do refresh revogado. Reitera-se que esses testes validam a </w:t>
      </w:r>
      <w:r>
        <w:rPr>
          <w:b/>
        </w:rPr>
        <w:t>implementação de software</w:t>
      </w:r>
      <w:r>
        <w:t xml:space="preserve">, e </w:t>
      </w:r>
      <w:r>
        <w:rPr>
          <w:b/>
        </w:rPr>
        <w:t>não</w:t>
      </w:r>
      <w:r>
        <w:t xml:space="preserve"> a validade clínica do modelo de ML.</w:t>
      </w:r>
    </w:p>
    <w:p w14:paraId="79C83050" w14:textId="77777777" w:rsidR="00E62C65" w:rsidRDefault="00474360">
      <w:pPr>
        <w:pStyle w:val="Ttulo2"/>
      </w:pPr>
      <w:bookmarkStart w:id="52" w:name="_Toc238653832"/>
      <w:r>
        <w:rPr>
          <w:rFonts w:ascii="Times New Roman" w:eastAsia="Times New Roman" w:hAnsi="Times New Roman"/>
        </w:rPr>
        <w:t>5.10 Discussão</w:t>
      </w:r>
      <w:bookmarkEnd w:id="52"/>
    </w:p>
    <w:p w14:paraId="0FF26E9E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Os resultados devem ser interpretados com cautela. A capacidade discriminativa do modelo é </w:t>
      </w:r>
      <w:r>
        <w:rPr>
          <w:rFonts w:eastAsia="Times New Roman"/>
          <w:b/>
        </w:rPr>
        <w:t>limitada</w:t>
      </w:r>
      <w:r>
        <w:rPr>
          <w:rFonts w:eastAsia="Times New Roman"/>
        </w:rPr>
        <w:t xml:space="preserve"> (ROC-AUC ≈ 0,62; PR-AUC ≈ 0,34), e o </w:t>
      </w:r>
      <w:r>
        <w:rPr>
          <w:rFonts w:eastAsia="Times New Roman"/>
          <w:b/>
        </w:rPr>
        <w:t>recall zero no threshold 0,5</w:t>
      </w:r>
      <w:r>
        <w:rPr>
          <w:rFonts w:eastAsia="Times New Roman"/>
        </w:rPr>
        <w:t xml:space="preserve"> evidencia que o modelo, sob um limiar de decisão convencional, não consegue identificar os casos positivos sintéticos. Não há threshold operacional adotado, e o produto apresenta apenas a probabilidade, evitando classificação individual.</w:t>
      </w:r>
    </w:p>
    <w:p w14:paraId="628A591F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lastRenderedPageBreak/>
        <w:t xml:space="preserve">Esse </w:t>
      </w:r>
      <w:r>
        <w:rPr>
          <w:rFonts w:eastAsia="Times New Roman"/>
          <w:b/>
        </w:rPr>
        <w:t>desempenho limitado é um resultado observado no experimento sintético</w:t>
      </w:r>
      <w:r>
        <w:rPr>
          <w:rFonts w:eastAsia="Times New Roman"/>
        </w:rPr>
        <w:t xml:space="preserve"> e, por si só, descreve o comportamento do modelo sobre esses dados. Já a </w:t>
      </w:r>
      <w:r>
        <w:rPr>
          <w:rFonts w:eastAsia="Times New Roman"/>
          <w:b/>
        </w:rPr>
        <w:t>natureza sintética</w:t>
      </w:r>
      <w:r>
        <w:rPr>
          <w:rFonts w:eastAsia="Times New Roman"/>
        </w:rPr>
        <w:t xml:space="preserve"> dos dados e a </w:t>
      </w:r>
      <w:r>
        <w:rPr>
          <w:rFonts w:eastAsia="Times New Roman"/>
          <w:b/>
        </w:rPr>
        <w:t>ausência de validação externa</w:t>
      </w:r>
      <w:r>
        <w:rPr>
          <w:rFonts w:eastAsia="Times New Roman"/>
        </w:rPr>
        <w:t xml:space="preserve"> implicam, de forma distinta, que tais resultados </w:t>
      </w:r>
      <w:r>
        <w:rPr>
          <w:rFonts w:eastAsia="Times New Roman"/>
          <w:b/>
        </w:rPr>
        <w:t>não representam desempenho clínico nem generalizam para a população real</w:t>
      </w:r>
      <w:r>
        <w:rPr>
          <w:rFonts w:eastAsia="Times New Roman"/>
        </w:rPr>
        <w:t xml:space="preserve"> — não são a causa das métricas observadas. O valor do trabalho, nesta etapa, está </w:t>
      </w:r>
      <w:r>
        <w:rPr>
          <w:rFonts w:eastAsia="Times New Roman"/>
          <w:b/>
        </w:rPr>
        <w:t>menos</w:t>
      </w:r>
      <w:r>
        <w:rPr>
          <w:rFonts w:eastAsia="Times New Roman"/>
        </w:rPr>
        <w:t xml:space="preserve"> no desempenho preditivo e </w:t>
      </w:r>
      <w:r>
        <w:rPr>
          <w:rFonts w:eastAsia="Times New Roman"/>
          <w:b/>
        </w:rPr>
        <w:t>mais</w:t>
      </w:r>
      <w:r>
        <w:rPr>
          <w:rFonts w:eastAsia="Times New Roman"/>
        </w:rPr>
        <w:t xml:space="preserve"> na consolidação de um pipeline experimental reproduzível (contrat</w:t>
      </w:r>
      <w:r>
        <w:rPr>
          <w:rFonts w:eastAsia="Times New Roman"/>
        </w:rPr>
        <w:t>o de dados, geração controlada, protocolo de treinamento/validação, métricas de desbalanceamento, calibração, sensibilidade, interpretabilidade e integração de software) que poderá ser reutilizado em etapas futuras com dados reais.</w:t>
      </w:r>
    </w:p>
    <w:p w14:paraId="7089DD2A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A integração tecnológica — questionário DSS, modelo de ML e módulo de acompanhamento pré-natal em uma única aplicação — constitui um resultado de engenharia válido </w:t>
      </w:r>
      <w:r>
        <w:rPr>
          <w:rFonts w:eastAsia="Times New Roman"/>
          <w:b/>
        </w:rPr>
        <w:t>independentemente</w:t>
      </w:r>
      <w:r>
        <w:rPr>
          <w:rFonts w:eastAsia="Times New Roman"/>
        </w:rPr>
        <w:t xml:space="preserve"> da validade clínica do modelo.</w:t>
      </w:r>
    </w:p>
    <w:p w14:paraId="73F68B77" w14:textId="77777777" w:rsidR="00E62C65" w:rsidRDefault="00474360">
      <w:pPr>
        <w:keepNext/>
        <w:spacing w:before="120" w:after="80"/>
      </w:pPr>
      <w:r>
        <w:rPr>
          <w:rFonts w:eastAsia="Times New Roman"/>
          <w:b/>
          <w:sz w:val="20"/>
        </w:rPr>
        <w:t>Tabela 4 – Cobertura do IV-DSS no dataset sintético</w:t>
      </w:r>
    </w:p>
    <w:tbl>
      <w:tblPr>
        <w:tblStyle w:val="Tabelacomgrade"/>
        <w:tblW w:w="90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62C65" w14:paraId="324CC2D9" w14:textId="77777777">
        <w:trPr>
          <w:tblHeader/>
          <w:jc w:val="center"/>
        </w:trPr>
        <w:tc>
          <w:tcPr>
            <w:tcW w:w="3024" w:type="dxa"/>
            <w:shd w:val="clear" w:color="auto" w:fill="E7E6E6"/>
            <w:vAlign w:val="center"/>
          </w:tcPr>
          <w:p w14:paraId="54515422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Cobertura</w:t>
            </w:r>
          </w:p>
        </w:tc>
        <w:tc>
          <w:tcPr>
            <w:tcW w:w="3024" w:type="dxa"/>
            <w:shd w:val="clear" w:color="auto" w:fill="E7E6E6"/>
            <w:vAlign w:val="center"/>
          </w:tcPr>
          <w:p w14:paraId="4F157896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Registros</w:t>
            </w:r>
          </w:p>
        </w:tc>
        <w:tc>
          <w:tcPr>
            <w:tcW w:w="3024" w:type="dxa"/>
            <w:shd w:val="clear" w:color="auto" w:fill="E7E6E6"/>
            <w:vAlign w:val="center"/>
          </w:tcPr>
          <w:p w14:paraId="05C00357" w14:textId="77777777" w:rsidR="00E62C65" w:rsidRDefault="00474360">
            <w:pPr>
              <w:spacing w:after="0" w:line="240" w:lineRule="auto"/>
              <w:jc w:val="center"/>
              <w:rPr>
                <w:rFonts w:eastAsia="MS Mincho"/>
              </w:rPr>
            </w:pPr>
            <w:r>
              <w:rPr>
                <w:rFonts w:eastAsia="Times New Roman"/>
                <w:b/>
                <w:sz w:val="18"/>
              </w:rPr>
              <w:t>Interpretação</w:t>
            </w:r>
          </w:p>
        </w:tc>
      </w:tr>
      <w:tr w:rsidR="00E62C65" w14:paraId="2B0067FA" w14:textId="77777777">
        <w:trPr>
          <w:jc w:val="center"/>
        </w:trPr>
        <w:tc>
          <w:tcPr>
            <w:tcW w:w="3024" w:type="dxa"/>
            <w:vAlign w:val="center"/>
          </w:tcPr>
          <w:p w14:paraId="45DBD90C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6/6 dimensões</w:t>
            </w:r>
          </w:p>
        </w:tc>
        <w:tc>
          <w:tcPr>
            <w:tcW w:w="3024" w:type="dxa"/>
            <w:vAlign w:val="center"/>
          </w:tcPr>
          <w:p w14:paraId="1E226F83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4.643</w:t>
            </w:r>
          </w:p>
        </w:tc>
        <w:tc>
          <w:tcPr>
            <w:tcW w:w="3024" w:type="dxa"/>
            <w:vAlign w:val="center"/>
          </w:tcPr>
          <w:p w14:paraId="2A1CB960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IV-DSS principal calculável</w:t>
            </w:r>
          </w:p>
        </w:tc>
      </w:tr>
      <w:tr w:rsidR="00E62C65" w14:paraId="46246821" w14:textId="77777777">
        <w:trPr>
          <w:jc w:val="center"/>
        </w:trPr>
        <w:tc>
          <w:tcPr>
            <w:tcW w:w="3024" w:type="dxa"/>
            <w:vAlign w:val="center"/>
          </w:tcPr>
          <w:p w14:paraId="49A19BF7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5/6 dimensões</w:t>
            </w:r>
          </w:p>
        </w:tc>
        <w:tc>
          <w:tcPr>
            <w:tcW w:w="3024" w:type="dxa"/>
            <w:vAlign w:val="center"/>
          </w:tcPr>
          <w:p w14:paraId="57E92AC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352</w:t>
            </w:r>
          </w:p>
        </w:tc>
        <w:tc>
          <w:tcPr>
            <w:tcW w:w="3024" w:type="dxa"/>
            <w:vAlign w:val="center"/>
          </w:tcPr>
          <w:p w14:paraId="271AB1D1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IV-DSS parcial auxiliar</w:t>
            </w:r>
          </w:p>
        </w:tc>
      </w:tr>
      <w:tr w:rsidR="00E62C65" w14:paraId="2BB9DEAB" w14:textId="77777777">
        <w:trPr>
          <w:jc w:val="center"/>
        </w:trPr>
        <w:tc>
          <w:tcPr>
            <w:tcW w:w="3024" w:type="dxa"/>
            <w:vAlign w:val="center"/>
          </w:tcPr>
          <w:p w14:paraId="7DBBA595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4/6 dimensões</w:t>
            </w:r>
          </w:p>
        </w:tc>
        <w:tc>
          <w:tcPr>
            <w:tcW w:w="3024" w:type="dxa"/>
            <w:vAlign w:val="center"/>
          </w:tcPr>
          <w:p w14:paraId="22CC3F0A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5</w:t>
            </w:r>
          </w:p>
        </w:tc>
        <w:tc>
          <w:tcPr>
            <w:tcW w:w="3024" w:type="dxa"/>
            <w:vAlign w:val="center"/>
          </w:tcPr>
          <w:p w14:paraId="109B2A7E" w14:textId="77777777" w:rsidR="00E62C65" w:rsidRDefault="0047436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Times New Roman"/>
                <w:sz w:val="18"/>
              </w:rPr>
              <w:t>Não calculável</w:t>
            </w:r>
          </w:p>
        </w:tc>
      </w:tr>
    </w:tbl>
    <w:p w14:paraId="14A0171F" w14:textId="77777777" w:rsidR="00E62C65" w:rsidRDefault="00474360">
      <w:pPr>
        <w:spacing w:before="40" w:after="120"/>
      </w:pPr>
      <w:r>
        <w:rPr>
          <w:rFonts w:eastAsia="Times New Roman"/>
          <w:sz w:val="18"/>
        </w:rPr>
        <w:t>Fonte: elaboração própria (2026), a partir dos artefatos do experimento.</w:t>
      </w:r>
    </w:p>
    <w:p w14:paraId="5CA3C14C" w14:textId="77777777" w:rsidR="00E62C65" w:rsidRDefault="00474360">
      <w:r>
        <w:br w:type="page"/>
      </w:r>
    </w:p>
    <w:p w14:paraId="113B73ED" w14:textId="77777777" w:rsidR="00E62C65" w:rsidRDefault="00474360">
      <w:pPr>
        <w:pStyle w:val="Ttulo1"/>
        <w:spacing w:before="0"/>
      </w:pPr>
      <w:bookmarkStart w:id="53" w:name="_Toc238653833"/>
      <w:r>
        <w:rPr>
          <w:rFonts w:ascii="Times New Roman" w:eastAsia="Times New Roman" w:hAnsi="Times New Roman"/>
        </w:rPr>
        <w:lastRenderedPageBreak/>
        <w:t xml:space="preserve">6 </w:t>
      </w:r>
      <w:r>
        <w:rPr>
          <w:rFonts w:ascii="Times New Roman" w:eastAsia="Times New Roman" w:hAnsi="Times New Roman"/>
        </w:rPr>
        <w:t>CONCLUSÃO</w:t>
      </w:r>
      <w:bookmarkEnd w:id="53"/>
    </w:p>
    <w:p w14:paraId="30DB137B" w14:textId="77777777" w:rsidR="00E62C65" w:rsidRDefault="00474360">
      <w:pPr>
        <w:pStyle w:val="EditorialStatus"/>
      </w:pPr>
      <w:r>
        <w:rPr>
          <w:rFonts w:eastAsia="Times New Roman"/>
        </w:rPr>
        <w:t>STATUS EDITORIAL — conclusão provisória. Será reescrita após a implementação da API do acompanhamento pré-natal e a consolidação final dos capítulos 3–5.</w:t>
      </w:r>
    </w:p>
    <w:p w14:paraId="5F871AFE" w14:textId="77777777" w:rsidR="00E62C65" w:rsidRDefault="00474360">
      <w:pPr>
        <w:pStyle w:val="Ttulo2"/>
      </w:pPr>
      <w:bookmarkStart w:id="54" w:name="_Toc238653834"/>
      <w:r>
        <w:rPr>
          <w:rFonts w:ascii="Times New Roman" w:eastAsia="Times New Roman" w:hAnsi="Times New Roman"/>
        </w:rPr>
        <w:t>6.1 Síntese dos resultados</w:t>
      </w:r>
      <w:bookmarkEnd w:id="54"/>
    </w:p>
    <w:p w14:paraId="5D235CC9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>Este trabalho propôs estimar, a partir dos Determinantes Sociais da Saúde coletados de forma estruturada, a propensão de gestantes à descontinuidade do acompanhamento pré-natal, por meio de aprendizado de máquina, integrando a essa função um módulo de acompanhamento do pré-natal.</w:t>
      </w:r>
    </w:p>
    <w:p w14:paraId="30AB750B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Foram desenvolvidos: um contrato de dados canônico e versionado (schema 1.13, 6 dimensões, 48 variáveis); um </w:t>
      </w:r>
      <w:r>
        <w:rPr>
          <w:rFonts w:eastAsia="Times New Roman"/>
          <w:b/>
        </w:rPr>
        <w:t>índice descritivo experimental de vulnerabilidade (IV-DSS)</w:t>
      </w:r>
      <w:r>
        <w:rPr>
          <w:rFonts w:eastAsia="Times New Roman"/>
        </w:rPr>
        <w:t xml:space="preserve">; um </w:t>
      </w:r>
      <w:r>
        <w:rPr>
          <w:rFonts w:eastAsia="Times New Roman"/>
          <w:b/>
        </w:rPr>
        <w:t>dataset sintético reproduzível</w:t>
      </w:r>
      <w:r>
        <w:rPr>
          <w:rFonts w:eastAsia="Times New Roman"/>
        </w:rPr>
        <w:t xml:space="preserve"> (5.000 registros); um protocolo de treinamento/validação com controle de leakage; a comparação de três modelos e a seleção do </w:t>
      </w:r>
      <w:r>
        <w:rPr>
          <w:rFonts w:eastAsia="Times New Roman"/>
          <w:b/>
        </w:rPr>
        <w:t>Random Forest</w:t>
      </w:r>
      <w:r>
        <w:rPr>
          <w:rFonts w:eastAsia="Times New Roman"/>
        </w:rPr>
        <w:t xml:space="preserve">; análises de calibração, sensibilidade e interpretabilidade; e a </w:t>
      </w:r>
      <w:r>
        <w:rPr>
          <w:rFonts w:eastAsia="Times New Roman"/>
          <w:b/>
        </w:rPr>
        <w:t>integração de software</w:t>
      </w:r>
      <w:r>
        <w:rPr>
          <w:rFonts w:eastAsia="Times New Roman"/>
        </w:rPr>
        <w:t xml:space="preserve"> Flutter ↔ FastAPI ↔ IA, validada de ponta a ponta</w:t>
      </w:r>
      <w:r>
        <w:t>; e a infraestrutura de persistência do backend (PostgreSQL 16, SQLAlchemy 2.x e Alembic), implementada e validada.</w:t>
      </w:r>
    </w:p>
    <w:p w14:paraId="3CB601A9" w14:textId="77777777" w:rsidR="00E62C65" w:rsidRDefault="00474360">
      <w:pPr>
        <w:pStyle w:val="Ttulo2"/>
      </w:pPr>
      <w:bookmarkStart w:id="55" w:name="_Toc238653835"/>
      <w:r>
        <w:rPr>
          <w:rFonts w:ascii="Times New Roman" w:eastAsia="Times New Roman" w:hAnsi="Times New Roman"/>
        </w:rPr>
        <w:t>6.2 Limitações do estudo</w:t>
      </w:r>
      <w:bookmarkEnd w:id="55"/>
    </w:p>
    <w:p w14:paraId="2D6A81FE" w14:textId="77777777" w:rsidR="00E62C65" w:rsidRDefault="00474360">
      <w:pPr>
        <w:spacing w:after="0" w:line="360" w:lineRule="auto"/>
        <w:ind w:firstLine="709"/>
        <w:jc w:val="both"/>
      </w:pPr>
      <w:r>
        <w:rPr>
          <w:rFonts w:eastAsia="Times New Roman"/>
        </w:rPr>
        <w:t xml:space="preserve">O modelo selecionado apresentou desempenho discriminativo </w:t>
      </w:r>
      <w:r>
        <w:rPr>
          <w:rFonts w:eastAsia="Times New Roman"/>
          <w:b/>
        </w:rPr>
        <w:t>limitado</w:t>
      </w:r>
      <w:r>
        <w:rPr>
          <w:rFonts w:eastAsia="Times New Roman"/>
        </w:rPr>
        <w:t xml:space="preserve"> e </w:t>
      </w:r>
      <w:r>
        <w:rPr>
          <w:rFonts w:eastAsia="Times New Roman"/>
          <w:b/>
        </w:rPr>
        <w:t>recall zero no limiar 0,5</w:t>
      </w:r>
      <w:r>
        <w:rPr>
          <w:rFonts w:eastAsia="Times New Roman"/>
        </w:rPr>
        <w:t xml:space="preserve">, reforçando que os resultados são </w:t>
      </w:r>
      <w:r>
        <w:rPr>
          <w:rFonts w:eastAsia="Times New Roman"/>
          <w:b/>
        </w:rPr>
        <w:t>experimentais</w:t>
      </w:r>
      <w:r>
        <w:rPr>
          <w:rFonts w:eastAsia="Times New Roman"/>
        </w:rPr>
        <w:t xml:space="preserve"> e não constituem validação clínica. O aplicativo, por sua vez, entrega um diferencial funcional ao integrar, em uma mesma solução, o questionário DSS, a estimativa experimental e o acompanhamento do pré-natal (incluindo plano de parto), com armazenamento local/offline.</w:t>
      </w:r>
    </w:p>
    <w:p w14:paraId="6A09BFB1" w14:textId="77777777" w:rsidR="00E62C65" w:rsidRDefault="00474360">
      <w:pPr>
        <w:pStyle w:val="Ttulo2"/>
      </w:pPr>
      <w:bookmarkStart w:id="56" w:name="_Toc238653836"/>
      <w:r>
        <w:rPr>
          <w:rFonts w:ascii="Times New Roman" w:eastAsia="Times New Roman" w:hAnsi="Times New Roman"/>
        </w:rPr>
        <w:t>6.3 Trabalhos futuros</w:t>
      </w:r>
      <w:bookmarkEnd w:id="56"/>
    </w:p>
    <w:p w14:paraId="130BE203" w14:textId="77777777" w:rsidR="00E62C65" w:rsidRDefault="00474360">
      <w:pPr>
        <w:spacing w:after="0" w:line="360" w:lineRule="auto"/>
        <w:ind w:firstLine="709"/>
        <w:jc w:val="both"/>
      </w:pPr>
      <w:r>
        <w:t xml:space="preserve">Entre as limitações, destacam-se: uso de dados sintéticos (sem validade externa), ausência de validação clínica, recall zero no limiar 0,5, autenticação </w:t>
      </w:r>
      <w:r>
        <w:rPr>
          <w:b/>
        </w:rPr>
        <w:t>implementada apenas no backend</w:t>
      </w:r>
      <w:r>
        <w:t xml:space="preserve"> (ainda </w:t>
      </w:r>
      <w:r>
        <w:rPr>
          <w:b/>
        </w:rPr>
        <w:t>não</w:t>
      </w:r>
      <w:r>
        <w:t xml:space="preserve"> integrada ao aplicativo Flutter, e com token de acesso válido até expirar mesmo após logout), e a ausência de relacionamentos formais na persistência local (modelo implicitamente monousuário).</w:t>
      </w:r>
    </w:p>
    <w:p w14:paraId="49EA5878" w14:textId="77777777" w:rsidR="00E62C65" w:rsidRDefault="00474360">
      <w:pPr>
        <w:spacing w:after="0" w:line="360" w:lineRule="auto"/>
        <w:ind w:firstLine="709"/>
        <w:jc w:val="both"/>
      </w:pPr>
      <w:r>
        <w:t xml:space="preserve">O problema da descontinuidade do pré-natal </w:t>
      </w:r>
      <w:r>
        <w:rPr>
          <w:b/>
        </w:rPr>
        <w:t>não</w:t>
      </w:r>
      <w:r>
        <w:t xml:space="preserve"> foi resolvido; este trabalho estabeleceu, antes, uma base metodológica e tecnológica experimental que poderá ser estendida a dados reais. Como trabalhos futuros, indicam-se: a operacionalização longitudinal do desfecho com dados reais (fundamentada e ajustada pela duração gestacional); a implementação das </w:t>
      </w:r>
      <w:r>
        <w:rPr>
          <w:b/>
        </w:rPr>
        <w:t>entidades de domínio do acompanhamento</w:t>
      </w:r>
      <w:r>
        <w:t xml:space="preserve"> (GESTANTE, GESTAÇÃO e demais) e do </w:t>
      </w:r>
      <w:r>
        <w:rPr>
          <w:b/>
        </w:rPr>
        <w:t>CRUD</w:t>
      </w:r>
      <w:r>
        <w:t xml:space="preserve"> correspondente (seção 4.7) — cuja infraestrutura de persistência </w:t>
      </w:r>
      <w:r>
        <w:rPr>
          <w:b/>
        </w:rPr>
        <w:t xml:space="preserve">já foi </w:t>
      </w:r>
      <w:r>
        <w:rPr>
          <w:b/>
        </w:rPr>
        <w:lastRenderedPageBreak/>
        <w:t>implementada e validada</w:t>
      </w:r>
      <w:r>
        <w:t>, assim como a autenticação</w:t>
      </w:r>
      <w:r>
        <w:t xml:space="preserve"> no backend —; a </w:t>
      </w:r>
      <w:r>
        <w:rPr>
          <w:b/>
        </w:rPr>
        <w:t>integração do aplicativo Flutter com a autenticação</w:t>
      </w:r>
      <w:r>
        <w:t xml:space="preserve"> já existente na API; e a condução de estudos com dados reais sob os devidos requisitos éticos e de consentimento.</w:t>
      </w:r>
    </w:p>
    <w:p w14:paraId="3E50C318" w14:textId="77777777" w:rsidR="00E62C65" w:rsidRDefault="00474360">
      <w:pPr>
        <w:pStyle w:val="Ttulo1"/>
        <w:pageBreakBefore/>
        <w:spacing w:before="0"/>
      </w:pPr>
      <w:bookmarkStart w:id="57" w:name="_Toc238653837"/>
      <w:r>
        <w:rPr>
          <w:rFonts w:ascii="Times New Roman" w:eastAsia="Times New Roman" w:hAnsi="Times New Roman"/>
        </w:rPr>
        <w:lastRenderedPageBreak/>
        <w:t>REFERÊNCIAS</w:t>
      </w:r>
      <w:bookmarkEnd w:id="57"/>
    </w:p>
    <w:p w14:paraId="3B593ED8" w14:textId="77777777" w:rsidR="00E62C65" w:rsidRDefault="00474360">
      <w:pPr>
        <w:pStyle w:val="EditorialStatus"/>
      </w:pPr>
      <w:r>
        <w:rPr>
          <w:rFonts w:eastAsia="Times New Roman"/>
        </w:rPr>
        <w:t xml:space="preserve">STATUS EDITORIAL — lista corrente das obras efetivamente citadas no Capítulo 1 e das fontes metodológicas já mencionadas no rascunho. A lista </w:t>
      </w:r>
      <w:r>
        <w:rPr>
          <w:rFonts w:eastAsia="Times New Roman"/>
        </w:rPr>
        <w:t>final conterá somente obras efetivamente citadas e será normalizada integralmente conforme NBR 6023:2025.</w:t>
      </w:r>
    </w:p>
    <w:p w14:paraId="69CCB71D" w14:textId="77777777" w:rsidR="00E62C65" w:rsidRDefault="00474360">
      <w:pPr>
        <w:pStyle w:val="ReferenceEntry"/>
      </w:pPr>
      <w:r>
        <w:rPr>
          <w:rFonts w:eastAsia="Times New Roman"/>
        </w:rPr>
        <w:t>ALVES, G. G.; TERAZIMA, S. S.; LIMA, J. F. P. K. Inteligência artificial na saúde pública: potenciais e desafios no SUS. Asclepius International Journal of Scientific Health Science, v. 4, n. 3, p. 262–267, 2025. DOI: 10.70779/aijshs.v4i3.67.</w:t>
      </w:r>
    </w:p>
    <w:p w14:paraId="6D99BAC9" w14:textId="77777777" w:rsidR="00E62C65" w:rsidRDefault="00474360">
      <w:pPr>
        <w:pStyle w:val="ReferenceEntry"/>
      </w:pPr>
      <w:r>
        <w:rPr>
          <w:rFonts w:eastAsia="Times New Roman"/>
        </w:rPr>
        <w:t>AYRES, J. R. C. M.; FRANÇA JÚNIOR, I.; CALAZANS, G. J.; SALETTI FILHO, H. C. O conceito de vulnerabilidade e as práticas de saúde: novas perspectivas e desafios. In: CZERESNIA, D.; FREITAS, C. M. (org.). Promoção da saúde: conceitos, reflexões, tendências. Rio de Janeiro: Fiocruz, 2003.</w:t>
      </w:r>
    </w:p>
    <w:p w14:paraId="3D9F9666" w14:textId="77777777" w:rsidR="00E62C65" w:rsidRDefault="00474360">
      <w:pPr>
        <w:pStyle w:val="ReferenceEntry"/>
      </w:pPr>
      <w:r>
        <w:rPr>
          <w:rFonts w:eastAsia="Times New Roman"/>
        </w:rPr>
        <w:t>BRASIL. Ministério da Saúde. Estratégia de Saúde Digital para o Brasil 2020–2028. Brasília, DF: Ministério da Saúde, 2020.</w:t>
      </w:r>
    </w:p>
    <w:p w14:paraId="2E5997C1" w14:textId="77777777" w:rsidR="00E62C65" w:rsidRDefault="00474360">
      <w:pPr>
        <w:pStyle w:val="ReferenceEntry"/>
      </w:pPr>
      <w:r>
        <w:rPr>
          <w:rFonts w:eastAsia="Times New Roman"/>
        </w:rPr>
        <w:t>BRASIL.</w:t>
      </w:r>
      <w:r>
        <w:rPr>
          <w:rFonts w:eastAsia="Times New Roman"/>
        </w:rPr>
        <w:t xml:space="preserve"> Ministério da Saúde. Portaria GM/MS nº 5.350, de 12 de setembro de 2024. Altera a Portaria de Consolidação GM/MS nº 3, de 28 de setembro de 2017, para dispor sobre a Rede Alyne. Brasília, DF: Ministério da Saúde, 2024.</w:t>
      </w:r>
    </w:p>
    <w:p w14:paraId="3E1F92A4" w14:textId="77777777" w:rsidR="00E62C65" w:rsidRDefault="00474360">
      <w:pPr>
        <w:pStyle w:val="ReferenceEntry"/>
      </w:pPr>
      <w:r>
        <w:rPr>
          <w:rFonts w:eastAsia="Times New Roman"/>
        </w:rPr>
        <w:t>BUSS, P. M.; PELLEGRINI FILHO, A. A saúde e seus determinantes sociais. Physis: Revista de Saúde Coletiva, v. 17, n. 1, p. 77–93, 2007. DOI: 10.1590/S0103-73312007000100006.</w:t>
      </w:r>
    </w:p>
    <w:p w14:paraId="5C497B03" w14:textId="77777777" w:rsidR="00E62C65" w:rsidRDefault="00474360">
      <w:pPr>
        <w:pStyle w:val="ReferenceEntry"/>
      </w:pPr>
      <w:r>
        <w:rPr>
          <w:rFonts w:eastAsia="Times New Roman"/>
        </w:rPr>
        <w:t>CNDSS/BRASIL. As causas sociais das iniquidades em saúde no Brasil. Rio de Janeiro: Fiocruz, 2008.</w:t>
      </w:r>
    </w:p>
    <w:p w14:paraId="0A010F57" w14:textId="77777777" w:rsidR="00E62C65" w:rsidRDefault="00474360">
      <w:pPr>
        <w:pStyle w:val="ReferenceEntry"/>
      </w:pPr>
      <w:r>
        <w:rPr>
          <w:rFonts w:eastAsia="Times New Roman"/>
        </w:rPr>
        <w:t>DEGLI ESPOSTI, C. D. et al. Desigualdades sociais e geográficas no desempenho da assistência pré-natal. Ciência &amp; Saúde Coletiva, v. 25, n. 5, p. 1735–1750, 2020. DOI: 10.1590/1413-81232020255.32852019.</w:t>
      </w:r>
    </w:p>
    <w:p w14:paraId="65B629A3" w14:textId="77777777" w:rsidR="00E62C65" w:rsidRDefault="00474360">
      <w:pPr>
        <w:pStyle w:val="ReferenceEntry"/>
      </w:pPr>
      <w:r>
        <w:rPr>
          <w:rFonts w:eastAsia="Times New Roman"/>
        </w:rPr>
        <w:t>FEROZ, A.; PERVEEN, S.; AFTAB, W. Role of mHealth applications for improving antenatal and postnatal care in low and middle income countries: a systematic review. BMC Health Services Research, v. 17, art. 704, 2017. DOI: 10.1186/s12913-017-2664-7.</w:t>
      </w:r>
    </w:p>
    <w:p w14:paraId="1868326D" w14:textId="77777777" w:rsidR="00E62C65" w:rsidRDefault="00474360">
      <w:pPr>
        <w:pStyle w:val="ReferenceEntry"/>
      </w:pPr>
      <w:r>
        <w:rPr>
          <w:rFonts w:eastAsia="Times New Roman"/>
        </w:rPr>
        <w:t>IYAWA, G. E.; DANSHARIF, A. R.; KHAN, A. Mobile apps for self-management in pregnancy. Health and Technology, v. 11, n. 2, p. 283–294, 2021. DOI: 10.1007/s12553-021-00523-z.</w:t>
      </w:r>
    </w:p>
    <w:p w14:paraId="70633BC3" w14:textId="77777777" w:rsidR="00E62C65" w:rsidRDefault="00474360">
      <w:pPr>
        <w:pStyle w:val="ReferenceEntry"/>
      </w:pPr>
      <w:r>
        <w:rPr>
          <w:rFonts w:eastAsia="Times New Roman"/>
        </w:rPr>
        <w:t>OECD; EUROPEAN COMMISSION; JOINT RESEARCH CENTRE. Handbook on constructing composite indicators: methodology and user guide. Paris: OECD Publishing, 2008. DOI: 10.1787/9789264043466-en.</w:t>
      </w:r>
    </w:p>
    <w:p w14:paraId="29F8A293" w14:textId="77777777" w:rsidR="00E62C65" w:rsidRDefault="00474360">
      <w:pPr>
        <w:pStyle w:val="ReferenceEntry"/>
      </w:pPr>
      <w:r>
        <w:rPr>
          <w:rFonts w:eastAsia="Times New Roman"/>
        </w:rPr>
        <w:t>ROSA, C. Q.; SILVEIRA, D. S.; COSTA, J. S. D. Fatores associados à não realização de pré-natal em município de grande porte. Revista de Saúde Pública, v. 48, n. 6, p. 977–984, 2014. DOI: 10.1590/S0034-8910.2014048005283.</w:t>
      </w:r>
    </w:p>
    <w:p w14:paraId="4281A942" w14:textId="77777777" w:rsidR="00E62C65" w:rsidRDefault="00474360">
      <w:pPr>
        <w:pStyle w:val="ReferenceEntry"/>
      </w:pPr>
      <w:r>
        <w:rPr>
          <w:rFonts w:eastAsia="Times New Roman"/>
        </w:rPr>
        <w:t>SANTORIO, K. T.; SANTORIO, K. T.; BARBOSA, C. N. B. Fatores determinantes na realização do pré-natal no Brasil: uma investigação com dados da PNS. Brazilian Journal of Health Review, v. 7, n. 10, e74857, 2024. DOI: 10.34119/bjhrv7n10-033.</w:t>
      </w:r>
    </w:p>
    <w:p w14:paraId="03472A3D" w14:textId="77777777" w:rsidR="00E62C65" w:rsidRDefault="00474360">
      <w:pPr>
        <w:pStyle w:val="ReferenceEntry"/>
      </w:pPr>
      <w:r>
        <w:rPr>
          <w:rFonts w:eastAsia="Times New Roman"/>
        </w:rPr>
        <w:lastRenderedPageBreak/>
        <w:t>SOLAR, O.; IRWIN, A. A conceptual framework for action on the social determinants of health. Geneva: World Health Organization, 2010.</w:t>
      </w:r>
    </w:p>
    <w:p w14:paraId="5C2C10CB" w14:textId="77777777" w:rsidR="00E62C65" w:rsidRDefault="00474360">
      <w:pPr>
        <w:pStyle w:val="ReferenceEntry"/>
      </w:pPr>
      <w:r>
        <w:rPr>
          <w:rFonts w:eastAsia="Times New Roman"/>
        </w:rPr>
        <w:t>VIELLAS, E. F. et al. Assistência pré-natal no Brasil. Cadernos de Saúde Pública, v. 30, supl. 1, p. S85–S100, 2014. DOI: 10.1590/0102-311X00126013.</w:t>
      </w:r>
    </w:p>
    <w:p w14:paraId="218D2327" w14:textId="77777777" w:rsidR="00E62C65" w:rsidRDefault="00474360">
      <w:pPr>
        <w:pStyle w:val="ReferenceEntry"/>
      </w:pPr>
      <w:r>
        <w:rPr>
          <w:rFonts w:eastAsia="Times New Roman"/>
        </w:rPr>
        <w:t>WORLD HEALTH ORGANIZATION. WHO recommendations on antenatal care for a positive pregnancy experience. Geneva: WHO, 2016.</w:t>
      </w:r>
    </w:p>
    <w:p w14:paraId="3E8A4CC2" w14:textId="77777777" w:rsidR="00E62C65" w:rsidRDefault="00474360">
      <w:pPr>
        <w:pStyle w:val="ReferenceEntry"/>
      </w:pPr>
      <w:r>
        <w:rPr>
          <w:rFonts w:eastAsia="Times New Roman"/>
        </w:rPr>
        <w:t>WORLD HEALTH ORGANIZATION. Trends in maternal mortality 2000 to 2017. Geneva: WHO, 2019.</w:t>
      </w:r>
    </w:p>
    <w:p w14:paraId="5AAF9427" w14:textId="77777777" w:rsidR="00E62C65" w:rsidRDefault="00474360">
      <w:pPr>
        <w:pStyle w:val="ReferenceEntry"/>
      </w:pPr>
      <w:r>
        <w:rPr>
          <w:rFonts w:eastAsia="Times New Roman"/>
        </w:rPr>
        <w:t>WORLD HEALTH ORGANIZATION. Maternal mortality. Geneva: WHO, 2024. Fact sheet.</w:t>
      </w:r>
    </w:p>
    <w:p w14:paraId="1CD388AB" w14:textId="77777777" w:rsidR="00E62C65" w:rsidRDefault="00474360">
      <w:pPr>
        <w:pStyle w:val="ReferenceEntry"/>
      </w:pPr>
      <w:r>
        <w:rPr>
          <w:rFonts w:eastAsia="Times New Roman"/>
        </w:rPr>
        <w:t>WORLD HEALTH ORGANIZATION. World report on social determinants of health equity. Geneva: WHO, 2025. ISBN 9789240107588.</w:t>
      </w:r>
    </w:p>
    <w:p w14:paraId="7A2EBC31" w14:textId="77777777" w:rsidR="00E62C65" w:rsidRDefault="00474360">
      <w:r>
        <w:br w:type="page"/>
      </w:r>
    </w:p>
    <w:p w14:paraId="6DF6AD38" w14:textId="77777777" w:rsidR="00E62C65" w:rsidRDefault="00474360">
      <w:pPr>
        <w:pStyle w:val="Ttulo1"/>
        <w:spacing w:before="0"/>
      </w:pPr>
      <w:bookmarkStart w:id="58" w:name="_Toc238653838"/>
      <w:r>
        <w:rPr>
          <w:rFonts w:ascii="Times New Roman" w:eastAsia="Times New Roman" w:hAnsi="Times New Roman"/>
        </w:rPr>
        <w:lastRenderedPageBreak/>
        <w:t>APÊNDICE A — DECISÕES METODOLÓGICAS CONSOLIDADAS E EM ABERTO</w:t>
      </w:r>
      <w:bookmarkEnd w:id="58"/>
    </w:p>
    <w:p w14:paraId="2B601C48" w14:textId="77777777" w:rsidR="00E62C65" w:rsidRDefault="00474360">
      <w:pPr>
        <w:pStyle w:val="EditorialStatus"/>
      </w:pPr>
      <w:r>
        <w:rPr>
          <w:rFonts w:eastAsia="Times New Roman"/>
        </w:rPr>
        <w:t>CONTROLE EDITORIAL — conteúdo será consolidado ao final, evitando duplicação excessiva do Capítulo 3.</w:t>
      </w:r>
    </w:p>
    <w:p w14:paraId="2129AF07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>Este apêndice será reservado para registrar decisões metodológicas que precisem permanecer auditáveis sem sobrecarregar o corpo principal da monografia.</w:t>
      </w:r>
    </w:p>
    <w:p w14:paraId="572C7436" w14:textId="77777777" w:rsidR="00E62C65" w:rsidRDefault="00474360">
      <w:r>
        <w:br w:type="page"/>
      </w:r>
    </w:p>
    <w:p w14:paraId="5F731F32" w14:textId="77777777" w:rsidR="00E62C65" w:rsidRDefault="00474360">
      <w:pPr>
        <w:pStyle w:val="Ttulo1"/>
        <w:spacing w:before="0"/>
      </w:pPr>
      <w:bookmarkStart w:id="59" w:name="_Toc238653839"/>
      <w:r>
        <w:rPr>
          <w:rFonts w:ascii="Times New Roman" w:eastAsia="Times New Roman" w:hAnsi="Times New Roman"/>
        </w:rPr>
        <w:lastRenderedPageBreak/>
        <w:t>APÊNDICE B — FUNDAMENTAÇÃO DA ESCOLHA DO TÍTULO</w:t>
      </w:r>
      <w:bookmarkEnd w:id="59"/>
    </w:p>
    <w:p w14:paraId="5E80AA5D" w14:textId="77777777" w:rsidR="00E62C65" w:rsidRDefault="00474360">
      <w:pPr>
        <w:pStyle w:val="EditorialStatus"/>
      </w:pPr>
      <w:r>
        <w:rPr>
          <w:rFonts w:eastAsia="Times New Roman"/>
        </w:rPr>
        <w:t>CONTROLE EDITORIAL — manter apenas se o orientador considerar útil; caso contrário, remover antes da entrega.</w:t>
      </w:r>
    </w:p>
    <w:p w14:paraId="09148C87" w14:textId="77777777" w:rsidR="00E62C65" w:rsidRDefault="00474360">
      <w:pPr>
        <w:spacing w:after="0" w:line="360" w:lineRule="auto"/>
        <w:jc w:val="both"/>
      </w:pPr>
      <w:r>
        <w:rPr>
          <w:rFonts w:eastAsia="Times New Roman"/>
        </w:rPr>
        <w:t xml:space="preserve">O título definitivo deverá ser confirmado com o orientador. A formulação atual privilegia os termos “descontinuidade”, </w:t>
      </w:r>
      <w:r>
        <w:rPr>
          <w:rFonts w:eastAsia="Times New Roman"/>
        </w:rPr>
        <w:t>“Determinantes Sociais da Saúde”, “aprendizado de máquina” e “índice de vulnerabilidade”, evitando conotação diagnóstica ou clínica não sustentada.</w:t>
      </w:r>
    </w:p>
    <w:sectPr w:rsidR="00E62C65">
      <w:headerReference w:type="even" r:id="rId8"/>
      <w:headerReference w:type="default" r:id="rId9"/>
      <w:headerReference w:type="first" r:id="rId10"/>
      <w:pgSz w:w="11906" w:h="16838"/>
      <w:pgMar w:top="1701" w:right="1134" w:bottom="1134" w:left="1701" w:header="709" w:footer="0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BFCEE" w14:textId="77777777" w:rsidR="00474360" w:rsidRDefault="00474360">
      <w:pPr>
        <w:spacing w:after="0" w:line="240" w:lineRule="auto"/>
      </w:pPr>
      <w:r>
        <w:separator/>
      </w:r>
    </w:p>
  </w:endnote>
  <w:endnote w:type="continuationSeparator" w:id="0">
    <w:p w14:paraId="51269C87" w14:textId="77777777" w:rsidR="00474360" w:rsidRDefault="004743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B84431" w14:textId="77777777" w:rsidR="00474360" w:rsidRDefault="00474360">
      <w:pPr>
        <w:spacing w:after="0" w:line="240" w:lineRule="auto"/>
      </w:pPr>
      <w:r>
        <w:separator/>
      </w:r>
    </w:p>
  </w:footnote>
  <w:footnote w:type="continuationSeparator" w:id="0">
    <w:p w14:paraId="61D4A49F" w14:textId="77777777" w:rsidR="00474360" w:rsidRDefault="004743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114874" w14:textId="77777777" w:rsidR="00E62C65" w:rsidRDefault="00E62C6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1CDBB" w14:textId="77777777" w:rsidR="00E62C65" w:rsidRDefault="00474360">
    <w:pPr>
      <w:pStyle w:val="Cabealho"/>
      <w:jc w:val="right"/>
    </w:pP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95BAF" w14:textId="77777777" w:rsidR="00E62C65" w:rsidRDefault="00474360">
    <w:pPr>
      <w:pStyle w:val="Cabealho"/>
      <w:jc w:val="right"/>
    </w:pP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D6374"/>
    <w:multiLevelType w:val="multilevel"/>
    <w:tmpl w:val="5EC40B0A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AB23617"/>
    <w:multiLevelType w:val="multilevel"/>
    <w:tmpl w:val="B8B0C2C0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C74101E"/>
    <w:multiLevelType w:val="multilevel"/>
    <w:tmpl w:val="237CC1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2EDA23FA"/>
    <w:multiLevelType w:val="multilevel"/>
    <w:tmpl w:val="B23893C2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443E3CA0"/>
    <w:multiLevelType w:val="multilevel"/>
    <w:tmpl w:val="0840E044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84624CF"/>
    <w:multiLevelType w:val="multilevel"/>
    <w:tmpl w:val="BAD4DBCC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CB6147E"/>
    <w:multiLevelType w:val="multilevel"/>
    <w:tmpl w:val="C8A0321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84308719">
    <w:abstractNumId w:val="6"/>
  </w:num>
  <w:num w:numId="2" w16cid:durableId="630134990">
    <w:abstractNumId w:val="5"/>
  </w:num>
  <w:num w:numId="3" w16cid:durableId="1469008012">
    <w:abstractNumId w:val="0"/>
  </w:num>
  <w:num w:numId="4" w16cid:durableId="490407484">
    <w:abstractNumId w:val="4"/>
  </w:num>
  <w:num w:numId="5" w16cid:durableId="213659811">
    <w:abstractNumId w:val="1"/>
  </w:num>
  <w:num w:numId="6" w16cid:durableId="1238709715">
    <w:abstractNumId w:val="3"/>
  </w:num>
  <w:num w:numId="7" w16cid:durableId="11776185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62C65"/>
    <w:rsid w:val="00474360"/>
    <w:rsid w:val="00B67F73"/>
    <w:rsid w:val="00E62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1E343B6"/>
  <w15:docId w15:val="{366AD8F4-8C8B-4C13-992D-1FA0BBAE2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24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E618BF"/>
  </w:style>
  <w:style w:type="character" w:customStyle="1" w:styleId="RodapChar">
    <w:name w:val="Rodapé Char"/>
    <w:basedOn w:val="Fontepargpadro"/>
    <w:link w:val="Rodap"/>
    <w:uiPriority w:val="99"/>
    <w:qFormat/>
    <w:rsid w:val="00E618BF"/>
  </w:style>
  <w:style w:type="character" w:customStyle="1" w:styleId="Ttulo1Char">
    <w:name w:val="Título 1 Char"/>
    <w:basedOn w:val="Fontepargpadro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sid w:val="00AA1D8D"/>
  </w:style>
  <w:style w:type="character" w:customStyle="1" w:styleId="Corpodetexto2Char">
    <w:name w:val="Corpo de texto 2 Char"/>
    <w:basedOn w:val="Fontepargpadro"/>
    <w:link w:val="Corpodetexto2"/>
    <w:uiPriority w:val="99"/>
    <w:qFormat/>
    <w:rsid w:val="00AA1D8D"/>
  </w:style>
  <w:style w:type="character" w:customStyle="1" w:styleId="Corpodetexto3Char">
    <w:name w:val="Corpo de texto 3 Char"/>
    <w:basedOn w:val="Fontepargpadro"/>
    <w:link w:val="Corpodetexto3"/>
    <w:uiPriority w:val="99"/>
    <w:qFormat/>
    <w:rsid w:val="00AA1D8D"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oChar">
    <w:name w:val="Citação Char"/>
    <w:basedOn w:val="Fontepargpadro"/>
    <w:link w:val="Citao"/>
    <w:uiPriority w:val="29"/>
    <w:qFormat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emEspaamento">
    <w:name w:val="No Spacing"/>
    <w:uiPriority w:val="1"/>
    <w:qFormat/>
    <w:rsid w:val="00FC693F"/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rsid w:val="00AA1D8D"/>
    <w:pPr>
      <w:spacing w:after="120" w:line="480" w:lineRule="auto"/>
    </w:pPr>
  </w:style>
  <w:style w:type="paragraph" w:styleId="Corpodetexto3">
    <w:name w:val="Body Text 3"/>
    <w:basedOn w:val="Normal"/>
    <w:link w:val="Corpodetexto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remissivo">
    <w:name w:val="index heading"/>
    <w:basedOn w:val="Heading"/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paragraph" w:customStyle="1" w:styleId="EditorialStatus">
    <w:name w:val="Editorial Status"/>
    <w:qFormat/>
    <w:pPr>
      <w:spacing w:before="80" w:after="160"/>
      <w:ind w:left="227" w:right="227"/>
    </w:pPr>
    <w:rPr>
      <w:rFonts w:ascii="Times New Roman" w:hAnsi="Times New Roman"/>
      <w:i/>
      <w:sz w:val="20"/>
    </w:rPr>
  </w:style>
  <w:style w:type="paragraph" w:customStyle="1" w:styleId="CodeBlock">
    <w:name w:val="Code Block"/>
    <w:qFormat/>
    <w:pPr>
      <w:spacing w:before="80" w:after="120"/>
      <w:ind w:left="283" w:right="283"/>
    </w:pPr>
    <w:rPr>
      <w:rFonts w:ascii="Courier New" w:hAnsi="Courier New"/>
      <w:sz w:val="18"/>
    </w:rPr>
  </w:style>
  <w:style w:type="paragraph" w:customStyle="1" w:styleId="ReferenceEntry">
    <w:name w:val="Reference Entry"/>
    <w:qFormat/>
    <w:pPr>
      <w:spacing w:after="240"/>
    </w:pPr>
    <w:rPr>
      <w:rFonts w:ascii="Times New Roman" w:hAnsi="Times New Roman"/>
      <w:sz w:val="24"/>
    </w:rPr>
  </w:style>
  <w:style w:type="paragraph" w:styleId="Sumrio1">
    <w:name w:val="toc 1"/>
    <w:basedOn w:val="Index"/>
    <w:uiPriority w:val="39"/>
    <w:pPr>
      <w:tabs>
        <w:tab w:val="right" w:leader="dot" w:pos="9071"/>
      </w:tabs>
    </w:pPr>
  </w:style>
  <w:style w:type="paragraph" w:styleId="Sumrio2">
    <w:name w:val="toc 2"/>
    <w:basedOn w:val="Index"/>
    <w:uiPriority w:val="39"/>
    <w:pPr>
      <w:tabs>
        <w:tab w:val="right" w:leader="dot" w:pos="8788"/>
      </w:tabs>
      <w:ind w:left="283"/>
    </w:pPr>
  </w:style>
  <w:style w:type="paragraph" w:styleId="Sumrio3">
    <w:name w:val="toc 3"/>
    <w:basedOn w:val="Index"/>
    <w:uiPriority w:val="39"/>
    <w:pPr>
      <w:tabs>
        <w:tab w:val="right" w:leader="dot" w:pos="8504"/>
      </w:tabs>
      <w:ind w:left="567"/>
    </w:pPr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9872</Words>
  <Characters>59521</Characters>
  <Application>Microsoft Office Word</Application>
  <DocSecurity>0</DocSecurity>
  <Lines>1260</Lines>
  <Paragraphs>592</Paragraphs>
  <ScaleCrop>false</ScaleCrop>
  <Company/>
  <LinksUpToDate>false</LinksUpToDate>
  <CharactersWithSpaces>69143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Hárliton Martins</cp:lastModifiedBy>
  <cp:revision>2</cp:revision>
  <dcterms:created xsi:type="dcterms:W3CDTF">2026-08-26T20:21:00Z</dcterms:created>
  <dcterms:modified xsi:type="dcterms:W3CDTF">2026-08-26T20:21:00Z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Antônio Hárliton Martins de Souza</dc:creator>
  <dc:description>Documento mestre de trabalho. Capítulo 1 congelado; capítulos 2–6 em evolução sincronizada com o projeto.</dc:description>
  <dc:language>en-US</dc:language>
  <cp:lastModifiedBy/>
  <dcterms:modified xsi:type="dcterms:W3CDTF">2026-08-25T04:58:04Z</dcterms:modified>
  <cp:revision>2</cp:revision>
  <dc:subject>Trabalho de Conclusão de Curso – Engenharia de Software – IFAM Campus Manaus Zona Leste</dc:subject>
  <dc:title>TCC2 – Estimativa da propensão à descontinuidade do acompanhamento pré-natal</dc:title>
</cp:coreProperties>
</file>