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INSTITUTO FEDERAL DE EDUCAÇÃO, CIÊNCIA E TECNOLOGIA DO AMAZONAS</w:t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CAMPUS MANAUS ZONA LESTE</w:t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BACHARELADO EM ENGENHARIA DE SOFTWARE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ANTÔNIO HÁRLITON MARTINS DE SOUZA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8"/>
        </w:rPr>
        <w:t>Estimativa da propensão à descontinuidade do acompanhamento pré-natal a partir dos Determinantes Sociais da Saúde: uma abordagem com aprendizado de máquina e um índice de vulnerabilidade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MANAUS – AM</w:t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ANTÔNIO HÁRLITON MARTINS DE SOUZA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8"/>
        </w:rPr>
        <w:t>Estimativa da propensão à descontinuidade do acompanhamento pré-natal a partir dos Determinantes Sociais da Saúde: uma abordagem com aprendizado de máquina e um índice de vulnerabilidade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start="4535"/>
        <w:jc w:val="both"/>
        <w:rPr/>
      </w:pPr>
      <w:r>
        <w:rPr>
          <w:rFonts w:eastAsia="Times New Roman"/>
          <w:b w:val="false"/>
          <w:i w:val="false"/>
          <w:sz w:val="24"/>
        </w:rPr>
        <w:t>Trabalho de Conclusão de Curso apresentado ao Curso de Bacharelado em Engenharia de Software do Instituto Federal de Educação, Ciência e Tecnologia do Amazonas – Campus Manaus Zona Leste, como requisito parcial para obtenção do título de Bacharel em Engenharia de Software.</w:t>
      </w:r>
    </w:p>
    <w:p>
      <w:pPr>
        <w:pStyle w:val="Normal"/>
        <w:spacing w:lineRule="auto" w:line="240"/>
        <w:ind w:start="4535"/>
        <w:rPr/>
      </w:pPr>
      <w:r>
        <w:rPr>
          <w:rFonts w:eastAsia="Times New Roman"/>
          <w:b w:val="false"/>
          <w:i w:val="false"/>
          <w:sz w:val="24"/>
        </w:rPr>
        <w:t>Orientador: Prof. Mestre Benevaldo Pereira Gonçalves.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MANAUS – AM</w:t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FOLHA DE APROVAÇÃO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ANTÔNIO HÁRLITON MARTINS DE SOUZA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Estimativa da propensão à descontinuidade do acompanhamento pré-natal a partir dos Determinantes Sociais da Saúde: uma abordagem com aprendizado de máquina e um índice de vulnerabilidade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CONTROLE EDITORIAL — substituir esta página pela folha de aprovação oficial após a defesa, com data e composição da banca.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RESUMO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CONTROLE EDITORIAL — resumo a redigir após a consolidação dos capítulos 2–6 e da versão final da API do acompanhamento pré-natal.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Palavras-chave: pré-natal; determinantes sociais da saúde; aprendizado de máquina; dados sintéticos; saúde digital.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ABSTRACT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EDITORIAL CONTROL — abstract to be written after consolidation of the full manuscript.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Keywords: prenatal care; social determinants of health; machine learning; synthetic data; digital health.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LISTA DE TABELAS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Tabela 1 – Comparação dos modelos na validação cruzada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Tabela 2 – Desempenho do modelo selecionado no conjunto hold-out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Tabela 3 – Matriz de confusão no limiar de referência 0,5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Tabela 4 – Cobertura do IV-DSS no dataset sintético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LISTA DE ABREVIATURAS E SIGLAS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>
          <w:tblHeader/>
        </w:trPr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API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Application Programming Interface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CV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Validação cruzada (cross-validation)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DGM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Data Generation Model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DSS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Determinantes Sociais da Saúde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IV-DSS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Índice de Vulnerabilidade dos Determinantes Sociais da Saúde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ML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Aprendizado de máquina (machine learning)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OMS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Organização Mundial da Saúde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PR-AUC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Área sob a curva Precision-Recall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RF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Random Forest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RL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Regressão logística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ROC-AUC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Área sob a curva ROC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SUS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Sistema Único de Saúde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T0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Instante de aplicação/envio do questionário DSS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UBS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Unidade Básica de Saúde</w:t>
            </w:r>
          </w:p>
        </w:tc>
      </w:tr>
      <w:tr>
        <w:trPr/>
        <w:tc>
          <w:tcPr>
            <w:tcW w:w="4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20"/>
                <w:szCs w:val="22"/>
                <w:lang w:val="en-US" w:eastAsia="en-US" w:bidi="ar-SA"/>
              </w:rPr>
              <w:t>XGBoost</w:t>
            </w:r>
          </w:p>
        </w:tc>
        <w:tc>
          <w:tcPr>
            <w:tcW w:w="45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Extreme Gradient Boosting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57_3157870603">
            <w:r>
              <w:rPr>
                <w:webHidden/>
                <w:rStyle w:val="IndexLink"/>
              </w:rPr>
              <w:t>1 INTRODUÇÃO</w:t>
              <w:tab/>
              <w:t>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59_3157870603">
            <w:r>
              <w:rPr>
                <w:webHidden/>
                <w:rStyle w:val="IndexLink"/>
              </w:rPr>
              <w:t>1.1 Contextualização</w:t>
              <w:tab/>
              <w:t>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61_3157870603">
            <w:r>
              <w:rPr>
                <w:webHidden/>
                <w:rStyle w:val="IndexLink"/>
              </w:rPr>
              <w:t>1.2 Problema de pesquisa</w:t>
              <w:tab/>
              <w:t>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63_3157870603">
            <w:r>
              <w:rPr>
                <w:webHidden/>
                <w:rStyle w:val="IndexLink"/>
              </w:rPr>
              <w:t>1.3 Justificativa</w:t>
              <w:tab/>
              <w:t>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65_3157870603">
            <w:r>
              <w:rPr>
                <w:webHidden/>
                <w:rStyle w:val="IndexLink"/>
              </w:rPr>
              <w:t>1.4 Objetivos</w:t>
              <w:tab/>
              <w:t>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167_3157870603">
            <w:r>
              <w:rPr>
                <w:webHidden/>
                <w:rStyle w:val="IndexLink"/>
              </w:rPr>
              <w:t>1.4.1 Objetivo geral</w:t>
              <w:tab/>
              <w:t>4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169_3157870603">
            <w:r>
              <w:rPr>
                <w:webHidden/>
                <w:rStyle w:val="IndexLink"/>
              </w:rPr>
              <w:t>1.4.2 Objetivos específicos</w:t>
              <w:tab/>
              <w:t>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71_3157870603">
            <w:r>
              <w:rPr>
                <w:webHidden/>
                <w:rStyle w:val="IndexLink"/>
              </w:rPr>
              <w:t>1.5 Estrutura do trabalho</w:t>
              <w:tab/>
              <w:t>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173_3157870603">
            <w:r>
              <w:rPr>
                <w:webHidden/>
                <w:rStyle w:val="IndexLink"/>
              </w:rPr>
              <w:t>2 FUNDAMENTAÇÃO TEÓRICA</w:t>
              <w:tab/>
              <w:t>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75_3157870603">
            <w:r>
              <w:rPr>
                <w:webHidden/>
                <w:rStyle w:val="IndexLink"/>
              </w:rPr>
              <w:t>2.1 Pré-natal e saúde materna</w:t>
              <w:tab/>
              <w:t>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77_3157870603">
            <w:r>
              <w:rPr>
                <w:webHidden/>
                <w:rStyle w:val="IndexLink"/>
              </w:rPr>
              <w:t>2.2 Determinantes Sociais da Saúde</w:t>
              <w:tab/>
              <w:t>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79_3157870603">
            <w:r>
              <w:rPr>
                <w:webHidden/>
                <w:rStyle w:val="IndexLink"/>
              </w:rPr>
              <w:t>2.3 Vulnerabilidade e índices compostos</w:t>
              <w:tab/>
              <w:t>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81_3157870603">
            <w:r>
              <w:rPr>
                <w:webHidden/>
                <w:rStyle w:val="IndexLink"/>
              </w:rPr>
              <w:t>2.4 Aprendizado de máquina supervisionado</w:t>
              <w:tab/>
              <w:t>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83_3157870603">
            <w:r>
              <w:rPr>
                <w:webHidden/>
                <w:rStyle w:val="IndexLink"/>
              </w:rPr>
              <w:t>2.5 Trabalhos relacionados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185_3157870603">
            <w:r>
              <w:rPr>
                <w:webHidden/>
                <w:rStyle w:val="IndexLink"/>
              </w:rPr>
              <w:t>3 METODOLOGIA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87_3157870603">
            <w:r>
              <w:rPr>
                <w:webHidden/>
                <w:rStyle w:val="IndexLink"/>
              </w:rPr>
              <w:t>3.1 Tipo de pesquisa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89_3157870603">
            <w:r>
              <w:rPr>
                <w:webHidden/>
                <w:rStyle w:val="IndexLink"/>
              </w:rPr>
              <w:t>3.2 Determinantes Sociais da Saúde utilizados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191_3157870603">
            <w:r>
              <w:rPr>
                <w:webHidden/>
                <w:rStyle w:val="IndexLink"/>
              </w:rPr>
              <w:t>3.3 Construção do Índice de Vulnerabilidade dos DSS (IV-DSS)</w:t>
              <w:tab/>
              <w:t>7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193_3157870603">
            <w:r>
              <w:rPr>
                <w:webHidden/>
                <w:rStyle w:val="IndexLink"/>
              </w:rPr>
              <w:t>3.3.1 Definição conceitual</w:t>
              <w:tab/>
              <w:t>7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195_3157870603">
            <w:r>
              <w:rPr>
                <w:webHidden/>
                <w:rStyle w:val="IndexLink"/>
              </w:rPr>
              <w:t>3.3.2 Estrutura (três níveis de agregação)</w:t>
              <w:tab/>
              <w:t>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197_3157870603">
            <w:r>
              <w:rPr>
                <w:webHidden/>
                <w:rStyle w:val="IndexLink"/>
              </w:rPr>
              <w:t>3.3.3 Indicadores e escores por dimensão</w:t>
              <w:tab/>
              <w:t>8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199_3157870603">
            <w:r>
              <w:rPr>
                <w:webHidden/>
                <w:rStyle w:val="IndexLink"/>
              </w:rPr>
              <w:t>3.3.4 Pesos</w:t>
              <w:tab/>
              <w:t>10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201_3157870603">
            <w:r>
              <w:rPr>
                <w:webHidden/>
                <w:rStyle w:val="IndexLink"/>
              </w:rPr>
              <w:t>3.3.5 Escala e interpretação</w:t>
              <w:tab/>
              <w:t>10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203_3157870603">
            <w:r>
              <w:rPr>
                <w:webHidden/>
                <w:rStyle w:val="IndexLink"/>
              </w:rPr>
              <w:t>3.3.6 Política de missing e validade</w:t>
              <w:tab/>
              <w:t>10</w:t>
            </w:r>
          </w:hyperlink>
        </w:p>
        <w:p>
          <w:pPr>
            <w:pStyle w:val="TOC3"/>
            <w:tabs>
              <w:tab w:val="clear" w:pos="8504"/>
              <w:tab w:val="right" w:pos="9070" w:leader="dot"/>
            </w:tabs>
            <w:rPr/>
          </w:pPr>
          <w:hyperlink w:anchor="__RefHeading___Toc2205_3157870603">
            <w:r>
              <w:rPr>
                <w:webHidden/>
                <w:rStyle w:val="IndexLink"/>
              </w:rPr>
              <w:t>3.3.7 Análises de sensibilidade</w:t>
              <w:tab/>
              <w:t>10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07_3157870603">
            <w:r>
              <w:rPr>
                <w:webHidden/>
                <w:rStyle w:val="IndexLink"/>
              </w:rPr>
              <w:t>3.4 Modelagem dos dados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09_3157870603">
            <w:r>
              <w:rPr>
                <w:webHidden/>
                <w:rStyle w:val="IndexLink"/>
              </w:rPr>
              <w:t>3.5 População, T0 e variável-alvo</w:t>
              <w:tab/>
              <w:t>11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11_3157870603">
            <w:r>
              <w:rPr>
                <w:webHidden/>
                <w:rStyle w:val="IndexLink"/>
              </w:rPr>
              <w:t>3.6 Geração do dataset sintético</w:t>
              <w:tab/>
              <w:t>12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13_3157870603">
            <w:r>
              <w:rPr>
                <w:webHidden/>
                <w:rStyle w:val="IndexLink"/>
              </w:rPr>
              <w:t>3.7 Seleção de variáveis e controle de leakage</w:t>
              <w:tab/>
              <w:t>13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15_3157870603">
            <w:r>
              <w:rPr>
                <w:webHidden/>
                <w:rStyle w:val="IndexLink"/>
              </w:rPr>
              <w:t>3.8 Modelos de aprendizado de máquina</w:t>
              <w:tab/>
              <w:t>14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17_3157870603">
            <w:r>
              <w:rPr>
                <w:webHidden/>
                <w:rStyle w:val="IndexLink"/>
              </w:rPr>
              <w:t>3.9 Treinamento e validação</w:t>
              <w:tab/>
              <w:t>15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19_3157870603">
            <w:r>
              <w:rPr>
                <w:webHidden/>
                <w:rStyle w:val="IndexLink"/>
              </w:rPr>
              <w:t>3.10 Métricas</w:t>
              <w:tab/>
              <w:t>15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21_3157870603">
            <w:r>
              <w:rPr>
                <w:webHidden/>
                <w:rStyle w:val="IndexLink"/>
              </w:rPr>
              <w:t>3.11 Procedimento de validação da integração Flutter → API → ML</w:t>
              <w:tab/>
              <w:t>16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23_3157870603">
            <w:r>
              <w:rPr>
                <w:webHidden/>
                <w:rStyle w:val="IndexLink"/>
              </w:rPr>
              <w:t>3.12 Aspectos éticos e limitações</w:t>
              <w:tab/>
              <w:t>16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225_3157870603">
            <w:r>
              <w:rPr>
                <w:webHidden/>
                <w:rStyle w:val="IndexLink"/>
              </w:rPr>
              <w:t>4 DESENVOLVIMENTO DA SOLUÇÃO</w:t>
              <w:tab/>
              <w:t>18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27_3157870603">
            <w:r>
              <w:rPr>
                <w:webHidden/>
                <w:rStyle w:val="IndexLink"/>
              </w:rPr>
              <w:t>4.1 Arquitetura</w:t>
              <w:tab/>
              <w:t>18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29_3157870603">
            <w:r>
              <w:rPr>
                <w:webHidden/>
                <w:rStyle w:val="IndexLink"/>
              </w:rPr>
              <w:t>4.2 Eixo 1 — Questionário dos DSS</w:t>
              <w:tab/>
              <w:t>18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31_3157870603">
            <w:r>
              <w:rPr>
                <w:webHidden/>
                <w:rStyle w:val="IndexLink"/>
              </w:rPr>
              <w:t>4.3 Eixo 2 — Módulo de acompanhamento do pré-natal</w:t>
              <w:tab/>
              <w:t>18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33_3157870603">
            <w:r>
              <w:rPr>
                <w:webHidden/>
                <w:rStyle w:val="IndexLink"/>
              </w:rPr>
              <w:t>4.4 Armazenamento local / offline</w:t>
              <w:tab/>
              <w:t>19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35_3157870603">
            <w:r>
              <w:rPr>
                <w:webHidden/>
                <w:rStyle w:val="IndexLink"/>
              </w:rPr>
              <w:t>4.5 Autenticação e estado atual do DSS</w:t>
              <w:tab/>
              <w:t>19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37_3157870603">
            <w:r>
              <w:rPr>
                <w:webHidden/>
                <w:rStyle w:val="IndexLink"/>
              </w:rPr>
              <w:t>4.6 Onde o IV-DSS é calculado</w:t>
              <w:tab/>
              <w:t>20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39_3157870603">
            <w:r>
              <w:rPr>
                <w:webHidden/>
                <w:rStyle w:val="IndexLink"/>
              </w:rPr>
              <w:t>4.7 Arquitetura futura proposta (evolução)</w:t>
              <w:tab/>
              <w:t>20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241_3157870603">
            <w:r>
              <w:rPr>
                <w:webHidden/>
                <w:rStyle w:val="IndexLink"/>
              </w:rPr>
              <w:t>5 RESULTADOS E DISCUSSÃO</w:t>
              <w:tab/>
              <w:t>22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43_3157870603">
            <w:r>
              <w:rPr>
                <w:webHidden/>
                <w:rStyle w:val="IndexLink"/>
              </w:rPr>
              <w:t>5.1 Conjunto sintético e protocolo</w:t>
              <w:tab/>
              <w:t>22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45_3157870603">
            <w:r>
              <w:rPr>
                <w:webHidden/>
                <w:rStyle w:val="IndexLink"/>
              </w:rPr>
              <w:t>5.2 Comparação e seleção de modelos</w:t>
              <w:tab/>
              <w:t>22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47_3157870603">
            <w:r>
              <w:rPr>
                <w:webHidden/>
                <w:rStyle w:val="IndexLink"/>
              </w:rPr>
              <w:t>5.3 Desempenho do modelo selecionado (hold-out)</w:t>
              <w:tab/>
              <w:t>22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49_3157870603">
            <w:r>
              <w:rPr>
                <w:webHidden/>
                <w:rStyle w:val="IndexLink"/>
              </w:rPr>
              <w:t>5.4 Análise de threshold</w:t>
              <w:tab/>
              <w:t>23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51_3157870603">
            <w:r>
              <w:rPr>
                <w:webHidden/>
                <w:rStyle w:val="IndexLink"/>
              </w:rPr>
              <w:t>5.5 Calibração e estabilidade</w:t>
              <w:tab/>
              <w:t>23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53_3157870603">
            <w:r>
              <w:rPr>
                <w:webHidden/>
                <w:rStyle w:val="IndexLink"/>
              </w:rPr>
              <w:t>5.6 Sensibilidade metodológica</w:t>
              <w:tab/>
              <w:t>24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55_3157870603">
            <w:r>
              <w:rPr>
                <w:webHidden/>
                <w:rStyle w:val="IndexLink"/>
              </w:rPr>
              <w:t>5.7 Interpretabilidade</w:t>
              <w:tab/>
              <w:t>24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57_3157870603">
            <w:r>
              <w:rPr>
                <w:webHidden/>
                <w:rStyle w:val="IndexLink"/>
              </w:rPr>
              <w:t>5.8 IV-DSS</w:t>
              <w:tab/>
              <w:t>24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59_3157870603">
            <w:r>
              <w:rPr>
                <w:webHidden/>
                <w:rStyle w:val="IndexLink"/>
              </w:rPr>
              <w:t>5.9 Validação da implementação de software</w:t>
              <w:tab/>
              <w:t>25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61_3157870603">
            <w:r>
              <w:rPr>
                <w:webHidden/>
                <w:rStyle w:val="IndexLink"/>
              </w:rPr>
              <w:t>5.10 Discussão</w:t>
              <w:tab/>
              <w:t>25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263_3157870603">
            <w:r>
              <w:rPr>
                <w:webHidden/>
                <w:rStyle w:val="IndexLink"/>
              </w:rPr>
              <w:t>6 CONCLUSÃO</w:t>
              <w:tab/>
              <w:t>26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65_3157870603">
            <w:r>
              <w:rPr>
                <w:webHidden/>
                <w:rStyle w:val="IndexLink"/>
              </w:rPr>
              <w:t>6.1 Síntese dos resultados</w:t>
              <w:tab/>
              <w:t>26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67_3157870603">
            <w:r>
              <w:rPr>
                <w:webHidden/>
                <w:rStyle w:val="IndexLink"/>
              </w:rPr>
              <w:t>6.2 Limitações do estudo</w:t>
              <w:tab/>
              <w:t>26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269_3157870603">
            <w:r>
              <w:rPr>
                <w:webHidden/>
                <w:rStyle w:val="IndexLink"/>
              </w:rPr>
              <w:t>6.3 Trabalhos futuros</w:t>
              <w:tab/>
              <w:t>26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271_3157870603">
            <w:r>
              <w:rPr>
                <w:webHidden/>
                <w:rStyle w:val="IndexLink"/>
              </w:rPr>
              <w:t>REFERÊNCIAS</w:t>
              <w:tab/>
              <w:t>27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273_3157870603">
            <w:r>
              <w:rPr>
                <w:webHidden/>
                <w:rStyle w:val="IndexLink"/>
              </w:rPr>
              <w:t>APÊNDICE A — DECISÕES METODOLÓGICAS CONSOLIDADAS E EM ABERTO</w:t>
              <w:tab/>
              <w:t>29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275_3157870603">
            <w:r>
              <w:rPr>
                <w:webHidden/>
                <w:rStyle w:val="IndexLink"/>
              </w:rPr>
              <w:t>APÊNDICE B — FUNDAMENTAÇÃO DA ESCOLHA DO TÍTULO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start"/>
        <w:rPr>
          <w:rFonts w:ascii="Times New Roman" w:hAnsi="Times New Roman"/>
          <w:sz w:val="24"/>
        </w:rPr>
      </w:pPr>
      <w:r>
        <w:rPr>
          <w:sz w:val="24"/>
        </w:rPr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rFonts w:eastAsia="Times New Roman"/>
          <w:b/>
          <w:sz w:val="24"/>
        </w:rPr>
        <w:t>CONTROLE EDITORIAL — REMOVER ANTES DA ENTREGA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Esta página existe somente no documento mestre de trabalho. Ela organiza a evolução sincronizada entre software e monografia.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Parte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Estado em 25/08/2026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Regra de atualização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Capítulo 1 – Introdução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CONGELADO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Alterar apenas mediante decisão metodológica/documental explícita.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Capítulo 2 – Fundamentação Teórica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ESTRUTURA PRONTA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Redação acadêmica ainda será desenvolvida a partir da matriz bibliográfica validada.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Capítulo 3 – Metodologia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RASCUNHO TÉCNICO CONSOLIDADO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Revisar academicamente e citar literatura metodológica; atualizar se o método científico mudar.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Capítulo 4 – Desenvolvimento da Solução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RASCUNHO TÉCNICO ATUAL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Atualizar a cada marco de Flutter/API; a API do acompanhamento pré-natal ainda não está implementada.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Capítulo 5 – Resultados e Discussão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RESULTADOS TÉCNICOS ATUAIS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Resultados de IA/API/DSS já incorporados; discussão bibliográfica será aprofundada.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Capítulo 6 – Conclusão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PROVISÓRIA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Reescrever após concluir a evolução do acompanhamento pré-natal e consolidar resultados finais.</w:t>
            </w:r>
          </w:p>
        </w:tc>
      </w:tr>
    </w:tbl>
    <w:p>
      <w:pPr>
        <w:pStyle w:val="Normal"/>
        <w:spacing w:before="40" w:after="120"/>
        <w:rPr/>
      </w:pPr>
      <w:r>
        <w:rPr>
          <w:rFonts w:eastAsia="Times New Roman"/>
          <w:sz w:val="18"/>
        </w:rPr>
        <w:t>Fonte: controle interno do projeto (2026).</w:t>
      </w:r>
    </w:p>
    <w:p>
      <w:pPr>
        <w:sectPr>
          <w:type w:val="nextPage"/>
          <w:pgSz w:w="11906" w:h="16838"/>
          <w:pgMar w:left="1701" w:right="1134" w:gutter="0" w:header="0" w:top="1701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Regra de sincronização: marco técnico concluído e testado → documentação técnica atualizada → impacto acadêmico revisado → documento mestre atualizado.</w:t>
      </w:r>
    </w:p>
    <w:p>
      <w:pPr>
        <w:pStyle w:val="Heading1"/>
        <w:ind w:hanging="0"/>
        <w:jc w:val="start"/>
        <w:rPr/>
      </w:pPr>
      <w:bookmarkStart w:id="0" w:name="__RefHeading___Toc2157_3157870603"/>
      <w:bookmarkEnd w:id="0"/>
      <w:r>
        <w:rPr>
          <w:rFonts w:eastAsia="Times New Roman" w:ascii="Times New Roman" w:hAnsi="Times New Roman"/>
          <w:b/>
          <w:sz w:val="24"/>
        </w:rPr>
        <w:t>1 INTRODUÇÃO</w:t>
      </w:r>
    </w:p>
    <w:p>
      <w:pPr>
        <w:pStyle w:val="Heading2"/>
        <w:ind w:hanging="0"/>
        <w:jc w:val="start"/>
        <w:rPr/>
      </w:pPr>
      <w:bookmarkStart w:id="1" w:name="__RefHeading___Toc2159_3157870603"/>
      <w:bookmarkEnd w:id="1"/>
      <w:r>
        <w:rPr>
          <w:rFonts w:eastAsia="Times New Roman" w:ascii="Times New Roman" w:hAnsi="Times New Roman"/>
          <w:b/>
          <w:sz w:val="24"/>
        </w:rPr>
        <w:t>1.1 Contextualização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O acompanhamento pré-natal constitui um componente central da atenção à gestação e da promoção da saúde materno-infantil, sendo objeto de diretrizes internacionais que recomendam uma atenção organizada, periódica e centrada na gestante (OMS, 2016). No Brasil, essa atenção integra a política de saúde materno-infantil do Sistema Único de Saúde (SUS) e foi reafirmada, em sua configuração mais recente, pela Rede Alyne, instituída pela Portaria GM/MS nº 5.350, de 2024, que prevê a captação oportuna da gestante e a realização de um conjunto mínimo de consultas intercaladas entre diferentes profissionais (Brasil, 2024). A mortalidade materna permanece, todavia, um problema relevante em escala global (OMS, 2019, 2024), o que reforça a importância de estratégias que favoreçam a continuidade do acompanhamento.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Apesar da expansão da cobertura, a adequação e a continuidade do pré-natal permanecem desiguais no Brasil. Desigualdades socioeconômicas e barreiras de acesso estão associadas à menor adequação, à não realização, ao início tardio ou à descontinuidade do acompanhamento pré-natal, conforme a definição operacional adotada em cada estudo (Rosa; Silveira; Costa, 2014; Viellas et al., 2014; Degli Esposti et al., 2020; Santorio et al., 2024). Estudos conduzidos em diferentes contextos brasileiros evidenciam a associação entre condições sociais e a não realização do pré-natal (Rosa; Silveira; Costa, 2014), bem como o papel de determinantes sociais na realização do acompanhamento, em análises de base populacional (Santorio et al., 2024). As desigualdades observadas assumem, ademais, recortes sociais e geográficos, refletindo-se no desempenho da assistência (Degli Esposti et al., 2020).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Os Determinantes Sociais da Saúde (DSS) constituem o conjunto de condições sociais, econômicas e ambientais em que as pessoas nascem, vivem e trabalham e que moldam as oportunidades de saúde, gerando iniquidades evitáveis quando distribuídos de forma desigual (Buss; Pellegrini Filho, 2007; CNDSS, 2008; Solar; Irwin, 2010; OMS, 2025). No escopo deste trabalho, esses determinantes são operacionalizados em seis dimensões — educação, trabalho e renda, saneamento, acesso aos serviços de saúde, habitação e alimentação — que orientam a coleta estruturada de informações e a caracterização de perfis de vulnerabilidade social.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Em paralelo, o avanço das tecnologias digitais em saúde tem ampliado as possibilidades de coleta, registro e acompanhamento dessas informações. Iniciativas de saúde móvel (mHealth) têm sido investigadas como apoio ao pré-natal e ao pós-parto (Feroz; Perveen; Aftab, 2017), e aplicativos voltados à gestação vêm sendo estudados como recurso de apoio ao autocuidado e à gestão da gravidez (Iyawa; Dansharif; Khan, 2021). No contexto brasileiro, a Estratégia de Saúde Digital para o Brasil 2020–2028 estabelece diretrizes para o uso de tecnologias digitais no sistema de saúde (Brasil, 2020). É nessa confluência entre os DSS, a saúde digital e o aprendizado de máquina que se insere a proposta deste trabalho.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O emprego de inteligência artificial na saúde pública tem sido objeto de crescente discussão (Alves; Terazima; Lima, 2025). Nesse contexto, este trabalho investiga experimentalmente o emprego de aprendizado de máquina supervisionado sobre variáveis estruturadas dos DSS para estimar a propensão à descontinuidade do acompanhamento pré-natal, materializando-se no aplicativo "Meu Bebê", que integra, em uma mesma aplicação, a coleta estruturada dos DSS e um módulo de acompanhamento do pré-natal.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O estudo é conduzido sobre um dataset sintético, com finalidade de avaliação técnica e controlada da metodologia: os dados não representam prevalências reais e os resultados não autorizam inferência clínica ou populacional sobre gestantes reais. A estimativa produzida não constitui diagnóstico, classificação clínica ou certeza de descontinuidade, e nenhuma associação estatística é apresentada como relação causal. De modo complementar e separado do aplicativo, o estudo calcula, em seu componente analítico, o Índice de Vulnerabilidade dos Determinantes Sociais da Saúde (IV-DSS), de caráter descritivo e experimental, destinado a caracterizar a vulnerabilidade social dos perfis representados no dataset sintético — distinto da probabilidade estimada pelo modelo.</w:t>
      </w:r>
    </w:p>
    <w:p>
      <w:pPr>
        <w:pStyle w:val="Heading2"/>
        <w:ind w:hanging="0"/>
        <w:jc w:val="start"/>
        <w:rPr/>
      </w:pPr>
      <w:bookmarkStart w:id="2" w:name="__RefHeading___Toc2161_3157870603"/>
      <w:bookmarkEnd w:id="2"/>
      <w:r>
        <w:rPr>
          <w:rFonts w:eastAsia="Times New Roman" w:ascii="Times New Roman" w:hAnsi="Times New Roman"/>
          <w:b/>
          <w:sz w:val="24"/>
        </w:rPr>
        <w:t>1.2 Problema de pesquisa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Apesar da existência de diretrizes nacionais e da expansão do acesso, persistem desigualdades na adequação e na continuidade do acompanhamento pré-natal, associadas a condições sociais e a barreiras de acesso (Rosa; Silveira; Costa, 2014; Viellas et al., 2014; Degli Esposti et al., 2020; Santorio et al., 2024). A disponibilidade de informações estruturadas sobre os DSS abre espaço para investigar se técnicas de aprendizado de máquina podem, a partir dessas variáveis, produzir estimativas experimentais de propensão à descontinuidade.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É necessário, contudo, distinguir o fenômeno real — a descontinuidade do acompanhamento pré-natal, cuja operacionalização longitudinal com dados reais ainda exige fundamentação específica — da variável-alvo experimental adotada neste estudo, definida sobre dados sintéticos. O problema investigado, portanto, pode ser enunciado nos seguintes termos: </w:t>
      </w:r>
      <w:r>
        <w:rPr>
          <w:rFonts w:eastAsia="Times New Roman"/>
          <w:b/>
          <w:i w:val="false"/>
          <w:sz w:val="24"/>
        </w:rPr>
        <w:t>em que medida uma abordagem experimental de aprendizado de máquina baseada nos DSS, inicialmente avaliada com dados sintéticos, é capaz de produzir estimativas de propensão à descontinuidade do acompanhamento pré-natal?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Não se pretende, com este trabalho, estabelecer causalidade nem produzir diagnóstico ou classificação clínica. Trata-se de avaliar, de forma controlada e reproduzível, a viabilidade técnica de um pipeline computacional que relacione os DSS a um desfecho experimental.</w:t>
      </w:r>
    </w:p>
    <w:p>
      <w:pPr>
        <w:pStyle w:val="Heading2"/>
        <w:ind w:hanging="0"/>
        <w:jc w:val="start"/>
        <w:rPr/>
      </w:pPr>
      <w:bookmarkStart w:id="3" w:name="__RefHeading___Toc2163_3157870603"/>
      <w:bookmarkEnd w:id="3"/>
      <w:r>
        <w:rPr>
          <w:rFonts w:eastAsia="Times New Roman" w:ascii="Times New Roman" w:hAnsi="Times New Roman"/>
          <w:b/>
          <w:sz w:val="24"/>
        </w:rPr>
        <w:t>1.3 Justificativa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A relevância social deste trabalho reside na centralidade do pré-natal para a saúde materna e na persistência de desigualdades de acesso e de continuidade, documentadas para o contexto brasileiro (Rosa; Silveira; Costa, 2014; Viellas et al., 2014; Degli Esposti et al., 2020). A mortalidade materna permanece um problema relevante em escala global (OMS, 2019, 2024), e o acompanhamento pré-natal adequado figura entre as estratégias de prevenção recomendadas (OMS, 2016). Compreender como condições relacionadas aos DSS se associam às desigualdades observadas na adequação e na continuidade desse acompanhamento pode subsidiar o planejamento da atenção, ainda que este trabalho não se proponha a intervir diretamente sobre esse fenômeno nem a estabelecer relações de causalidade.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Do ponto de vista científico e tecnológico, justifica-se investigar se uma abordagem de aprendizado de máquina, aplicada a dados estruturados dos DSS, é capaz de produzir estimativas de propensão passíveis de avaliação segundo o protocolo experimental adotado. A opção por um dataset sintético permite a avaliação controlada e reproduzível do pipeline, ao mesmo tempo em que afasta qualquer leitura de validade clínica ou de representatividade populacional: os dados não representam prevalências reais nem autorizam inferência sobre gestantes reais.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A solução tecnológica proposta reúne, no aplicativo, a coleta estruturada dos DSS, o módulo de acompanhamento do pré-natal e o consumo da estimativa experimental produzida pelo pipeline de aprendizado de máquina. Paralelamente, no componente analítico do estudo, é calculado o Índice de Vulnerabilidade dos Determinantes Sociais da Saúde (IV-DSS), de caráter descritivo e experimental, distinto da probabilidade produzida pelo modelo e sem configurar classificação clínica. Prevê-se, para o módulo de acompanhamento, a integração a uma API para persistência e gerenciamento dos dados. Essa integração — questionário, estimativa e acompanhamento em uma mesma solução — constitui um resultado de engenharia relevante, independentemente do desempenho preditivo alcançado pelo modelo.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Acrescenta-se a relevância acadêmica: o trabalho consolida um pipeline experimental reproduzível — contrato de dados, geração controlada de dados sintéticos, protocolo de treinamento e validação, métricas adequadas a classes desbalanceadas e integração de software — que poderá ser reutilizado em etapas futuras com dados reais, sob os devidos requisitos éticos e de consentimento.</w:t>
      </w:r>
    </w:p>
    <w:p>
      <w:pPr>
        <w:pStyle w:val="Heading2"/>
        <w:ind w:hanging="0"/>
        <w:jc w:val="start"/>
        <w:rPr/>
      </w:pPr>
      <w:bookmarkStart w:id="4" w:name="__RefHeading___Toc2165_3157870603"/>
      <w:bookmarkEnd w:id="4"/>
      <w:r>
        <w:rPr>
          <w:rFonts w:eastAsia="Times New Roman" w:ascii="Times New Roman" w:hAnsi="Times New Roman"/>
          <w:b/>
          <w:sz w:val="24"/>
        </w:rPr>
        <w:t>1.4 Objetivos</w:t>
      </w:r>
    </w:p>
    <w:p>
      <w:pPr>
        <w:pStyle w:val="Heading3"/>
        <w:ind w:hanging="0"/>
        <w:jc w:val="start"/>
        <w:rPr/>
      </w:pPr>
      <w:bookmarkStart w:id="5" w:name="__RefHeading___Toc2167_3157870603"/>
      <w:bookmarkEnd w:id="5"/>
      <w:r>
        <w:rPr>
          <w:rFonts w:eastAsia="Times New Roman" w:ascii="Times New Roman" w:hAnsi="Times New Roman"/>
          <w:b/>
          <w:sz w:val="24"/>
        </w:rPr>
        <w:t>1.4.1 Objetivo geral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Desenvolver um aplicativo móvel para coleta estruturada dos Determinantes Sociais da Saúde e acompanhamento do pré-natal, construir um Índice de Vulnerabilidade dos DSS (IV-DSS) para caracterização dos perfis representados no dataset sintético, e desenvolver um modelo de aprendizado de máquina — treinado e avaliado sobre um dataset sintético — capaz de estimar a propensão à descontinuidade do acompanhamento pré-natal.</w:t>
      </w:r>
    </w:p>
    <w:p>
      <w:pPr>
        <w:pStyle w:val="Heading3"/>
        <w:ind w:hanging="0"/>
        <w:jc w:val="start"/>
        <w:rPr/>
      </w:pPr>
      <w:bookmarkStart w:id="6" w:name="__RefHeading___Toc2169_3157870603"/>
      <w:bookmarkEnd w:id="6"/>
      <w:r>
        <w:rPr>
          <w:rFonts w:eastAsia="Times New Roman" w:ascii="Times New Roman" w:hAnsi="Times New Roman"/>
          <w:b/>
          <w:sz w:val="24"/>
        </w:rPr>
        <w:t>1.4.2 Objetivos específicos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1. </w:t>
      </w:r>
      <w:r>
        <w:rPr>
          <w:rFonts w:eastAsia="Times New Roman"/>
          <w:b w:val="false"/>
          <w:i w:val="false"/>
          <w:sz w:val="24"/>
        </w:rPr>
        <w:t>Modelar os DSS em um contrato de dados canônico, versionado e reproduzível.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2. </w:t>
      </w:r>
      <w:r>
        <w:rPr>
          <w:rFonts w:eastAsia="Times New Roman"/>
          <w:b w:val="false"/>
          <w:i w:val="false"/>
          <w:sz w:val="24"/>
        </w:rPr>
        <w:t>Construir um Índice de Vulnerabilidade dos DSS (IV-DSS), baseado nas dimensões investigadas, para caracterizar o nível de vulnerabilidade social dos perfis representados no dataset sintético.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3. </w:t>
      </w:r>
      <w:r>
        <w:rPr>
          <w:rFonts w:eastAsia="Times New Roman"/>
          <w:b w:val="false"/>
          <w:i w:val="false"/>
          <w:sz w:val="24"/>
        </w:rPr>
        <w:t>Desenvolver o aplicativo Flutter com o questionário dos Determinantes Sociais da Saúde e o módulo de acompanhamento do pré-natal, integrando este último a uma API para persistência e gerenciamento dos dados.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4. </w:t>
      </w:r>
      <w:r>
        <w:rPr>
          <w:rFonts w:eastAsia="Times New Roman"/>
          <w:b w:val="false"/>
          <w:i w:val="false"/>
          <w:sz w:val="24"/>
        </w:rPr>
        <w:t>Definir a variável-alvo experimental utilizada no estudo sintético, distinguindo-a da futura operacionalização longitudinal com dados reais.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5. </w:t>
      </w:r>
      <w:r>
        <w:rPr>
          <w:rFonts w:eastAsia="Times New Roman"/>
          <w:b w:val="false"/>
          <w:i w:val="false"/>
          <w:sz w:val="24"/>
        </w:rPr>
        <w:t>Gerar um dataset sintético reproduzível (seed fixa), com dependências probabilísticas controladas e explicitamente definidas entre os DSS e o desfecho sintético.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6. </w:t>
      </w:r>
      <w:r>
        <w:rPr>
          <w:rFonts w:eastAsia="Times New Roman"/>
          <w:b w:val="false"/>
          <w:i w:val="false"/>
          <w:sz w:val="24"/>
        </w:rPr>
        <w:t>Aplicar e avaliar técnicas de aprendizado de máquina para estimar a propensão à descontinuidade do acompanhamento pré-natal.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7. </w:t>
      </w:r>
      <w:r>
        <w:rPr>
          <w:rFonts w:eastAsia="Times New Roman"/>
          <w:b w:val="false"/>
          <w:i w:val="false"/>
          <w:sz w:val="24"/>
        </w:rPr>
        <w:t>Avaliar os modelos por métricas adequadas a classes desbalanceadas.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8. </w:t>
      </w:r>
      <w:r>
        <w:rPr>
          <w:rFonts w:eastAsia="Times New Roman"/>
          <w:b w:val="false"/>
          <w:i w:val="false"/>
          <w:sz w:val="24"/>
        </w:rPr>
        <w:t>Integrar o questionário dos Determinantes Sociais da Saúde ao serviço de API e ao modelo de aprendizado de máquina, estabelecendo o fluxo Flutter → API → ML para obtenção da estimativa experimental de propensão à descontinuidade do acompanhamento pré-natal.</w:t>
      </w:r>
    </w:p>
    <w:p>
      <w:pPr>
        <w:pStyle w:val="Heading2"/>
        <w:ind w:hanging="0"/>
        <w:jc w:val="start"/>
        <w:rPr/>
      </w:pPr>
      <w:bookmarkStart w:id="7" w:name="__RefHeading___Toc2171_3157870603"/>
      <w:bookmarkEnd w:id="7"/>
      <w:r>
        <w:rPr>
          <w:rFonts w:eastAsia="Times New Roman" w:ascii="Times New Roman" w:hAnsi="Times New Roman"/>
          <w:b/>
          <w:sz w:val="24"/>
        </w:rPr>
        <w:t>1.5 Estrutura do trabalho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Além desta introdução, o trabalho organiza-se em cinco capítulos. O Capítulo 2 apresenta a fundamentação teórica, abordando o pré-natal e a saúde materna, os Determinantes Sociais da Saúde, a vulnerabilidade e os índices compostos, o aprendizado de máquina supervisionado e os trabalhos relacionados. O Capítulo 3 descreve a metodologia, abrangendo o tipo de pesquisa, as dimensões dos DSS adotadas, a construção do IV-DSS, a modelagem dos dados, a população e a variável-alvo, a geração do dataset sintético, a seleção de variáveis, os modelos, o treinamento e a validação, as métricas, o procedimento de validação da integração entre aplicativo, API e modelo, e os aspectos éticos e limitações. O Capítulo 4 detalha o desenvolvimento da solução, com a arquitetura e os eixos funcionais do aplicativo e a integração com a API e o modelo. O Capítulo 5 apresenta e discute os resultados experimentais e a validação da implementação de software. O Capítulo 6 conclui o trabalho, retomando os objetivos, sintetizando contribuições e limitações e indicando trabalhos futuros.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8" w:name="__RefHeading___Toc2173_3157870603"/>
      <w:bookmarkEnd w:id="8"/>
      <w:r>
        <w:rPr>
          <w:rFonts w:eastAsia="Times New Roman" w:ascii="Times New Roman" w:hAnsi="Times New Roman"/>
          <w:b/>
          <w:sz w:val="24"/>
        </w:rPr>
        <w:t>2 FUNDAMENTAÇÃO TEÓRICA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STATUS EDITORIAL — estrutura definida e cobertura bibliográfica validada; redação acadêmica detalhada será produzida após esta montagem inicial do DOCX.</w:t>
      </w:r>
    </w:p>
    <w:p>
      <w:pPr>
        <w:pStyle w:val="Heading2"/>
        <w:ind w:hanging="0"/>
        <w:jc w:val="start"/>
        <w:rPr/>
      </w:pPr>
      <w:bookmarkStart w:id="9" w:name="__RefHeading___Toc2175_3157870603"/>
      <w:bookmarkEnd w:id="9"/>
      <w:r>
        <w:rPr>
          <w:rFonts w:eastAsia="Times New Roman" w:ascii="Times New Roman" w:hAnsi="Times New Roman"/>
          <w:b/>
          <w:sz w:val="24"/>
        </w:rPr>
        <w:t>2.1 Pré-natal e saúde materna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Esta subseção abordará organização do cuidado pré-natal, continuidade/adequação, saúde materna e contexto brasileiro, preservando as definições operacionais específicas de cada estudo.</w:t>
      </w:r>
    </w:p>
    <w:p>
      <w:pPr>
        <w:pStyle w:val="Heading2"/>
        <w:ind w:hanging="0"/>
        <w:jc w:val="start"/>
        <w:rPr/>
      </w:pPr>
      <w:bookmarkStart w:id="10" w:name="__RefHeading___Toc2177_3157870603"/>
      <w:bookmarkEnd w:id="10"/>
      <w:r>
        <w:rPr>
          <w:rFonts w:eastAsia="Times New Roman" w:ascii="Times New Roman" w:hAnsi="Times New Roman"/>
          <w:b/>
          <w:sz w:val="24"/>
        </w:rPr>
        <w:t>2.2 Determinantes Sociais da Saúde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Esta subseção desenvolverá os referenciais de DSS, incluindo modelos conceituais, desigualdades e sua relação com o acompanhamento pré-natal.</w:t>
      </w:r>
    </w:p>
    <w:p>
      <w:pPr>
        <w:pStyle w:val="Heading2"/>
        <w:ind w:hanging="0"/>
        <w:jc w:val="start"/>
        <w:rPr/>
      </w:pPr>
      <w:bookmarkStart w:id="11" w:name="__RefHeading___Toc2179_3157870603"/>
      <w:bookmarkEnd w:id="11"/>
      <w:r>
        <w:rPr>
          <w:rFonts w:eastAsia="Times New Roman" w:ascii="Times New Roman" w:hAnsi="Times New Roman"/>
          <w:b/>
          <w:sz w:val="24"/>
        </w:rPr>
        <w:t>2.3 Vulnerabilidade e índices compostos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Esta subseção diferenciará vulnerabilidade de risco e fundamentará a construção de índices compostos, com Ayres et al. e OECD/JRC entre as referências centrais.</w:t>
      </w:r>
    </w:p>
    <w:p>
      <w:pPr>
        <w:pStyle w:val="Heading2"/>
        <w:ind w:hanging="0"/>
        <w:jc w:val="start"/>
        <w:rPr/>
      </w:pPr>
      <w:bookmarkStart w:id="12" w:name="__RefHeading___Toc2181_3157870603"/>
      <w:bookmarkEnd w:id="12"/>
      <w:r>
        <w:rPr>
          <w:rFonts w:eastAsia="Times New Roman" w:ascii="Times New Roman" w:hAnsi="Times New Roman"/>
          <w:b/>
          <w:sz w:val="24"/>
        </w:rPr>
        <w:t>2.4 Aprendizado de máquina supervisionado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Esta subseção apresentará classificação supervisionada, regressão logística, Random Forest, XGBoost, métricas para desbalanceamento, calibração e limites de uso em saúde.</w:t>
      </w:r>
    </w:p>
    <w:p>
      <w:pPr>
        <w:pStyle w:val="Heading2"/>
        <w:ind w:hanging="0"/>
        <w:jc w:val="start"/>
        <w:rPr/>
      </w:pPr>
      <w:bookmarkStart w:id="13" w:name="__RefHeading___Toc2183_3157870603"/>
      <w:bookmarkEnd w:id="13"/>
      <w:r>
        <w:rPr>
          <w:rFonts w:eastAsia="Times New Roman" w:ascii="Times New Roman" w:hAnsi="Times New Roman"/>
          <w:b/>
          <w:sz w:val="24"/>
        </w:rPr>
        <w:t>2.5 Trabalhos relacionados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Esta subseção comparará o corpus selecionado de trabalhos relacionados a ML e pré-natal, sem alegação universal de ineditismo.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14" w:name="__RefHeading___Toc2185_3157870603"/>
      <w:bookmarkEnd w:id="14"/>
      <w:r>
        <w:rPr>
          <w:rFonts w:eastAsia="Times New Roman" w:ascii="Times New Roman" w:hAnsi="Times New Roman"/>
          <w:b/>
          <w:sz w:val="24"/>
        </w:rPr>
        <w:t>3 METODOLOGIA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STATUS EDITORIAL — conteúdo técnico consolidado incorporado do documento principal do projeto. A redação e as citações metodológicas ainda serão lapidadas antes do congelamento deste capítulo.</w:t>
      </w:r>
    </w:p>
    <w:p>
      <w:pPr>
        <w:pStyle w:val="Heading2"/>
        <w:ind w:hanging="0"/>
        <w:jc w:val="start"/>
        <w:rPr/>
      </w:pPr>
      <w:bookmarkStart w:id="15" w:name="__RefHeading___Toc2187_3157870603"/>
      <w:bookmarkEnd w:id="15"/>
      <w:r>
        <w:rPr>
          <w:rFonts w:eastAsia="Times New Roman" w:ascii="Times New Roman" w:hAnsi="Times New Roman"/>
          <w:b/>
          <w:sz w:val="24"/>
        </w:rPr>
        <w:t>3.1 Tipo de pesquisa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Pesquisa aplicada, de natureza experimental/quantitativa, com dados sintéticos (fase de validação técnica da metodologia). </w:t>
      </w:r>
      <w:r>
        <w:rPr>
          <w:rFonts w:eastAsia="Times New Roman"/>
          <w:b/>
          <w:i w:val="false"/>
          <w:sz w:val="24"/>
        </w:rPr>
        <w:t>[DECISÃO DO AUTOR]</w:t>
      </w:r>
      <w:r>
        <w:rPr>
          <w:rFonts w:eastAsia="Times New Roman"/>
          <w:b w:val="false"/>
          <w:i w:val="false"/>
          <w:sz w:val="24"/>
        </w:rPr>
        <w:t xml:space="preserve"> — refinamento do enquadramento no texto final.</w:t>
      </w:r>
    </w:p>
    <w:p>
      <w:pPr>
        <w:pStyle w:val="Heading2"/>
        <w:ind w:hanging="0"/>
        <w:jc w:val="start"/>
        <w:rPr/>
      </w:pPr>
      <w:bookmarkStart w:id="16" w:name="__RefHeading___Toc2189_3157870603"/>
      <w:bookmarkEnd w:id="16"/>
      <w:r>
        <w:rPr>
          <w:rFonts w:eastAsia="Times New Roman" w:ascii="Times New Roman" w:hAnsi="Times New Roman"/>
          <w:b/>
          <w:sz w:val="24"/>
        </w:rPr>
        <w:t>3.2 Determinantes Sociais da Saúde utilizados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instrumento coleta </w:t>
      </w:r>
      <w:r>
        <w:rPr>
          <w:rFonts w:eastAsia="Times New Roman"/>
          <w:b/>
          <w:i w:val="false"/>
          <w:sz w:val="24"/>
        </w:rPr>
        <w:t>seis dimensões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48 variáveis</w:t>
      </w:r>
      <w:r>
        <w:rPr>
          <w:rFonts w:eastAsia="Times New Roman"/>
          <w:b w:val="false"/>
          <w:i w:val="false"/>
          <w:sz w:val="24"/>
        </w:rPr>
        <w:t>: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1. </w:t>
      </w:r>
      <w:r>
        <w:rPr>
          <w:rFonts w:eastAsia="Times New Roman"/>
          <w:b/>
          <w:i w:val="false"/>
          <w:sz w:val="24"/>
        </w:rPr>
        <w:t>Educação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2. </w:t>
      </w:r>
      <w:r>
        <w:rPr>
          <w:rFonts w:eastAsia="Times New Roman"/>
          <w:b/>
          <w:i w:val="false"/>
          <w:sz w:val="24"/>
        </w:rPr>
        <w:t>Trabalho e renda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3. </w:t>
      </w:r>
      <w:r>
        <w:rPr>
          <w:rFonts w:eastAsia="Times New Roman"/>
          <w:b/>
          <w:i w:val="false"/>
          <w:sz w:val="24"/>
        </w:rPr>
        <w:t>Saneamento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4. </w:t>
      </w:r>
      <w:r>
        <w:rPr>
          <w:rFonts w:eastAsia="Times New Roman"/>
          <w:b/>
          <w:i w:val="false"/>
          <w:sz w:val="24"/>
        </w:rPr>
        <w:t>Acesso aos serviços de saúde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5. </w:t>
      </w:r>
      <w:r>
        <w:rPr>
          <w:rFonts w:eastAsia="Times New Roman"/>
          <w:b/>
          <w:i w:val="false"/>
          <w:sz w:val="24"/>
        </w:rPr>
        <w:t>Habitação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6. </w:t>
      </w:r>
      <w:r>
        <w:rPr>
          <w:rFonts w:eastAsia="Times New Roman"/>
          <w:b/>
          <w:i w:val="false"/>
          <w:sz w:val="24"/>
        </w:rPr>
        <w:t>Alimentação</w:t>
      </w:r>
    </w:p>
    <w:p>
      <w:pPr>
        <w:pStyle w:val="EditorialStatus"/>
        <w:rPr/>
      </w:pPr>
      <w:r>
        <w:rPr>
          <w:rFonts w:eastAsia="Times New Roman"/>
          <w:b/>
          <w:i/>
          <w:sz w:val="20"/>
        </w:rPr>
        <w:t>Observação de nomenclatura:</w:t>
      </w:r>
      <w:r>
        <w:rPr>
          <w:rFonts w:eastAsia="Times New Roman"/>
          <w:b w:val="false"/>
          <w:i/>
          <w:sz w:val="20"/>
        </w:rPr>
        <w:t xml:space="preserve"> o formulário possui uma dimensão denominada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"Saúde", porém, após a exclusão das variáveis relacionadas à adesão/desfecho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(ver 4.7), o IV-DSS e o modelo utilizam apenas os indicadores relacionados ao</w:t>
      </w:r>
    </w:p>
    <w:p>
      <w:pPr>
        <w:pStyle w:val="EditorialStatus"/>
        <w:rPr/>
      </w:pPr>
      <w:r>
        <w:rPr>
          <w:rFonts w:eastAsia="Times New Roman"/>
          <w:b/>
          <w:i/>
          <w:sz w:val="20"/>
        </w:rPr>
        <w:t>acesso</w:t>
      </w:r>
      <w:r>
        <w:rPr>
          <w:rFonts w:eastAsia="Times New Roman"/>
          <w:b w:val="false"/>
          <w:i/>
          <w:sz w:val="20"/>
        </w:rPr>
        <w:t xml:space="preserve"> aos serviços de saúde. Isso evita a interpretação de que o índice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mede qualidade ou adesão ao pré-natal — ele mede </w:t>
      </w:r>
      <w:r>
        <w:rPr>
          <w:rFonts w:eastAsia="Times New Roman"/>
          <w:b/>
          <w:i/>
          <w:sz w:val="20"/>
        </w:rPr>
        <w:t>vulnerabilidade de acesso</w:t>
      </w:r>
      <w:r>
        <w:rPr>
          <w:rFonts w:eastAsia="Times New Roman"/>
          <w:b w:val="false"/>
          <w:i/>
          <w:sz w:val="20"/>
        </w:rPr>
        <w:t>.</w:t>
      </w:r>
    </w:p>
    <w:p>
      <w:pPr>
        <w:pStyle w:val="Heading2"/>
        <w:ind w:hanging="0"/>
        <w:jc w:val="start"/>
        <w:rPr/>
      </w:pPr>
      <w:bookmarkStart w:id="17" w:name="__RefHeading___Toc2191_3157870603"/>
      <w:bookmarkEnd w:id="17"/>
      <w:r>
        <w:rPr>
          <w:rFonts w:eastAsia="Times New Roman" w:ascii="Times New Roman" w:hAnsi="Times New Roman"/>
          <w:b/>
          <w:sz w:val="24"/>
        </w:rPr>
        <w:t>3.3 Construção do Índice de Vulnerabilidade dos DSS (IV-DSS)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</w:t>
      </w:r>
      <w:r>
        <w:rPr>
          <w:rFonts w:eastAsia="Times New Roman"/>
          <w:b/>
          <w:i w:val="false"/>
          <w:sz w:val="24"/>
        </w:rPr>
        <w:t>IV-DSS</w:t>
      </w:r>
      <w:r>
        <w:rPr>
          <w:rFonts w:eastAsia="Times New Roman"/>
          <w:b w:val="false"/>
          <w:i w:val="false"/>
          <w:sz w:val="24"/>
        </w:rPr>
        <w:t xml:space="preserve"> é uma </w:t>
      </w:r>
      <w:r>
        <w:rPr>
          <w:rFonts w:eastAsia="Times New Roman"/>
          <w:b/>
          <w:i w:val="false"/>
          <w:sz w:val="24"/>
        </w:rPr>
        <w:t>medida agregada de caracterização</w:t>
      </w:r>
      <w:r>
        <w:rPr>
          <w:rFonts w:eastAsia="Times New Roman"/>
          <w:b w:val="false"/>
          <w:i w:val="false"/>
          <w:sz w:val="24"/>
        </w:rPr>
        <w:t xml:space="preserve"> da vulnerabilidade social dos perfis representados no dataset sintético. É um </w:t>
      </w:r>
      <w:r>
        <w:rPr>
          <w:rFonts w:eastAsia="Times New Roman"/>
          <w:b/>
          <w:i w:val="false"/>
          <w:sz w:val="24"/>
        </w:rPr>
        <w:t>índice descritivo experimental</w:t>
      </w:r>
      <w:r>
        <w:rPr>
          <w:rFonts w:eastAsia="Times New Roman"/>
          <w:b w:val="false"/>
          <w:i w:val="false"/>
          <w:sz w:val="24"/>
        </w:rPr>
        <w:t xml:space="preserve">: não é um instrumento validado, nem escala diagnóstica, nem índice epidemiologicamente validado. </w:t>
      </w:r>
      <w:r>
        <w:rPr>
          <w:rFonts w:eastAsia="Times New Roman"/>
          <w:b/>
          <w:i w:val="false"/>
          <w:sz w:val="24"/>
        </w:rPr>
        <w:t>Não é</w:t>
      </w:r>
      <w:r>
        <w:rPr>
          <w:rFonts w:eastAsia="Times New Roman"/>
          <w:b w:val="false"/>
          <w:i w:val="false"/>
          <w:sz w:val="24"/>
        </w:rPr>
        <w:t xml:space="preserve"> variável-alvo e </w:t>
      </w:r>
      <w:r>
        <w:rPr>
          <w:rFonts w:eastAsia="Times New Roman"/>
          <w:b/>
          <w:i w:val="false"/>
          <w:sz w:val="24"/>
        </w:rPr>
        <w:t>não é</w:t>
      </w:r>
      <w:r>
        <w:rPr>
          <w:rFonts w:eastAsia="Times New Roman"/>
          <w:b w:val="false"/>
          <w:i w:val="false"/>
          <w:sz w:val="24"/>
        </w:rPr>
        <w:t xml:space="preserve"> sinônimo de risco de descontinuidade. A especificação técnica completa encontra-se em </w:t>
      </w:r>
      <w:r>
        <w:rPr>
          <w:rFonts w:eastAsia="Courier New" w:ascii="Courier New" w:hAnsi="Courier New"/>
          <w:b w:val="false"/>
          <w:i w:val="false"/>
          <w:sz w:val="22"/>
        </w:rPr>
        <w:t>docs/planejamento_dataset_sintetico.md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Heading3"/>
        <w:ind w:hanging="0"/>
        <w:jc w:val="start"/>
        <w:rPr/>
      </w:pPr>
      <w:bookmarkStart w:id="18" w:name="__RefHeading___Toc2193_3157870603"/>
      <w:bookmarkEnd w:id="18"/>
      <w:r>
        <w:rPr>
          <w:rFonts w:eastAsia="Times New Roman" w:ascii="Times New Roman" w:hAnsi="Times New Roman"/>
          <w:b/>
          <w:sz w:val="24"/>
        </w:rPr>
        <w:t>3.3.1 Definição conceitual</w:t>
      </w:r>
    </w:p>
    <w:p>
      <w:pPr>
        <w:pStyle w:val="CodeBlock"/>
        <w:shd w:fill="F2F2F2"/>
        <w:rPr/>
      </w:pPr>
      <w:r>
        <w:rPr>
          <w:rFonts w:eastAsia="Courier New"/>
          <w:sz w:val="18"/>
        </w:rPr>
        <w:t xml:space="preserve">          </w:t>
      </w:r>
      <w:r>
        <w:rPr>
          <w:rFonts w:eastAsia="Courier New"/>
          <w:sz w:val="18"/>
        </w:rPr>
        <w:t>DSS</w:t>
        <w:br/>
        <w:t xml:space="preserve">           │</w:t>
        <w:br/>
        <w:t xml:space="preserve">           ├──→ IV-DSS</w:t>
        <w:br/>
        <w:t xml:space="preserve">           │        └── caracteriza o nível agregado de vulnerabilidade social</w:t>
        <w:br/>
        <w:t xml:space="preserve">           │</w:t>
        <w:br/>
        <w:t xml:space="preserve">           └──→ Modelo de ML</w:t>
        <w:br/>
        <w:t xml:space="preserve">                    └── estima a propensão à descontinuidade do pré-natal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IV-DSS ≠ probabilidade de descontinuidade.</w:t>
      </w:r>
      <w:r>
        <w:rPr>
          <w:rFonts w:eastAsia="Times New Roman"/>
          <w:b w:val="false"/>
          <w:i w:val="false"/>
          <w:sz w:val="24"/>
        </w:rPr>
        <w:t xml:space="preserve"> O índice responde a _"qual o nível de vulnerabilidade social da gestante segundo os DSS?"_; o modelo responde a _"qual a propensão à descontinuidade do pré-natal?"_.</w:t>
      </w:r>
    </w:p>
    <w:p>
      <w:pPr>
        <w:pStyle w:val="Heading3"/>
        <w:ind w:hanging="0"/>
        <w:jc w:val="start"/>
        <w:rPr/>
      </w:pPr>
      <w:bookmarkStart w:id="19" w:name="__RefHeading___Toc2195_3157870603"/>
      <w:bookmarkEnd w:id="19"/>
      <w:r>
        <w:rPr>
          <w:rFonts w:eastAsia="Times New Roman" w:ascii="Times New Roman" w:hAnsi="Times New Roman"/>
          <w:b/>
          <w:sz w:val="24"/>
        </w:rPr>
        <w:t>3.3.2 Estrutura (três níveis de agregação)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Nível 1 — indicador → escore:</w:t>
      </w:r>
      <w:r>
        <w:rPr>
          <w:rFonts w:eastAsia="Times New Roman"/>
          <w:b w:val="false"/>
          <w:i w:val="false"/>
          <w:sz w:val="24"/>
        </w:rPr>
        <w:t xml:space="preserve"> cada indicador selecionado é transformado em um escore de vulnerabilidade </w:t>
      </w:r>
      <w:r>
        <w:rPr>
          <w:rFonts w:eastAsia="Courier New" w:ascii="Courier New" w:hAnsi="Courier New"/>
          <w:b w:val="false"/>
          <w:i w:val="false"/>
          <w:sz w:val="22"/>
        </w:rPr>
        <w:t>v_i ∈ [0,1]</w:t>
      </w:r>
      <w:r>
        <w:rPr>
          <w:rFonts w:eastAsia="Times New Roman"/>
          <w:b w:val="false"/>
          <w:i w:val="false"/>
          <w:sz w:val="24"/>
        </w:rPr>
        <w:t xml:space="preserve">, onde </w:t>
      </w:r>
      <w:r>
        <w:rPr>
          <w:rFonts w:eastAsia="Times New Roman"/>
          <w:b/>
          <w:i w:val="false"/>
          <w:sz w:val="24"/>
        </w:rPr>
        <w:t>0 = menor vulnerabilidade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1 = maior vulnerabilidade</w:t>
      </w:r>
      <w:r>
        <w:rPr>
          <w:rFonts w:eastAsia="Times New Roman"/>
          <w:b w:val="false"/>
          <w:i w:val="false"/>
          <w:sz w:val="24"/>
        </w:rPr>
        <w:t>, segundo a operacionalização adotada.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Nível 2 — dimensão: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D_d</w:t>
      </w:r>
      <w:r>
        <w:rPr>
          <w:rFonts w:eastAsia="Times New Roman"/>
          <w:b w:val="false"/>
          <w:i w:val="false"/>
          <w:sz w:val="24"/>
        </w:rPr>
        <w:t xml:space="preserve"> agrega os escores dos indicadores </w:t>
      </w:r>
      <w:r>
        <w:rPr>
          <w:rFonts w:eastAsia="Times New Roman"/>
          <w:b/>
          <w:i w:val="false"/>
          <w:sz w:val="24"/>
        </w:rPr>
        <w:t>válidos</w:t>
      </w:r>
      <w:r>
        <w:rPr>
          <w:rFonts w:eastAsia="Times New Roman"/>
          <w:b w:val="false"/>
          <w:i w:val="false"/>
          <w:sz w:val="24"/>
        </w:rPr>
        <w:t xml:space="preserve"> da dimensão </w:t>
      </w:r>
      <w:r>
        <w:rPr>
          <w:rFonts w:eastAsia="Courier New" w:ascii="Courier New" w:hAnsi="Courier New"/>
          <w:b w:val="false"/>
          <w:i w:val="false"/>
          <w:sz w:val="22"/>
        </w:rPr>
        <w:t>d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Nível 3 — índice:</w:t>
      </w:r>
      <w:r>
        <w:rPr>
          <w:rFonts w:eastAsia="Times New Roman"/>
          <w:b w:val="false"/>
          <w:i w:val="false"/>
          <w:sz w:val="24"/>
        </w:rPr>
        <w:t xml:space="preserve"> média aritmética das seis dimensões, com </w:t>
      </w:r>
      <w:r>
        <w:rPr>
          <w:rFonts w:eastAsia="Times New Roman"/>
          <w:b/>
          <w:i w:val="false"/>
          <w:sz w:val="24"/>
        </w:rPr>
        <w:t>pesos iguais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CodeBlock"/>
        <w:shd w:fill="F2F2F2"/>
        <w:rPr/>
      </w:pPr>
      <w:r>
        <w:rPr>
          <w:rFonts w:eastAsia="Courier New"/>
          <w:sz w:val="18"/>
        </w:rPr>
        <w:t>D_d     = agregação dos v_i válidos da dimensão d</w:t>
        <w:br/>
        <w:br/>
        <w:t>IV-DSS  = (1/6) · Σ_{d=1}^{6} D_d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onde: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v_i</w:t>
      </w:r>
      <w:r>
        <w:rPr>
          <w:rFonts w:eastAsia="Times New Roman"/>
          <w:b w:val="false"/>
          <w:i w:val="false"/>
          <w:sz w:val="24"/>
        </w:rPr>
        <w:t xml:space="preserve"> = escore de vulnerabilidade do indicador </w:t>
      </w:r>
      <w:r>
        <w:rPr>
          <w:rFonts w:eastAsia="Courier New" w:ascii="Courier New" w:hAnsi="Courier New"/>
          <w:b w:val="false"/>
          <w:i w:val="false"/>
          <w:sz w:val="22"/>
        </w:rPr>
        <w:t>i</w:t>
      </w:r>
      <w:r>
        <w:rPr>
          <w:rFonts w:eastAsia="Times New Roman"/>
          <w:b w:val="false"/>
          <w:i w:val="false"/>
          <w:sz w:val="24"/>
        </w:rPr>
        <w:t>;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D_d</w:t>
      </w:r>
      <w:r>
        <w:rPr>
          <w:rFonts w:eastAsia="Times New Roman"/>
          <w:b w:val="false"/>
          <w:i w:val="false"/>
          <w:sz w:val="24"/>
        </w:rPr>
        <w:t xml:space="preserve"> = escore da dimensão </w:t>
      </w:r>
      <w:r>
        <w:rPr>
          <w:rFonts w:eastAsia="Courier New" w:ascii="Courier New" w:hAnsi="Courier New"/>
          <w:b w:val="false"/>
          <w:i w:val="false"/>
          <w:sz w:val="22"/>
        </w:rPr>
        <w:t>d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Regras de separação entre ML e IV-DSS: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usar IV-DSS como target;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usar IV-DSS para gerar Y;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usar IV-DSS como feature principal do ML;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o IV-DSS poderá ser analisado em relação às previsões e ao Y, mas é calculado de forma </w:t>
      </w:r>
      <w:r>
        <w:rPr>
          <w:rFonts w:eastAsia="Times New Roman"/>
          <w:b/>
          <w:i w:val="false"/>
          <w:sz w:val="24"/>
        </w:rPr>
        <w:t>independente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Heading3"/>
        <w:ind w:hanging="0"/>
        <w:jc w:val="start"/>
        <w:rPr/>
      </w:pPr>
      <w:bookmarkStart w:id="20" w:name="__RefHeading___Toc2197_3157870603"/>
      <w:bookmarkEnd w:id="20"/>
      <w:r>
        <w:rPr>
          <w:rFonts w:eastAsia="Times New Roman" w:ascii="Times New Roman" w:hAnsi="Times New Roman"/>
          <w:b/>
          <w:sz w:val="24"/>
        </w:rPr>
        <w:t>3.3.3 Indicadores e escores por dimensão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D_educacao</w:t>
      </w:r>
      <w:r>
        <w:rPr>
          <w:rFonts w:eastAsia="Times New Roman"/>
          <w:b w:val="false"/>
          <w:i w:val="false"/>
          <w:sz w:val="24"/>
        </w:rPr>
        <w:t xml:space="preserve"> — indicador </w:t>
      </w:r>
      <w:r>
        <w:rPr>
          <w:rFonts w:eastAsia="Courier New" w:ascii="Courier New" w:hAnsi="Courier New"/>
          <w:b w:val="false"/>
          <w:i w:val="false"/>
          <w:sz w:val="22"/>
        </w:rPr>
        <w:t>escolaridade</w:t>
      </w:r>
      <w:r>
        <w:rPr>
          <w:rFonts w:eastAsia="Times New Roman"/>
          <w:b w:val="false"/>
          <w:i w:val="false"/>
          <w:sz w:val="24"/>
        </w:rPr>
        <w:t xml:space="preserve"> (normalização ordinal, intervalos iguais operacionais):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Courier New" w:ascii="Courier New" w:hAnsi="Courier New"/>
          <w:b w:val="false"/>
          <w:i w:val="false"/>
          <w:sz w:val="22"/>
        </w:rPr>
        <w:t>sem_instrucao</w:t>
      </w:r>
      <w:r>
        <w:rPr>
          <w:rFonts w:eastAsia="Times New Roman"/>
          <w:b w:val="false"/>
          <w:i w:val="false"/>
          <w:sz w:val="24"/>
        </w:rPr>
        <w:t xml:space="preserve"> = 1.00 · </w:t>
      </w:r>
      <w:r>
        <w:rPr>
          <w:rFonts w:eastAsia="Courier New" w:ascii="Courier New" w:hAnsi="Courier New"/>
          <w:b w:val="false"/>
          <w:i w:val="false"/>
          <w:sz w:val="22"/>
        </w:rPr>
        <w:t>fundamental_incompleto</w:t>
      </w:r>
      <w:r>
        <w:rPr>
          <w:rFonts w:eastAsia="Times New Roman"/>
          <w:b w:val="false"/>
          <w:i w:val="false"/>
          <w:sz w:val="24"/>
        </w:rPr>
        <w:t xml:space="preserve"> = 0.83 · </w:t>
      </w:r>
      <w:r>
        <w:rPr>
          <w:rFonts w:eastAsia="Courier New" w:ascii="Courier New" w:hAnsi="Courier New"/>
          <w:b w:val="false"/>
          <w:i w:val="false"/>
          <w:sz w:val="22"/>
        </w:rPr>
        <w:t>fundamental_completo</w:t>
      </w:r>
      <w:r>
        <w:rPr>
          <w:rFonts w:eastAsia="Times New Roman"/>
          <w:b w:val="false"/>
          <w:i w:val="false"/>
          <w:sz w:val="24"/>
        </w:rPr>
        <w:t xml:space="preserve"> = 0.67 · </w:t>
      </w:r>
      <w:r>
        <w:rPr>
          <w:rFonts w:eastAsia="Courier New" w:ascii="Courier New" w:hAnsi="Courier New"/>
          <w:b w:val="false"/>
          <w:i w:val="false"/>
          <w:sz w:val="22"/>
        </w:rPr>
        <w:t>medio_incompleto</w:t>
      </w:r>
      <w:r>
        <w:rPr>
          <w:rFonts w:eastAsia="Times New Roman"/>
          <w:b w:val="false"/>
          <w:i w:val="false"/>
          <w:sz w:val="24"/>
        </w:rPr>
        <w:t xml:space="preserve"> = 0.50 · </w:t>
      </w:r>
      <w:r>
        <w:rPr>
          <w:rFonts w:eastAsia="Courier New" w:ascii="Courier New" w:hAnsi="Courier New"/>
          <w:b w:val="false"/>
          <w:i w:val="false"/>
          <w:sz w:val="22"/>
        </w:rPr>
        <w:t>medio_completo</w:t>
      </w:r>
      <w:r>
        <w:rPr>
          <w:rFonts w:eastAsia="Times New Roman"/>
          <w:b w:val="false"/>
          <w:i w:val="false"/>
          <w:sz w:val="24"/>
        </w:rPr>
        <w:t xml:space="preserve"> = 0.33 · </w:t>
      </w:r>
      <w:r>
        <w:rPr>
          <w:rFonts w:eastAsia="Courier New" w:ascii="Courier New" w:hAnsi="Courier New"/>
          <w:b w:val="false"/>
          <w:i w:val="false"/>
          <w:sz w:val="22"/>
        </w:rPr>
        <w:t>superior_incompleto</w:t>
      </w:r>
      <w:r>
        <w:rPr>
          <w:rFonts w:eastAsia="Times New Roman"/>
          <w:b w:val="false"/>
          <w:i w:val="false"/>
          <w:sz w:val="24"/>
        </w:rPr>
        <w:t xml:space="preserve"> = 0.17 · </w:t>
      </w:r>
      <w:r>
        <w:rPr>
          <w:rFonts w:eastAsia="Courier New" w:ascii="Courier New" w:hAnsi="Courier New"/>
          <w:b w:val="false"/>
          <w:i w:val="false"/>
          <w:sz w:val="22"/>
        </w:rPr>
        <w:t>superior_completo</w:t>
      </w:r>
      <w:r>
        <w:rPr>
          <w:rFonts w:eastAsia="Times New Roman"/>
          <w:b w:val="false"/>
          <w:i w:val="false"/>
          <w:sz w:val="24"/>
        </w:rPr>
        <w:t xml:space="preserve"> = 0.00.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D_trabalho_renda</w:t>
      </w:r>
      <w:r>
        <w:rPr>
          <w:rFonts w:eastAsia="Times New Roman"/>
          <w:b w:val="false"/>
          <w:i w:val="false"/>
          <w:sz w:val="24"/>
        </w:rPr>
        <w:t xml:space="preserve"> — indicador </w:t>
      </w:r>
      <w:r>
        <w:rPr>
          <w:rFonts w:eastAsia="Courier New" w:ascii="Courier New" w:hAnsi="Courier New"/>
          <w:b w:val="false"/>
          <w:i w:val="false"/>
          <w:sz w:val="22"/>
        </w:rPr>
        <w:t>faixa_renda</w:t>
      </w:r>
      <w:r>
        <w:rPr>
          <w:rFonts w:eastAsia="Times New Roman"/>
          <w:b w:val="false"/>
          <w:i w:val="false"/>
          <w:sz w:val="24"/>
        </w:rPr>
        <w:t xml:space="preserve"> (renda </w:t>
      </w:r>
      <w:r>
        <w:rPr>
          <w:rFonts w:eastAsia="Times New Roman"/>
          <w:b/>
          <w:i w:val="false"/>
          <w:sz w:val="24"/>
        </w:rPr>
        <w:t>familiar</w:t>
      </w:r>
      <w:r>
        <w:rPr>
          <w:rFonts w:eastAsia="Times New Roman"/>
          <w:b w:val="false"/>
          <w:i w:val="false"/>
          <w:sz w:val="24"/>
        </w:rPr>
        <w:t>, não per capita — limitação registrada):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Courier New" w:ascii="Courier New" w:hAnsi="Courier New"/>
          <w:b w:val="false"/>
          <w:i w:val="false"/>
          <w:sz w:val="22"/>
        </w:rPr>
        <w:t>ate_1_sm</w:t>
      </w:r>
      <w:r>
        <w:rPr>
          <w:rFonts w:eastAsia="Times New Roman"/>
          <w:b w:val="false"/>
          <w:i w:val="false"/>
          <w:sz w:val="24"/>
        </w:rPr>
        <w:t xml:space="preserve"> = 1.00 · </w:t>
      </w:r>
      <w:r>
        <w:rPr>
          <w:rFonts w:eastAsia="Courier New" w:ascii="Courier New" w:hAnsi="Courier New"/>
          <w:b w:val="false"/>
          <w:i w:val="false"/>
          <w:sz w:val="22"/>
        </w:rPr>
        <w:t>entre_1_2_sm</w:t>
      </w:r>
      <w:r>
        <w:rPr>
          <w:rFonts w:eastAsia="Times New Roman"/>
          <w:b w:val="false"/>
          <w:i w:val="false"/>
          <w:sz w:val="24"/>
        </w:rPr>
        <w:t xml:space="preserve"> = 0.67 · </w:t>
      </w:r>
      <w:r>
        <w:rPr>
          <w:rFonts w:eastAsia="Courier New" w:ascii="Courier New" w:hAnsi="Courier New"/>
          <w:b w:val="false"/>
          <w:i w:val="false"/>
          <w:sz w:val="22"/>
        </w:rPr>
        <w:t>entre_2_3_sm</w:t>
      </w:r>
      <w:r>
        <w:rPr>
          <w:rFonts w:eastAsia="Times New Roman"/>
          <w:b w:val="false"/>
          <w:i w:val="false"/>
          <w:sz w:val="24"/>
        </w:rPr>
        <w:t xml:space="preserve"> = 0.33 · </w:t>
      </w:r>
      <w:r>
        <w:rPr>
          <w:rFonts w:eastAsia="Courier New" w:ascii="Courier New" w:hAnsi="Courier New"/>
          <w:b w:val="false"/>
          <w:i w:val="false"/>
          <w:sz w:val="22"/>
        </w:rPr>
        <w:t>mais_3_sm</w:t>
      </w:r>
      <w:r>
        <w:rPr>
          <w:rFonts w:eastAsia="Times New Roman"/>
          <w:b w:val="false"/>
          <w:i w:val="false"/>
          <w:sz w:val="24"/>
        </w:rPr>
        <w:t xml:space="preserve"> = 0.00 · </w:t>
      </w:r>
      <w:r>
        <w:rPr>
          <w:rFonts w:eastAsia="Courier New" w:ascii="Courier New" w:hAnsi="Courier New"/>
          <w:b w:val="false"/>
          <w:i w:val="false"/>
          <w:sz w:val="22"/>
        </w:rPr>
        <w:t>nao_informar</w:t>
      </w:r>
      <w:r>
        <w:rPr>
          <w:rFonts w:eastAsia="Times New Roman"/>
          <w:b w:val="false"/>
          <w:i w:val="false"/>
          <w:sz w:val="24"/>
        </w:rPr>
        <w:t xml:space="preserve"> = missing (não pontua).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D_saneamento</w:t>
      </w:r>
      <w:r>
        <w:rPr>
          <w:rFonts w:eastAsia="Times New Roman"/>
          <w:b w:val="false"/>
          <w:i w:val="false"/>
          <w:sz w:val="24"/>
        </w:rPr>
        <w:t xml:space="preserve"> — média de três componentes (</w:t>
      </w:r>
      <w:r>
        <w:rPr>
          <w:rFonts w:eastAsia="Courier New" w:ascii="Courier New" w:hAnsi="Courier New"/>
          <w:b w:val="false"/>
          <w:i w:val="false"/>
          <w:sz w:val="22"/>
        </w:rPr>
        <w:t>C_agua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C_esgotamento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C_residuos</w:t>
      </w:r>
      <w:r>
        <w:rPr>
          <w:rFonts w:eastAsia="Times New Roman"/>
          <w:b w:val="false"/>
          <w:i w:val="false"/>
          <w:sz w:val="24"/>
        </w:rPr>
        <w:t>), exigindo pelo menos 2/3 válidos: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C_agua</w:t>
      </w:r>
      <w:r>
        <w:rPr>
          <w:rFonts w:eastAsia="Times New Roman"/>
          <w:b w:val="false"/>
          <w:i w:val="false"/>
          <w:sz w:val="24"/>
        </w:rPr>
        <w:t xml:space="preserve"> = média de </w:t>
      </w:r>
      <w:r>
        <w:rPr>
          <w:rFonts w:eastAsia="Courier New" w:ascii="Courier New" w:hAnsi="Courier New"/>
          <w:b w:val="false"/>
          <w:i w:val="false"/>
          <w:sz w:val="22"/>
        </w:rPr>
        <w:t>fonte_agua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rede_publica</w:t>
      </w:r>
      <w:r>
        <w:rPr>
          <w:rFonts w:eastAsia="Times New Roman"/>
          <w:b w:val="false"/>
          <w:i w:val="false"/>
          <w:sz w:val="24"/>
        </w:rPr>
        <w:t>/</w:t>
      </w:r>
      <w:r>
        <w:rPr>
          <w:rFonts w:eastAsia="Courier New" w:ascii="Courier New" w:hAnsi="Courier New"/>
          <w:b w:val="false"/>
          <w:i w:val="false"/>
          <w:sz w:val="22"/>
        </w:rPr>
        <w:t>poco_nascente</w:t>
      </w:r>
      <w:r>
        <w:rPr>
          <w:rFonts w:eastAsia="Times New Roman"/>
          <w:b w:val="false"/>
          <w:i w:val="false"/>
          <w:sz w:val="24"/>
        </w:rPr>
        <w:t xml:space="preserve"> = 0; </w:t>
      </w:r>
      <w:r>
        <w:rPr>
          <w:rFonts w:eastAsia="Courier New" w:ascii="Courier New" w:hAnsi="Courier New"/>
          <w:b w:val="false"/>
          <w:i w:val="false"/>
          <w:sz w:val="22"/>
        </w:rPr>
        <w:t>carro_pipa</w:t>
      </w:r>
      <w:r>
        <w:rPr>
          <w:rFonts w:eastAsia="Times New Roman"/>
          <w:b w:val="false"/>
          <w:i w:val="false"/>
          <w:sz w:val="24"/>
        </w:rPr>
        <w:t xml:space="preserve"> = 1; </w:t>
      </w:r>
      <w:r>
        <w:rPr>
          <w:rFonts w:eastAsia="Courier New" w:ascii="Courier New" w:hAnsi="Courier New"/>
          <w:b w:val="false"/>
          <w:i w:val="false"/>
          <w:sz w:val="22"/>
        </w:rPr>
        <w:t>cisterna</w:t>
      </w:r>
      <w:r>
        <w:rPr>
          <w:rFonts w:eastAsia="Times New Roman"/>
          <w:b w:val="false"/>
          <w:i w:val="false"/>
          <w:sz w:val="24"/>
        </w:rPr>
        <w:t>/</w:t>
      </w:r>
      <w:r>
        <w:rPr>
          <w:rFonts w:eastAsia="Courier New" w:ascii="Courier New" w:hAnsi="Courier New"/>
          <w:b w:val="false"/>
          <w:i w:val="false"/>
          <w:sz w:val="22"/>
        </w:rPr>
        <w:t>outra</w:t>
      </w:r>
      <w:r>
        <w:rPr>
          <w:rFonts w:eastAsia="Times New Roman"/>
          <w:b w:val="false"/>
          <w:i w:val="false"/>
          <w:sz w:val="24"/>
        </w:rPr>
        <w:t xml:space="preserve"> = missing analítico), </w:t>
      </w:r>
      <w:r>
        <w:rPr>
          <w:rFonts w:eastAsia="Courier New" w:ascii="Courier New" w:hAnsi="Courier New"/>
          <w:b w:val="false"/>
          <w:i w:val="false"/>
          <w:sz w:val="22"/>
        </w:rPr>
        <w:t>itens_residencia.agua_encanada</w:t>
      </w:r>
      <w:r>
        <w:rPr>
          <w:rFonts w:eastAsia="Times New Roman"/>
          <w:b w:val="false"/>
          <w:i w:val="false"/>
          <w:sz w:val="24"/>
        </w:rPr>
        <w:t xml:space="preserve"> (presente = 0; ausente = 1) e </w:t>
      </w:r>
      <w:r>
        <w:rPr>
          <w:rFonts w:eastAsia="Courier New" w:ascii="Courier New" w:hAnsi="Courier New"/>
          <w:b w:val="false"/>
          <w:i w:val="false"/>
          <w:sz w:val="22"/>
        </w:rPr>
        <w:t>interrupcoes_agua</w:t>
      </w:r>
      <w:r>
        <w:rPr>
          <w:rFonts w:eastAsia="Times New Roman"/>
          <w:b w:val="false"/>
          <w:i w:val="false"/>
          <w:sz w:val="24"/>
        </w:rPr>
        <w:t xml:space="preserve"> (false = 0; true = 1), exigindo pelo menos 2/3 válidos.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C_esgotamento</w:t>
      </w:r>
      <w:r>
        <w:rPr>
          <w:rFonts w:eastAsia="Times New Roman"/>
          <w:b w:val="false"/>
          <w:i w:val="false"/>
          <w:sz w:val="24"/>
        </w:rPr>
        <w:t xml:space="preserve"> = </w:t>
      </w:r>
      <w:r>
        <w:rPr>
          <w:rFonts w:eastAsia="Courier New" w:ascii="Courier New" w:hAnsi="Courier New"/>
          <w:b w:val="false"/>
          <w:i w:val="false"/>
          <w:sz w:val="22"/>
        </w:rPr>
        <w:t>rede_coletora</w:t>
      </w:r>
      <w:r>
        <w:rPr>
          <w:rFonts w:eastAsia="Times New Roman"/>
          <w:b w:val="false"/>
          <w:i w:val="false"/>
          <w:sz w:val="24"/>
        </w:rPr>
        <w:t>/</w:t>
      </w:r>
      <w:r>
        <w:rPr>
          <w:rFonts w:eastAsia="Courier New" w:ascii="Courier New" w:hAnsi="Courier New"/>
          <w:b w:val="false"/>
          <w:i w:val="false"/>
          <w:sz w:val="22"/>
        </w:rPr>
        <w:t>fossa_septica</w:t>
      </w:r>
      <w:r>
        <w:rPr>
          <w:rFonts w:eastAsia="Times New Roman"/>
          <w:b w:val="false"/>
          <w:i w:val="false"/>
          <w:sz w:val="24"/>
        </w:rPr>
        <w:t xml:space="preserve"> = 0; </w:t>
      </w:r>
      <w:r>
        <w:rPr>
          <w:rFonts w:eastAsia="Courier New" w:ascii="Courier New" w:hAnsi="Courier New"/>
          <w:b w:val="false"/>
          <w:i w:val="false"/>
          <w:sz w:val="22"/>
        </w:rPr>
        <w:t>ceu_aberto</w:t>
      </w:r>
      <w:r>
        <w:rPr>
          <w:rFonts w:eastAsia="Times New Roman"/>
          <w:b w:val="false"/>
          <w:i w:val="false"/>
          <w:sz w:val="24"/>
        </w:rPr>
        <w:t xml:space="preserve"> = 1; </w:t>
      </w:r>
      <w:r>
        <w:rPr>
          <w:rFonts w:eastAsia="Courier New" w:ascii="Courier New" w:hAnsi="Courier New"/>
          <w:b w:val="false"/>
          <w:i w:val="false"/>
          <w:sz w:val="22"/>
        </w:rPr>
        <w:t>outro</w:t>
      </w:r>
      <w:r>
        <w:rPr>
          <w:rFonts w:eastAsia="Times New Roman"/>
          <w:b w:val="false"/>
          <w:i w:val="false"/>
          <w:sz w:val="24"/>
        </w:rPr>
        <w:t xml:space="preserve"> = missing analítico.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C_residuos</w:t>
      </w:r>
      <w:r>
        <w:rPr>
          <w:rFonts w:eastAsia="Times New Roman"/>
          <w:b w:val="false"/>
          <w:i w:val="false"/>
          <w:sz w:val="24"/>
        </w:rPr>
        <w:t xml:space="preserve"> = </w:t>
      </w:r>
      <w:r>
        <w:rPr>
          <w:rFonts w:eastAsia="Courier New" w:ascii="Courier New" w:hAnsi="Courier New"/>
          <w:b w:val="false"/>
          <w:i w:val="false"/>
          <w:sz w:val="22"/>
        </w:rPr>
        <w:t>frequencia_coleta_lixo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regular</w:t>
      </w:r>
      <w:r>
        <w:rPr>
          <w:rFonts w:eastAsia="Times New Roman"/>
          <w:b w:val="false"/>
          <w:i w:val="false"/>
          <w:sz w:val="24"/>
        </w:rPr>
        <w:t xml:space="preserve"> = 0; </w:t>
      </w:r>
      <w:r>
        <w:rPr>
          <w:rFonts w:eastAsia="Courier New" w:ascii="Courier New" w:hAnsi="Courier New"/>
          <w:b w:val="false"/>
          <w:i w:val="false"/>
          <w:sz w:val="22"/>
        </w:rPr>
        <w:t>irregular</w:t>
      </w:r>
      <w:r>
        <w:rPr>
          <w:rFonts w:eastAsia="Times New Roman"/>
          <w:b w:val="false"/>
          <w:i w:val="false"/>
          <w:sz w:val="24"/>
        </w:rPr>
        <w:t xml:space="preserve"> = 0.5; </w:t>
      </w:r>
      <w:r>
        <w:rPr>
          <w:rFonts w:eastAsia="Courier New" w:ascii="Courier New" w:hAnsi="Courier New"/>
          <w:b w:val="false"/>
          <w:i w:val="false"/>
          <w:sz w:val="22"/>
        </w:rPr>
        <w:t>nao_possui</w:t>
      </w:r>
      <w:r>
        <w:rPr>
          <w:rFonts w:eastAsia="Times New Roman"/>
          <w:b w:val="false"/>
          <w:i w:val="false"/>
          <w:sz w:val="24"/>
        </w:rPr>
        <w:t xml:space="preserve"> = 1) combinada com </w:t>
      </w:r>
      <w:r>
        <w:rPr>
          <w:rFonts w:eastAsia="Courier New" w:ascii="Courier New" w:hAnsi="Courier New"/>
          <w:b w:val="false"/>
          <w:i w:val="false"/>
          <w:sz w:val="22"/>
        </w:rPr>
        <w:t>destino_lixo_sem_coleta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aguarda_proxima_coleta</w:t>
      </w:r>
      <w:r>
        <w:rPr>
          <w:rFonts w:eastAsia="Times New Roman"/>
          <w:b w:val="false"/>
          <w:i w:val="false"/>
          <w:sz w:val="24"/>
        </w:rPr>
        <w:t xml:space="preserve"> = 0; </w:t>
      </w:r>
      <w:r>
        <w:rPr>
          <w:rFonts w:eastAsia="Courier New" w:ascii="Courier New" w:hAnsi="Courier New"/>
          <w:b w:val="false"/>
          <w:i w:val="false"/>
          <w:sz w:val="22"/>
        </w:rPr>
        <w:t>queima</w:t>
      </w:r>
      <w:r>
        <w:rPr>
          <w:rFonts w:eastAsia="Times New Roman"/>
          <w:b w:val="false"/>
          <w:i w:val="false"/>
          <w:sz w:val="24"/>
        </w:rPr>
        <w:t>/</w:t>
      </w:r>
      <w:r>
        <w:rPr>
          <w:rFonts w:eastAsia="Courier New" w:ascii="Courier New" w:hAnsi="Courier New"/>
          <w:b w:val="false"/>
          <w:i w:val="false"/>
          <w:sz w:val="22"/>
        </w:rPr>
        <w:t>enterra</w:t>
      </w:r>
      <w:r>
        <w:rPr>
          <w:rFonts w:eastAsia="Times New Roman"/>
          <w:b w:val="false"/>
          <w:i w:val="false"/>
          <w:sz w:val="24"/>
        </w:rPr>
        <w:t>/</w:t>
      </w:r>
      <w:r>
        <w:rPr>
          <w:rFonts w:eastAsia="Courier New" w:ascii="Courier New" w:hAnsi="Courier New"/>
          <w:b w:val="false"/>
          <w:i w:val="false"/>
          <w:sz w:val="22"/>
        </w:rPr>
        <w:t>terreno_baldio</w:t>
      </w:r>
      <w:r>
        <w:rPr>
          <w:rFonts w:eastAsia="Times New Roman"/>
          <w:b w:val="false"/>
          <w:i w:val="false"/>
          <w:sz w:val="24"/>
        </w:rPr>
        <w:t xml:space="preserve"> = 1).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D_acesso_saude</w:t>
      </w:r>
      <w:r>
        <w:rPr>
          <w:rFonts w:eastAsia="Times New Roman"/>
          <w:b w:val="false"/>
          <w:i w:val="false"/>
          <w:sz w:val="24"/>
        </w:rPr>
        <w:t xml:space="preserve"> — </w:t>
      </w:r>
      <w:r>
        <w:rPr>
          <w:rFonts w:eastAsia="Courier New" w:ascii="Courier New" w:hAnsi="Courier New"/>
          <w:b w:val="false"/>
          <w:i w:val="false"/>
          <w:sz w:val="22"/>
        </w:rPr>
        <w:t>(C_distancia + C_barreiras) / 2</w:t>
      </w:r>
      <w:r>
        <w:rPr>
          <w:rFonts w:eastAsia="Times New Roman"/>
          <w:b w:val="false"/>
          <w:i w:val="false"/>
          <w:sz w:val="24"/>
        </w:rPr>
        <w:t xml:space="preserve"> (exige 2/2):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C_distancia</w:t>
      </w:r>
      <w:r>
        <w:rPr>
          <w:rFonts w:eastAsia="Times New Roman"/>
          <w:b w:val="false"/>
          <w:i w:val="false"/>
          <w:sz w:val="24"/>
        </w:rPr>
        <w:t xml:space="preserve"> = </w:t>
      </w:r>
      <w:r>
        <w:rPr>
          <w:rFonts w:eastAsia="Courier New" w:ascii="Courier New" w:hAnsi="Courier New"/>
          <w:b w:val="false"/>
          <w:i w:val="false"/>
          <w:sz w:val="22"/>
        </w:rPr>
        <w:t>muito_proxima</w:t>
      </w:r>
      <w:r>
        <w:rPr>
          <w:rFonts w:eastAsia="Times New Roman"/>
          <w:b w:val="false"/>
          <w:i w:val="false"/>
          <w:sz w:val="24"/>
        </w:rPr>
        <w:t xml:space="preserve"> = 0; </w:t>
      </w:r>
      <w:r>
        <w:rPr>
          <w:rFonts w:eastAsia="Courier New" w:ascii="Courier New" w:hAnsi="Courier New"/>
          <w:b w:val="false"/>
          <w:i w:val="false"/>
          <w:sz w:val="22"/>
        </w:rPr>
        <w:t>razoavelmente_proxima</w:t>
      </w:r>
      <w:r>
        <w:rPr>
          <w:rFonts w:eastAsia="Times New Roman"/>
          <w:b w:val="false"/>
          <w:i w:val="false"/>
          <w:sz w:val="24"/>
        </w:rPr>
        <w:t xml:space="preserve"> = 0.5; </w:t>
      </w:r>
      <w:r>
        <w:rPr>
          <w:rFonts w:eastAsia="Courier New" w:ascii="Courier New" w:hAnsi="Courier New"/>
          <w:b w:val="false"/>
          <w:i w:val="false"/>
          <w:sz w:val="22"/>
        </w:rPr>
        <w:t>distante</w:t>
      </w:r>
      <w:r>
        <w:rPr>
          <w:rFonts w:eastAsia="Times New Roman"/>
          <w:b w:val="false"/>
          <w:i w:val="false"/>
          <w:sz w:val="24"/>
        </w:rPr>
        <w:t xml:space="preserve"> = 1.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C_barreiras</w:t>
      </w:r>
      <w:r>
        <w:rPr>
          <w:rFonts w:eastAsia="Times New Roman"/>
          <w:b w:val="false"/>
          <w:i w:val="false"/>
          <w:sz w:val="24"/>
        </w:rPr>
        <w:t xml:space="preserve"> = </w:t>
      </w:r>
      <w:r>
        <w:rPr>
          <w:rFonts w:eastAsia="Courier New" w:ascii="Courier New" w:hAnsi="Courier New"/>
          <w:b w:val="false"/>
          <w:i w:val="false"/>
          <w:sz w:val="22"/>
        </w:rPr>
        <w:t>(transporte + organizacao + disponibilidade) / 3</w:t>
      </w:r>
      <w:r>
        <w:rPr>
          <w:rFonts w:eastAsia="Times New Roman"/>
          <w:b w:val="false"/>
          <w:i w:val="false"/>
          <w:sz w:val="24"/>
        </w:rPr>
        <w:t xml:space="preserve">, onde os domínios de </w:t>
      </w:r>
      <w:r>
        <w:rPr>
          <w:rFonts w:eastAsia="Courier New" w:ascii="Courier New" w:hAnsi="Courier New"/>
          <w:b w:val="false"/>
          <w:i w:val="false"/>
          <w:sz w:val="22"/>
        </w:rPr>
        <w:t>dificuldades_saude</w:t>
      </w:r>
      <w:r>
        <w:rPr>
          <w:rFonts w:eastAsia="Times New Roman"/>
          <w:b w:val="false"/>
          <w:i w:val="false"/>
          <w:sz w:val="24"/>
        </w:rPr>
        <w:t xml:space="preserve"> são: </w:t>
      </w:r>
      <w:r>
        <w:rPr>
          <w:rFonts w:eastAsia="Times New Roman"/>
          <w:b/>
          <w:i w:val="false"/>
          <w:sz w:val="24"/>
        </w:rPr>
        <w:t>transporte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falta_transporte</w:t>
      </w:r>
      <w:r>
        <w:rPr>
          <w:rFonts w:eastAsia="Times New Roman"/>
          <w:b w:val="false"/>
          <w:i w:val="false"/>
          <w:sz w:val="24"/>
        </w:rPr>
        <w:t xml:space="preserve">), </w:t>
      </w:r>
      <w:r>
        <w:rPr>
          <w:rFonts w:eastAsia="Times New Roman"/>
          <w:b/>
          <w:i w:val="false"/>
          <w:sz w:val="24"/>
        </w:rPr>
        <w:t>organização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dificuldade_agendamento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demora_atendimento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horario_incompativel</w:t>
      </w:r>
      <w:r>
        <w:rPr>
          <w:rFonts w:eastAsia="Times New Roman"/>
          <w:b w:val="false"/>
          <w:i w:val="false"/>
          <w:sz w:val="24"/>
        </w:rPr>
        <w:t xml:space="preserve">), </w:t>
      </w:r>
      <w:r>
        <w:rPr>
          <w:rFonts w:eastAsia="Times New Roman"/>
          <w:b/>
          <w:i w:val="false"/>
          <w:sz w:val="24"/>
        </w:rPr>
        <w:t>disponibilidade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falta_profissional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falta_exames</w:t>
      </w:r>
      <w:r>
        <w:rPr>
          <w:rFonts w:eastAsia="Times New Roman"/>
          <w:b w:val="false"/>
          <w:i w:val="false"/>
          <w:sz w:val="24"/>
        </w:rPr>
        <w:t xml:space="preserve">); cada domínio presente = 1, ausente = 0; </w:t>
      </w:r>
      <w:r>
        <w:rPr>
          <w:rFonts w:eastAsia="Courier New" w:ascii="Courier New" w:hAnsi="Courier New"/>
          <w:b w:val="false"/>
          <w:i w:val="false"/>
          <w:sz w:val="22"/>
        </w:rPr>
        <w:t>sem_dificuldades</w:t>
      </w:r>
      <w:r>
        <w:rPr>
          <w:rFonts w:eastAsia="Times New Roman"/>
          <w:b w:val="false"/>
          <w:i w:val="false"/>
          <w:sz w:val="24"/>
        </w:rPr>
        <w:t xml:space="preserve"> = 0.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D_habitacao</w:t>
      </w:r>
      <w:r>
        <w:rPr>
          <w:rFonts w:eastAsia="Times New Roman"/>
          <w:b w:val="false"/>
          <w:i w:val="false"/>
          <w:sz w:val="24"/>
        </w:rPr>
        <w:t xml:space="preserve"> — indicador </w:t>
      </w:r>
      <w:r>
        <w:rPr>
          <w:rFonts w:eastAsia="Courier New" w:ascii="Courier New" w:hAnsi="Courier New"/>
          <w:b w:val="false"/>
          <w:i w:val="false"/>
          <w:sz w:val="22"/>
        </w:rPr>
        <w:t>adensamento_habitacional</w:t>
      </w:r>
      <w:r>
        <w:rPr>
          <w:rFonts w:eastAsia="Times New Roman"/>
          <w:b w:val="false"/>
          <w:i w:val="false"/>
          <w:sz w:val="24"/>
        </w:rPr>
        <w:t xml:space="preserve"> (derivado no pipeline Python, sem alterar o Flutter):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Courier New" w:ascii="Courier New" w:hAnsi="Courier New"/>
          <w:b w:val="false"/>
          <w:i w:val="false"/>
          <w:sz w:val="22"/>
        </w:rPr>
        <w:t>adensamento = numero_pessoas / numero_dormitorios</w:t>
      </w:r>
      <w:r>
        <w:rPr>
          <w:rFonts w:eastAsia="Times New Roman"/>
          <w:b w:val="false"/>
          <w:i w:val="false"/>
          <w:sz w:val="24"/>
        </w:rPr>
        <w:t xml:space="preserve"> — </w:t>
      </w:r>
      <w:r>
        <w:rPr>
          <w:rFonts w:eastAsia="Courier New" w:ascii="Courier New" w:hAnsi="Courier New"/>
          <w:b w:val="false"/>
          <w:i w:val="false"/>
          <w:sz w:val="22"/>
        </w:rPr>
        <w:t>≤ 2</w:t>
      </w:r>
      <w:r>
        <w:rPr>
          <w:rFonts w:eastAsia="Times New Roman"/>
          <w:b w:val="false"/>
          <w:i w:val="false"/>
          <w:sz w:val="24"/>
        </w:rPr>
        <w:t xml:space="preserve"> = 0.00 · </w:t>
      </w:r>
      <w:r>
        <w:rPr>
          <w:rFonts w:eastAsia="Courier New" w:ascii="Courier New" w:hAnsi="Courier New"/>
          <w:b w:val="false"/>
          <w:i w:val="false"/>
          <w:sz w:val="22"/>
        </w:rPr>
        <w:t>&gt; 2 e ≤ 3</w:t>
      </w:r>
      <w:r>
        <w:rPr>
          <w:rFonts w:eastAsia="Times New Roman"/>
          <w:b w:val="false"/>
          <w:i w:val="false"/>
          <w:sz w:val="24"/>
        </w:rPr>
        <w:t xml:space="preserve"> = 0.50 · </w:t>
      </w:r>
      <w:r>
        <w:rPr>
          <w:rFonts w:eastAsia="Courier New" w:ascii="Courier New" w:hAnsi="Courier New"/>
          <w:b w:val="false"/>
          <w:i w:val="false"/>
          <w:sz w:val="22"/>
        </w:rPr>
        <w:t>&gt; 3</w:t>
      </w:r>
      <w:r>
        <w:rPr>
          <w:rFonts w:eastAsia="Times New Roman"/>
          <w:b w:val="false"/>
          <w:i w:val="false"/>
          <w:sz w:val="24"/>
        </w:rPr>
        <w:t xml:space="preserve"> = 1.00. Em análise de sensibilidade já executada, comparou-se o critério binário </w:t>
      </w:r>
      <w:r>
        <w:rPr>
          <w:rFonts w:eastAsia="Courier New" w:ascii="Courier New" w:hAnsi="Courier New"/>
          <w:b w:val="false"/>
          <w:i w:val="false"/>
          <w:sz w:val="22"/>
        </w:rPr>
        <w:t>&gt; 3</w:t>
      </w:r>
      <w:r>
        <w:rPr>
          <w:rFonts w:eastAsia="Times New Roman"/>
          <w:b w:val="false"/>
          <w:i w:val="false"/>
          <w:sz w:val="24"/>
        </w:rPr>
        <w:t xml:space="preserve"> = 1; </w:t>
      </w:r>
      <w:r>
        <w:rPr>
          <w:rFonts w:eastAsia="Courier New" w:ascii="Courier New" w:hAnsi="Courier New"/>
          <w:b w:val="false"/>
          <w:i w:val="false"/>
          <w:sz w:val="22"/>
        </w:rPr>
        <w:t>≤ 3</w:t>
      </w:r>
      <w:r>
        <w:rPr>
          <w:rFonts w:eastAsia="Times New Roman"/>
          <w:b w:val="false"/>
          <w:i w:val="false"/>
          <w:sz w:val="24"/>
        </w:rPr>
        <w:t xml:space="preserve"> = 0.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D_alimentacao</w:t>
      </w:r>
      <w:r>
        <w:rPr>
          <w:rFonts w:eastAsia="Times New Roman"/>
          <w:b w:val="false"/>
          <w:i w:val="false"/>
          <w:sz w:val="24"/>
        </w:rPr>
        <w:t xml:space="preserve"> — indicador </w:t>
      </w:r>
      <w:r>
        <w:rPr>
          <w:rFonts w:eastAsia="Courier New" w:ascii="Courier New" w:hAnsi="Courier New"/>
          <w:b w:val="false"/>
          <w:i w:val="false"/>
          <w:sz w:val="22"/>
        </w:rPr>
        <w:t>deixou_de_comer_falta_dinheiro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false</w:t>
      </w:r>
      <w:r>
        <w:rPr>
          <w:rFonts w:eastAsia="Times New Roman"/>
          <w:b w:val="false"/>
          <w:i w:val="false"/>
          <w:sz w:val="24"/>
        </w:rPr>
        <w:t xml:space="preserve"> = 0; </w:t>
      </w:r>
      <w:r>
        <w:rPr>
          <w:rFonts w:eastAsia="Courier New" w:ascii="Courier New" w:hAnsi="Courier New"/>
          <w:b w:val="false"/>
          <w:i w:val="false"/>
          <w:sz w:val="22"/>
        </w:rPr>
        <w:t>true</w:t>
      </w:r>
      <w:r>
        <w:rPr>
          <w:rFonts w:eastAsia="Times New Roman"/>
          <w:b w:val="false"/>
          <w:i w:val="false"/>
          <w:sz w:val="24"/>
        </w:rPr>
        <w:t xml:space="preserve"> = 1; </w:t>
      </w:r>
      <w:r>
        <w:rPr>
          <w:rFonts w:eastAsia="Courier New" w:ascii="Courier New" w:hAnsi="Courier New"/>
          <w:b w:val="false"/>
          <w:i w:val="false"/>
          <w:sz w:val="22"/>
        </w:rPr>
        <w:t>null</w:t>
      </w:r>
      <w:r>
        <w:rPr>
          <w:rFonts w:eastAsia="Times New Roman"/>
          <w:b w:val="false"/>
          <w:i w:val="false"/>
          <w:sz w:val="24"/>
        </w:rPr>
        <w:t xml:space="preserve"> = missing). Descrição recomendada: </w:t>
      </w:r>
      <w:r>
        <w:rPr>
          <w:rFonts w:eastAsia="Times New Roman"/>
          <w:b w:val="false"/>
          <w:i/>
          <w:sz w:val="24"/>
        </w:rPr>
        <w:t>"indicador de experiência autorrelatada de privação alimentar associada à insuficiência de recursos financeiros nos três meses anteriores."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afirmar que constitui aplicação da EBIA ou da FIES.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Fora do IV-DSS (e por quê):</w:t>
      </w:r>
      <w:r>
        <w:rPr>
          <w:rFonts w:eastAsia="Times New Roman"/>
          <w:b w:val="false"/>
          <w:i w:val="false"/>
          <w:sz w:val="24"/>
        </w:rPr>
        <w:t xml:space="preserve"> as 5 variáveis de leakage (4.7), as 5 temporais (4.7), as 2 descritivas (</w:t>
      </w:r>
      <w:r>
        <w:rPr>
          <w:rFonts w:eastAsia="Courier New" w:ascii="Courier New" w:hAnsi="Courier New"/>
          <w:b w:val="false"/>
          <w:i w:val="false"/>
          <w:sz w:val="22"/>
        </w:rPr>
        <w:t>cuidados_vetores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melhorias_desejadas</w:t>
      </w:r>
      <w:r>
        <w:rPr>
          <w:rFonts w:eastAsia="Times New Roman"/>
          <w:b w:val="false"/>
          <w:i w:val="false"/>
          <w:sz w:val="24"/>
        </w:rPr>
        <w:t>) e as 2 de sensibilidade (</w:t>
      </w:r>
      <w:r>
        <w:rPr>
          <w:rFonts w:eastAsia="Courier New" w:ascii="Courier New" w:hAnsi="Courier New"/>
          <w:b w:val="false"/>
          <w:i w:val="false"/>
          <w:sz w:val="22"/>
        </w:rPr>
        <w:t>problema_saude_agua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facil_acesso_saude</w:t>
      </w:r>
      <w:r>
        <w:rPr>
          <w:rFonts w:eastAsia="Times New Roman"/>
          <w:b w:val="false"/>
          <w:i w:val="false"/>
          <w:sz w:val="24"/>
        </w:rPr>
        <w:t xml:space="preserve">). </w:t>
      </w:r>
      <w:r>
        <w:rPr>
          <w:rFonts w:eastAsia="Courier New" w:ascii="Courier New" w:hAnsi="Courier New"/>
          <w:b w:val="false"/>
          <w:i w:val="false"/>
          <w:sz w:val="22"/>
        </w:rPr>
        <w:t>acesso_ubs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Courier New" w:ascii="Courier New" w:hAnsi="Courier New"/>
          <w:b w:val="false"/>
          <w:i w:val="false"/>
          <w:sz w:val="22"/>
        </w:rPr>
        <w:t>cadastrada_ubs</w:t>
      </w:r>
      <w:r>
        <w:rPr>
          <w:rFonts w:eastAsia="Times New Roman"/>
          <w:b w:val="false"/>
          <w:i w:val="false"/>
          <w:sz w:val="24"/>
        </w:rPr>
        <w:t xml:space="preserve"> permanecem disponíveis ao ML como variáveis nominais, mas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pontuam no IV-DSS.</w:t>
      </w:r>
    </w:p>
    <w:p>
      <w:pPr>
        <w:pStyle w:val="Heading3"/>
        <w:ind w:hanging="0"/>
        <w:jc w:val="start"/>
        <w:rPr/>
      </w:pPr>
      <w:bookmarkStart w:id="21" w:name="__RefHeading___Toc2199_3157870603"/>
      <w:bookmarkEnd w:id="21"/>
      <w:r>
        <w:rPr>
          <w:rFonts w:eastAsia="Times New Roman" w:ascii="Times New Roman" w:hAnsi="Times New Roman"/>
          <w:b/>
          <w:sz w:val="24"/>
        </w:rPr>
        <w:t>3.3.4 Pesos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Na ausência de evidência empírica que sustente pesos diferenciados entre as dimensões, este estudo adota </w:t>
      </w:r>
      <w:r>
        <w:rPr>
          <w:rFonts w:eastAsia="Times New Roman"/>
          <w:b/>
          <w:i w:val="false"/>
          <w:sz w:val="24"/>
        </w:rPr>
        <w:t>pesos iguais (1/6)</w:t>
      </w:r>
      <w:r>
        <w:rPr>
          <w:rFonts w:eastAsia="Times New Roman"/>
          <w:b w:val="false"/>
          <w:i w:val="false"/>
          <w:sz w:val="24"/>
        </w:rPr>
        <w:t xml:space="preserve"> como opção metodológica transparente e parcimoniosa. Essa escolha é </w:t>
      </w:r>
      <w:r>
        <w:rPr>
          <w:rFonts w:eastAsia="Times New Roman"/>
          <w:b/>
          <w:i w:val="false"/>
          <w:sz w:val="24"/>
        </w:rPr>
        <w:t>explícita</w:t>
      </w:r>
      <w:r>
        <w:rPr>
          <w:rFonts w:eastAsia="Times New Roman"/>
          <w:b w:val="false"/>
          <w:i w:val="false"/>
          <w:sz w:val="24"/>
        </w:rPr>
        <w:t xml:space="preserve"> e será submetida à análise de sensibilidade. O OECD/JRC é citado como referência geral para construção de indicadores compostos (normalização, ponderação, agregação e análise de sensibilidade), sem que o peso igual seja tratado como regra universal por ele determinada.</w:t>
      </w:r>
    </w:p>
    <w:p>
      <w:pPr>
        <w:pStyle w:val="Heading3"/>
        <w:ind w:hanging="0"/>
        <w:jc w:val="start"/>
        <w:rPr/>
      </w:pPr>
      <w:bookmarkStart w:id="22" w:name="__RefHeading___Toc2201_3157870603"/>
      <w:bookmarkEnd w:id="22"/>
      <w:r>
        <w:rPr>
          <w:rFonts w:eastAsia="Times New Roman" w:ascii="Times New Roman" w:hAnsi="Times New Roman"/>
          <w:b/>
          <w:sz w:val="24"/>
        </w:rPr>
        <w:t>3.3.5 Escala e interpretação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Saída principal:</w:t>
      </w:r>
      <w:r>
        <w:rPr>
          <w:rFonts w:eastAsia="Times New Roman"/>
          <w:b w:val="false"/>
          <w:i w:val="false"/>
          <w:sz w:val="24"/>
        </w:rPr>
        <w:t xml:space="preserve"> IV-DSS contínuo no intervalo </w:t>
      </w:r>
      <w:r>
        <w:rPr>
          <w:rFonts w:eastAsia="Courier New" w:ascii="Courier New" w:hAnsi="Courier New"/>
          <w:b w:val="false"/>
          <w:i w:val="false"/>
          <w:sz w:val="22"/>
        </w:rPr>
        <w:t>[0,1]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criar pontos de corte absolutos de baixa/média/alta vulnerabilidade.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Caso seja necessária categorização apenas para </w:t>
      </w:r>
      <w:r>
        <w:rPr>
          <w:rFonts w:eastAsia="Times New Roman"/>
          <w:b/>
          <w:i w:val="false"/>
          <w:sz w:val="24"/>
        </w:rPr>
        <w:t>visualização/descrição</w:t>
      </w:r>
      <w:r>
        <w:rPr>
          <w:rFonts w:eastAsia="Times New Roman"/>
          <w:b w:val="false"/>
          <w:i w:val="false"/>
          <w:sz w:val="24"/>
        </w:rPr>
        <w:t xml:space="preserve">, utilizar </w:t>
      </w:r>
      <w:r>
        <w:rPr>
          <w:rFonts w:eastAsia="Times New Roman"/>
          <w:b/>
          <w:i w:val="false"/>
          <w:sz w:val="24"/>
        </w:rPr>
        <w:t>quantis relativos à amostra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Essas categorias por quantis são </w:t>
      </w:r>
      <w:r>
        <w:rPr>
          <w:rFonts w:eastAsia="Times New Roman"/>
          <w:b/>
          <w:i w:val="false"/>
          <w:sz w:val="24"/>
        </w:rPr>
        <w:t>amostrais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representam pontos de corte clínicos, epidemiológicos ou validados.</w:t>
      </w:r>
    </w:p>
    <w:p>
      <w:pPr>
        <w:pStyle w:val="Heading3"/>
        <w:ind w:hanging="0"/>
        <w:jc w:val="start"/>
        <w:rPr/>
      </w:pPr>
      <w:bookmarkStart w:id="23" w:name="__RefHeading___Toc2203_3157870603"/>
      <w:bookmarkEnd w:id="23"/>
      <w:r>
        <w:rPr>
          <w:rFonts w:eastAsia="Times New Roman" w:ascii="Times New Roman" w:hAnsi="Times New Roman"/>
          <w:b/>
          <w:sz w:val="24"/>
        </w:rPr>
        <w:t>3.3.6 Política de missing e validade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Courier New" w:ascii="Courier New" w:hAnsi="Courier New"/>
          <w:b w:val="false"/>
          <w:i w:val="false"/>
          <w:sz w:val="22"/>
        </w:rPr>
        <w:t>missing ≠ 0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missing ≠ 0.5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missing ≠ vulnerabilidade intermediária</w:t>
      </w:r>
      <w:r>
        <w:rPr>
          <w:rFonts w:eastAsia="Times New Roman"/>
          <w:b w:val="false"/>
          <w:i w:val="false"/>
          <w:sz w:val="24"/>
        </w:rPr>
        <w:t xml:space="preserve">. Distinguir resposta ausente, não aplicável estrutural (condicional do schema) e categoria válida porém analiticamente indeterminada.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imputar automaticamente. O </w:t>
      </w:r>
      <w:r>
        <w:rPr>
          <w:rFonts w:eastAsia="Times New Roman"/>
          <w:b/>
          <w:i w:val="false"/>
          <w:sz w:val="24"/>
        </w:rPr>
        <w:t>IV-DSS principal exige 6/6 dimensões válidas</w:t>
      </w:r>
      <w:r>
        <w:rPr>
          <w:rFonts w:eastAsia="Times New Roman"/>
          <w:b w:val="false"/>
          <w:i w:val="false"/>
          <w:sz w:val="24"/>
        </w:rPr>
        <w:t xml:space="preserve">; caso contrário, </w:t>
      </w:r>
      <w:r>
        <w:rPr>
          <w:rFonts w:eastAsia="Courier New" w:ascii="Courier New" w:hAnsi="Courier New"/>
          <w:b w:val="false"/>
          <w:i w:val="false"/>
          <w:sz w:val="22"/>
        </w:rPr>
        <w:t>IV-DSS = não calculável</w:t>
      </w:r>
      <w:r>
        <w:rPr>
          <w:rFonts w:eastAsia="Times New Roman"/>
          <w:b w:val="false"/>
          <w:i w:val="false"/>
          <w:sz w:val="24"/>
        </w:rPr>
        <w:t xml:space="preserve"> (não calcular silenciosamente a média das dimensões restantes). O </w:t>
      </w:r>
      <w:r>
        <w:rPr>
          <w:rFonts w:eastAsia="Courier New" w:ascii="Courier New" w:hAnsi="Courier New"/>
          <w:b w:val="false"/>
          <w:i w:val="false"/>
          <w:sz w:val="22"/>
        </w:rPr>
        <w:t>iv_dss_parcial</w:t>
      </w:r>
      <w:r>
        <w:rPr>
          <w:rFonts w:eastAsia="Times New Roman"/>
          <w:b w:val="false"/>
          <w:i w:val="false"/>
          <w:sz w:val="24"/>
        </w:rPr>
        <w:t xml:space="preserve"> com cobertura 5/6 é calculado como resultado auxiliar.</w:t>
      </w:r>
    </w:p>
    <w:p>
      <w:pPr>
        <w:pStyle w:val="Heading3"/>
        <w:ind w:hanging="0"/>
        <w:jc w:val="start"/>
        <w:rPr/>
      </w:pPr>
      <w:bookmarkStart w:id="24" w:name="__RefHeading___Toc2205_3157870603"/>
      <w:bookmarkEnd w:id="24"/>
      <w:r>
        <w:rPr>
          <w:rFonts w:eastAsia="Times New Roman" w:ascii="Times New Roman" w:hAnsi="Times New Roman"/>
          <w:b/>
          <w:sz w:val="24"/>
        </w:rPr>
        <w:t>3.3.7 Análises de sensibilidade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agregação principal é </w:t>
      </w:r>
      <w:r>
        <w:rPr>
          <w:rFonts w:eastAsia="Times New Roman"/>
          <w:b/>
          <w:i w:val="false"/>
          <w:sz w:val="24"/>
        </w:rPr>
        <w:t>aritmética</w:t>
      </w:r>
      <w:r>
        <w:rPr>
          <w:rFonts w:eastAsia="Times New Roman"/>
          <w:b w:val="false"/>
          <w:i w:val="false"/>
          <w:sz w:val="24"/>
        </w:rPr>
        <w:t xml:space="preserve"> (não usar geométrica como primeira alternativa, pois dimensões podem assumir 0).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Já executado:</w:t>
      </w:r>
      <w:r>
        <w:rPr>
          <w:rFonts w:eastAsia="Times New Roman"/>
          <w:b w:val="false"/>
          <w:i w:val="false"/>
          <w:sz w:val="24"/>
        </w:rPr>
        <w:t xml:space="preserve"> a análise de sensibilidade do </w:t>
      </w:r>
      <w:r>
        <w:rPr>
          <w:rFonts w:eastAsia="Times New Roman"/>
          <w:b/>
          <w:i w:val="false"/>
          <w:sz w:val="24"/>
        </w:rPr>
        <w:t>adensamento habitacional</w:t>
      </w:r>
      <w:r>
        <w:rPr>
          <w:rFonts w:eastAsia="Times New Roman"/>
          <w:b w:val="false"/>
          <w:i w:val="false"/>
          <w:sz w:val="24"/>
        </w:rPr>
        <w:t xml:space="preserve"> comparou o critério em três níveis (</w:t>
      </w:r>
      <w:r>
        <w:rPr>
          <w:rFonts w:eastAsia="Courier New" w:ascii="Courier New" w:hAnsi="Courier New"/>
          <w:b w:val="false"/>
          <w:i w:val="false"/>
          <w:sz w:val="22"/>
        </w:rPr>
        <w:t>≤ 2</w:t>
      </w:r>
      <w:r>
        <w:rPr>
          <w:rFonts w:eastAsia="Times New Roman"/>
          <w:b w:val="false"/>
          <w:i w:val="false"/>
          <w:sz w:val="24"/>
        </w:rPr>
        <w:t xml:space="preserve"> / </w:t>
      </w:r>
      <w:r>
        <w:rPr>
          <w:rFonts w:eastAsia="Courier New" w:ascii="Courier New" w:hAnsi="Courier New"/>
          <w:b w:val="false"/>
          <w:i w:val="false"/>
          <w:sz w:val="22"/>
        </w:rPr>
        <w:t>&gt; 2 e ≤ 3</w:t>
      </w:r>
      <w:r>
        <w:rPr>
          <w:rFonts w:eastAsia="Times New Roman"/>
          <w:b w:val="false"/>
          <w:i w:val="false"/>
          <w:sz w:val="24"/>
        </w:rPr>
        <w:t xml:space="preserve"> / </w:t>
      </w:r>
      <w:r>
        <w:rPr>
          <w:rFonts w:eastAsia="Courier New" w:ascii="Courier New" w:hAnsi="Courier New"/>
          <w:b w:val="false"/>
          <w:i w:val="false"/>
          <w:sz w:val="22"/>
        </w:rPr>
        <w:t>&gt; 3</w:t>
      </w:r>
      <w:r>
        <w:rPr>
          <w:rFonts w:eastAsia="Times New Roman"/>
          <w:b w:val="false"/>
          <w:i w:val="false"/>
          <w:sz w:val="24"/>
        </w:rPr>
        <w:t xml:space="preserve">), usado no índice principal, com o critério </w:t>
      </w:r>
      <w:r>
        <w:rPr>
          <w:rFonts w:eastAsia="Times New Roman"/>
          <w:b/>
          <w:i w:val="false"/>
          <w:sz w:val="24"/>
        </w:rPr>
        <w:t>binário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&gt; 3</w:t>
      </w:r>
      <w:r>
        <w:rPr>
          <w:rFonts w:eastAsia="Times New Roman"/>
          <w:b w:val="false"/>
          <w:i w:val="false"/>
          <w:sz w:val="24"/>
        </w:rPr>
        <w:t>), como variante alternativa; ambas as versões foram calculadas sobre os registros sintéticos.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Ainda planejado (não executado):</w:t>
      </w:r>
      <w:r>
        <w:rPr>
          <w:rFonts w:eastAsia="Times New Roman"/>
          <w:b w:val="false"/>
          <w:i w:val="false"/>
          <w:sz w:val="24"/>
        </w:rPr>
        <w:t xml:space="preserve"> normalização alternativa da </w:t>
      </w:r>
      <w:r>
        <w:rPr>
          <w:rFonts w:eastAsia="Courier New" w:ascii="Courier New" w:hAnsi="Courier New"/>
          <w:b w:val="false"/>
          <w:i w:val="false"/>
          <w:sz w:val="22"/>
        </w:rPr>
        <w:t>escolaridade</w:t>
      </w:r>
      <w:r>
        <w:rPr>
          <w:rFonts w:eastAsia="Times New Roman"/>
          <w:b w:val="false"/>
          <w:i w:val="false"/>
          <w:sz w:val="24"/>
        </w:rPr>
        <w:t xml:space="preserve">; perturbações nos pesos; possível componente ocupacional; e agregação menos compensatória justificável. O objetivo de toda análise de sensibilidade é testar </w:t>
      </w:r>
      <w:r>
        <w:rPr>
          <w:rFonts w:eastAsia="Times New Roman"/>
          <w:b/>
          <w:i w:val="false"/>
          <w:sz w:val="24"/>
        </w:rPr>
        <w:t>robustez</w:t>
      </w:r>
      <w:r>
        <w:rPr>
          <w:rFonts w:eastAsia="Times New Roman"/>
          <w:b w:val="false"/>
          <w:i w:val="false"/>
          <w:sz w:val="24"/>
        </w:rPr>
        <w:t xml:space="preserve"> — não escolher a posteriori a versão com "melhor resultado".</w:t>
      </w:r>
    </w:p>
    <w:p>
      <w:pPr>
        <w:pStyle w:val="Heading2"/>
        <w:ind w:hanging="0"/>
        <w:jc w:val="start"/>
        <w:rPr/>
      </w:pPr>
      <w:bookmarkStart w:id="25" w:name="__RefHeading___Toc2207_3157870603"/>
      <w:bookmarkEnd w:id="25"/>
      <w:r>
        <w:rPr>
          <w:rFonts w:eastAsia="Times New Roman" w:ascii="Times New Roman" w:hAnsi="Times New Roman"/>
          <w:b/>
          <w:sz w:val="24"/>
        </w:rPr>
        <w:t>3.4 Modelagem dos dados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Contrato de dados canônico e versionado (</w:t>
      </w:r>
      <w:r>
        <w:rPr>
          <w:rFonts w:eastAsia="Courier New" w:ascii="Courier New" w:hAnsi="Courier New"/>
          <w:b w:val="false"/>
          <w:i w:val="false"/>
          <w:sz w:val="22"/>
        </w:rPr>
        <w:t>schema_version = '1.13'</w:t>
      </w:r>
      <w:r>
        <w:rPr>
          <w:rFonts w:eastAsia="Times New Roman"/>
          <w:b w:val="false"/>
          <w:i w:val="false"/>
          <w:sz w:val="24"/>
        </w:rPr>
        <w:t>), com códigos canônicos (</w:t>
      </w:r>
      <w:r>
        <w:rPr>
          <w:rFonts w:eastAsia="Courier New" w:ascii="Courier New" w:hAnsi="Courier New"/>
          <w:b w:val="false"/>
          <w:i w:val="false"/>
          <w:sz w:val="22"/>
        </w:rPr>
        <w:t>snake_case</w:t>
      </w:r>
      <w:r>
        <w:rPr>
          <w:rFonts w:eastAsia="Times New Roman"/>
          <w:b w:val="false"/>
          <w:i w:val="false"/>
          <w:sz w:val="24"/>
        </w:rPr>
        <w:t xml:space="preserve">) separados dos rótulos de UI. </w:t>
      </w:r>
      <w:r>
        <w:rPr>
          <w:rFonts w:eastAsia="Courier New" w:ascii="Courier New" w:hAnsi="Courier New"/>
          <w:b w:val="false"/>
          <w:i w:val="false"/>
          <w:sz w:val="22"/>
        </w:rPr>
        <w:t>FormularioData.toMap()</w:t>
      </w:r>
      <w:r>
        <w:rPr>
          <w:rFonts w:eastAsia="Times New Roman"/>
          <w:b w:val="false"/>
          <w:i w:val="false"/>
          <w:sz w:val="24"/>
        </w:rPr>
        <w:t xml:space="preserve"> (aninhado, versionado) e </w:t>
      </w:r>
      <w:r>
        <w:rPr>
          <w:rFonts w:eastAsia="Courier New" w:ascii="Courier New" w:hAnsi="Courier New"/>
          <w:b w:val="false"/>
          <w:i w:val="false"/>
          <w:sz w:val="22"/>
        </w:rPr>
        <w:t>toFlatMap()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dimensao.campo</w:t>
      </w:r>
      <w:r>
        <w:rPr>
          <w:rFonts w:eastAsia="Times New Roman"/>
          <w:b w:val="false"/>
          <w:i w:val="false"/>
          <w:sz w:val="24"/>
        </w:rPr>
        <w:t xml:space="preserve">). O schema possui seis dimensões e 48 variáveis, todas estruturadas (booleanas, categóricas por código, múltipla escolha por código ou numéricas) — </w:t>
      </w:r>
      <w:r>
        <w:rPr>
          <w:rFonts w:eastAsia="Times New Roman"/>
          <w:b/>
          <w:i w:val="false"/>
          <w:sz w:val="24"/>
        </w:rPr>
        <w:t>sem campos de texto livre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Heading2"/>
        <w:ind w:hanging="0"/>
        <w:jc w:val="start"/>
        <w:rPr/>
      </w:pPr>
      <w:bookmarkStart w:id="26" w:name="__RefHeading___Toc2209_3157870603"/>
      <w:bookmarkEnd w:id="26"/>
      <w:r>
        <w:rPr>
          <w:rFonts w:eastAsia="Times New Roman" w:ascii="Times New Roman" w:hAnsi="Times New Roman"/>
          <w:b/>
          <w:sz w:val="24"/>
        </w:rPr>
        <w:t>3.5 População, T0 e variável-alvo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População-alvo do modelo:</w:t>
      </w:r>
      <w:r>
        <w:rPr>
          <w:rFonts w:eastAsia="Times New Roman"/>
          <w:b w:val="false"/>
          <w:i w:val="false"/>
          <w:sz w:val="24"/>
        </w:rPr>
        <w:t xml:space="preserve"> gestantes que </w:t>
      </w:r>
      <w:r>
        <w:rPr>
          <w:rFonts w:eastAsia="Times New Roman"/>
          <w:b/>
          <w:i w:val="false"/>
          <w:sz w:val="24"/>
        </w:rPr>
        <w:t>já iniciaram</w:t>
      </w:r>
      <w:r>
        <w:rPr>
          <w:rFonts w:eastAsia="Times New Roman"/>
          <w:b w:val="false"/>
          <w:i w:val="false"/>
          <w:sz w:val="24"/>
        </w:rPr>
        <w:t xml:space="preserve"> o acompanhamento pré-natal. O critério de inclusão "iniciou o pré-natal" é </w:t>
      </w:r>
      <w:r>
        <w:rPr>
          <w:rFonts w:eastAsia="Times New Roman"/>
          <w:b/>
          <w:i w:val="false"/>
          <w:sz w:val="24"/>
        </w:rPr>
        <w:t>parte da população</w:t>
      </w:r>
      <w:r>
        <w:rPr>
          <w:rFonts w:eastAsia="Times New Roman"/>
          <w:b w:val="false"/>
          <w:i w:val="false"/>
          <w:sz w:val="24"/>
        </w:rPr>
        <w:t>, não uma variável coletada pelo formulário.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T0</w:t>
      </w:r>
      <w:r>
        <w:rPr>
          <w:rFonts w:eastAsia="Times New Roman"/>
          <w:b w:val="false"/>
          <w:i w:val="false"/>
          <w:sz w:val="24"/>
        </w:rPr>
        <w:t xml:space="preserve"> = instante em que a gestante conclui o questionário DSS e os dados são enviados à API para inferência. Somente informações </w:t>
      </w:r>
      <w:r>
        <w:rPr>
          <w:rFonts w:eastAsia="Times New Roman"/>
          <w:b/>
          <w:i w:val="false"/>
          <w:sz w:val="24"/>
        </w:rPr>
        <w:t>legitimamente disponíveis em ou antes de T0</w:t>
      </w:r>
      <w:r>
        <w:rPr>
          <w:rFonts w:eastAsia="Times New Roman"/>
          <w:b w:val="false"/>
          <w:i w:val="false"/>
          <w:sz w:val="24"/>
        </w:rPr>
        <w:t xml:space="preserve"> participam do modelo preditivo principal.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Horizonte:</w:t>
      </w:r>
      <w:r>
        <w:rPr>
          <w:rFonts w:eastAsia="Times New Roman"/>
          <w:b w:val="false"/>
          <w:i w:val="false"/>
          <w:sz w:val="24"/>
        </w:rPr>
        <w:t xml:space="preserve"> de T0 até o término da gestação.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Variável-alvo (externa ao formulário):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Conceito:</w:t>
      </w:r>
      <w:r>
        <w:rPr>
          <w:rFonts w:eastAsia="Times New Roman"/>
          <w:b w:val="false"/>
          <w:i w:val="false"/>
          <w:sz w:val="24"/>
        </w:rPr>
        <w:t xml:space="preserve"> descontinuidade do acompanhamento pré-natal.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Há dois planos distintos que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devem ser confundidos: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A) Referência para futuro estudo com dados reais.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 Portaria GM/MS nº 5.350/2024 estabelece, no contexto da </w:t>
      </w:r>
      <w:r>
        <w:rPr>
          <w:rFonts w:eastAsia="Times New Roman"/>
          <w:b/>
          <w:i w:val="false"/>
          <w:sz w:val="24"/>
        </w:rPr>
        <w:t>Rede Alyne</w:t>
      </w:r>
      <w:r>
        <w:rPr>
          <w:rFonts w:eastAsia="Times New Roman"/>
          <w:b w:val="false"/>
          <w:i w:val="false"/>
          <w:sz w:val="24"/>
        </w:rPr>
        <w:t xml:space="preserve">, captação até 12 semanas e </w:t>
      </w:r>
      <w:r>
        <w:rPr>
          <w:rFonts w:eastAsia="Times New Roman"/>
          <w:b/>
          <w:i w:val="false"/>
          <w:sz w:val="24"/>
        </w:rPr>
        <w:t>no mínimo sete consultas</w:t>
      </w:r>
      <w:r>
        <w:rPr>
          <w:rFonts w:eastAsia="Times New Roman"/>
          <w:b w:val="false"/>
          <w:i w:val="false"/>
          <w:sz w:val="24"/>
        </w:rPr>
        <w:t xml:space="preserve"> (Art. 7º, §1º, I).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Essa referência normativa contextualiza a adequação </w:t>
      </w:r>
      <w:r>
        <w:rPr>
          <w:rFonts w:eastAsia="Times New Roman"/>
          <w:b/>
          <w:i w:val="false"/>
          <w:sz w:val="24"/>
        </w:rPr>
        <w:t>quantitativa</w:t>
      </w:r>
      <w:r>
        <w:rPr>
          <w:rFonts w:eastAsia="Times New Roman"/>
          <w:b w:val="false"/>
          <w:i w:val="false"/>
          <w:sz w:val="24"/>
        </w:rPr>
        <w:t xml:space="preserve"> do acompanhamento.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 Portaria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define "menos de sete consultas" como critério clínico universal de abandono/descontinuidade.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 Portaria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fornece, nesse dispositivo, tabela de número mínimo de consultas ajustada pela duração gestacional.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Em futura pesquisa com dados reais, a operacionalização </w:t>
      </w:r>
      <w:r>
        <w:rPr>
          <w:rFonts w:eastAsia="Times New Roman"/>
          <w:b/>
          <w:i w:val="false"/>
          <w:sz w:val="24"/>
        </w:rPr>
        <w:t>longitudinal</w:t>
      </w:r>
      <w:r>
        <w:rPr>
          <w:rFonts w:eastAsia="Times New Roman"/>
          <w:b w:val="false"/>
          <w:i w:val="false"/>
          <w:sz w:val="24"/>
        </w:rPr>
        <w:t xml:space="preserve"> do desfecho ainda deverá ser fundamentada especificamente e considerar adequadamente a duração da gestação.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B) Experimento sintético atual.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Y</w:t>
      </w:r>
      <w:r>
        <w:rPr>
          <w:rFonts w:eastAsia="Times New Roman"/>
          <w:b w:val="false"/>
          <w:i w:val="false"/>
          <w:sz w:val="24"/>
        </w:rPr>
        <w:t xml:space="preserve"> é uma variável binária </w:t>
      </w:r>
      <w:r>
        <w:rPr>
          <w:rFonts w:eastAsia="Times New Roman"/>
          <w:b/>
          <w:i w:val="false"/>
          <w:sz w:val="24"/>
        </w:rPr>
        <w:t>experimental</w:t>
      </w:r>
      <w:r>
        <w:rPr>
          <w:rFonts w:eastAsia="Times New Roman"/>
          <w:b w:val="false"/>
          <w:i w:val="false"/>
          <w:sz w:val="24"/>
        </w:rPr>
        <w:t>, externa ao formulário (</w:t>
      </w:r>
      <w:r>
        <w:rPr>
          <w:rFonts w:eastAsia="Courier New" w:ascii="Courier New" w:hAnsi="Courier New"/>
          <w:b w:val="false"/>
          <w:i w:val="false"/>
          <w:sz w:val="22"/>
        </w:rPr>
        <w:t>descontinuou_pre_natal ∈ {0,1}</w:t>
      </w:r>
      <w:r>
        <w:rPr>
          <w:rFonts w:eastAsia="Times New Roman"/>
          <w:b w:val="false"/>
          <w:i w:val="false"/>
          <w:sz w:val="24"/>
        </w:rPr>
        <w:t>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Y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é calculado a partir de consultas simuladas.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Y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é produzido pela aplicação da regra de sete consultas.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Y é gerado pelo </w:t>
      </w:r>
      <w:r>
        <w:rPr>
          <w:rFonts w:eastAsia="Times New Roman"/>
          <w:b/>
          <w:i w:val="false"/>
          <w:sz w:val="24"/>
        </w:rPr>
        <w:t>DGM probabilístico</w:t>
      </w:r>
      <w:r>
        <w:rPr>
          <w:rFonts w:eastAsia="Times New Roman"/>
          <w:b w:val="false"/>
          <w:i w:val="false"/>
          <w:sz w:val="24"/>
        </w:rPr>
        <w:t xml:space="preserve">: </w:t>
      </w:r>
      <w:r>
        <w:rPr>
          <w:rFonts w:eastAsia="Courier New" w:ascii="Courier New" w:hAnsi="Courier New"/>
          <w:b w:val="false"/>
          <w:i w:val="false"/>
          <w:sz w:val="22"/>
        </w:rPr>
        <w:t>g_* → eta → sigmoid → Bernoulli</w:t>
      </w:r>
      <w:r>
        <w:rPr>
          <w:rFonts w:eastAsia="Times New Roman"/>
          <w:b w:val="false"/>
          <w:i w:val="false"/>
          <w:sz w:val="24"/>
        </w:rPr>
        <w:t xml:space="preserve"> (ver 4.6).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O objetivo desse Y é testar </w:t>
      </w:r>
      <w:r>
        <w:rPr>
          <w:rFonts w:eastAsia="Times New Roman"/>
          <w:b/>
          <w:i w:val="false"/>
          <w:sz w:val="24"/>
        </w:rPr>
        <w:t>tecnicamente</w:t>
      </w:r>
      <w:r>
        <w:rPr>
          <w:rFonts w:eastAsia="Times New Roman"/>
          <w:b w:val="false"/>
          <w:i w:val="false"/>
          <w:sz w:val="24"/>
        </w:rPr>
        <w:t xml:space="preserve"> o pipeline de ML em cenário controlado.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Nenhuma</w:t>
      </w:r>
      <w:r>
        <w:rPr>
          <w:rFonts w:eastAsia="Times New Roman"/>
          <w:b w:val="false"/>
          <w:i w:val="false"/>
          <w:sz w:val="24"/>
        </w:rPr>
        <w:t xml:space="preserve"> pergunta do formulário fabrica o rótulo. Em futura validação com dados reais, o critério longitudinal de desfecho deve ser definido e validado a partir dos registros reais de acompanhamento (prontuário/SISPRENATAL).</w:t>
      </w:r>
    </w:p>
    <w:p>
      <w:pPr>
        <w:pStyle w:val="Heading2"/>
        <w:ind w:hanging="0"/>
        <w:jc w:val="start"/>
        <w:rPr/>
      </w:pPr>
      <w:bookmarkStart w:id="27" w:name="__RefHeading___Toc2211_3157870603"/>
      <w:bookmarkEnd w:id="27"/>
      <w:r>
        <w:rPr>
          <w:rFonts w:eastAsia="Times New Roman" w:ascii="Times New Roman" w:hAnsi="Times New Roman"/>
          <w:b/>
          <w:sz w:val="24"/>
        </w:rPr>
        <w:t>3.6 Geração do dataset sintético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Nomenclatura conceitual (usada em todo o documento):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 = conjunto completo das </w:t>
      </w:r>
      <w:r>
        <w:rPr>
          <w:rFonts w:eastAsia="Times New Roman"/>
          <w:b/>
          <w:i w:val="false"/>
          <w:sz w:val="24"/>
        </w:rPr>
        <w:t>48 variáveis</w:t>
      </w:r>
      <w:r>
        <w:rPr>
          <w:rFonts w:eastAsia="Times New Roman"/>
          <w:b w:val="false"/>
          <w:i w:val="false"/>
          <w:sz w:val="24"/>
        </w:rPr>
        <w:t xml:space="preserve"> observadas do questionário DSS.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X_model</w:t>
      </w:r>
      <w:r>
        <w:rPr>
          <w:rFonts w:eastAsia="Times New Roman"/>
          <w:b w:val="false"/>
          <w:i w:val="false"/>
          <w:sz w:val="24"/>
        </w:rPr>
        <w:t xml:space="preserve"> = subconjunto das </w:t>
      </w:r>
      <w:r>
        <w:rPr>
          <w:rFonts w:eastAsia="Times New Roman"/>
          <w:b/>
          <w:i w:val="false"/>
          <w:sz w:val="24"/>
        </w:rPr>
        <w:t>34 variáveis ML-IN</w:t>
      </w:r>
      <w:r>
        <w:rPr>
          <w:rFonts w:eastAsia="Times New Roman"/>
          <w:b w:val="false"/>
          <w:i w:val="false"/>
          <w:sz w:val="24"/>
        </w:rPr>
        <w:t xml:space="preserve"> usadas como entrada do modelo principal.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X_sens</w:t>
      </w:r>
      <w:r>
        <w:rPr>
          <w:rFonts w:eastAsia="Times New Roman"/>
          <w:b w:val="false"/>
          <w:i w:val="false"/>
          <w:sz w:val="24"/>
        </w:rPr>
        <w:t xml:space="preserve"> = 34 ML-IN + 2 variáveis de sensibilidade (36), usado somente no experimento secundário 34 vs. 36.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Y</w:t>
      </w:r>
      <w:r>
        <w:rPr>
          <w:rFonts w:eastAsia="Times New Roman"/>
          <w:b w:val="false"/>
          <w:i w:val="false"/>
          <w:sz w:val="24"/>
        </w:rPr>
        <w:t xml:space="preserve"> = target binário sintético (externo ao formulário).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M_sim</w:t>
      </w:r>
      <w:r>
        <w:rPr>
          <w:rFonts w:eastAsia="Times New Roman"/>
          <w:b w:val="false"/>
          <w:i w:val="false"/>
          <w:sz w:val="24"/>
        </w:rPr>
        <w:t xml:space="preserve"> = metadados internos da simulação (</w:t>
      </w:r>
      <w:r>
        <w:rPr>
          <w:rFonts w:eastAsia="Courier New" w:ascii="Courier New" w:hAnsi="Courier New"/>
          <w:b w:val="false"/>
          <w:i w:val="false"/>
          <w:sz w:val="22"/>
        </w:rPr>
        <w:t>Z_*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g_*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eta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p_true</w:t>
      </w:r>
      <w:r>
        <w:rPr>
          <w:rFonts w:eastAsia="Times New Roman"/>
          <w:b w:val="false"/>
          <w:i w:val="false"/>
          <w:sz w:val="24"/>
        </w:rPr>
        <w:t>, condição/renda latente verdadeira etc.), nunca observados pelo modelo.</w:t>
      </w:r>
    </w:p>
    <w:p>
      <w:pPr>
        <w:pStyle w:val="CodeBlock"/>
        <w:shd w:fill="F2F2F2"/>
        <w:rPr/>
      </w:pPr>
      <w:r>
        <w:rPr>
          <w:rFonts w:eastAsia="Courier New"/>
          <w:sz w:val="18"/>
        </w:rPr>
        <w:t>Q_full (48)</w:t>
        <w:br/>
        <w:t xml:space="preserve">   |</w:t>
        <w:br/>
        <w:t xml:space="preserve">   |--&gt; seleção --&gt; X_model (34) --&gt; ML principal</w:t>
        <w:br/>
        <w:t xml:space="preserve">   |</w:t>
        <w:br/>
        <w:t xml:space="preserve">   |--&gt; seleção --&gt; X_sens (36)  --&gt; análise de sensibilidade</w:t>
        <w:br/>
        <w:t xml:space="preserve">   |</w:t>
        <w:br/>
        <w:t xml:space="preserve">   `--&gt; cálculo independente --&gt; IV-DSS</w:t>
        <w:br/>
        <w:br/>
        <w:t>M_sim  --&gt; auditoria do simulador somente</w:t>
        <w:br/>
        <w:t>Y      --&gt; variável-alvo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As 5 OUT-LEAKAGE e as 5 OUT-TEMPORAL pertencem a </w:t>
      </w:r>
      <w:r>
        <w:rPr>
          <w:rFonts w:eastAsia="Courier New" w:ascii="Courier New" w:hAnsi="Courier New"/>
          <w:b w:val="false"/>
          <w:i w:val="false"/>
          <w:sz w:val="22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, mas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a </w:t>
      </w:r>
      <w:r>
        <w:rPr>
          <w:rFonts w:eastAsia="Courier New" w:ascii="Courier New" w:hAnsi="Courier New"/>
          <w:b w:val="false"/>
          <w:i w:val="false"/>
          <w:sz w:val="22"/>
        </w:rPr>
        <w:t>X_model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As 2 DESCRITIVAS pertencem a </w:t>
      </w:r>
      <w:r>
        <w:rPr>
          <w:rFonts w:eastAsia="Courier New" w:ascii="Courier New" w:hAnsi="Courier New"/>
          <w:b w:val="false"/>
          <w:i w:val="false"/>
          <w:sz w:val="22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, mas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a </w:t>
      </w:r>
      <w:r>
        <w:rPr>
          <w:rFonts w:eastAsia="Courier New" w:ascii="Courier New" w:hAnsi="Courier New"/>
          <w:b w:val="false"/>
          <w:i w:val="false"/>
          <w:sz w:val="22"/>
        </w:rPr>
        <w:t>X_model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As 2 SENSIBILIDADE pertencem a </w:t>
      </w:r>
      <w:r>
        <w:rPr>
          <w:rFonts w:eastAsia="Courier New" w:ascii="Courier New" w:hAnsi="Courier New"/>
          <w:b w:val="false"/>
          <w:i w:val="false"/>
          <w:sz w:val="22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 e somente entram em </w:t>
      </w:r>
      <w:r>
        <w:rPr>
          <w:rFonts w:eastAsia="Courier New" w:ascii="Courier New" w:hAnsi="Courier New"/>
          <w:b w:val="false"/>
          <w:i w:val="false"/>
          <w:sz w:val="22"/>
        </w:rPr>
        <w:t>X_sens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Courier New" w:ascii="Courier New" w:hAnsi="Courier New"/>
          <w:b w:val="false"/>
          <w:i w:val="false"/>
          <w:sz w:val="22"/>
        </w:rPr>
        <w:t>M_sim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Times New Roman"/>
          <w:b/>
          <w:i w:val="false"/>
          <w:sz w:val="24"/>
        </w:rPr>
        <w:t>nunca</w:t>
      </w:r>
      <w:r>
        <w:rPr>
          <w:rFonts w:eastAsia="Times New Roman"/>
          <w:b w:val="false"/>
          <w:i w:val="false"/>
          <w:sz w:val="24"/>
        </w:rPr>
        <w:t xml:space="preserve"> é entrada do treinamento.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Fluxo de geração (seed fixa, gerador versionado):</w:t>
      </w:r>
    </w:p>
    <w:p>
      <w:pPr>
        <w:pStyle w:val="CodeBlock"/>
        <w:shd w:fill="F2F2F2"/>
        <w:rPr/>
      </w:pPr>
      <w:r>
        <w:rPr>
          <w:rFonts w:eastAsia="Courier New"/>
          <w:sz w:val="18"/>
        </w:rPr>
        <w:t>Geração de Q_full (48)</w:t>
        <w:br/>
        <w:t xml:space="preserve">      |</w:t>
        <w:br/>
        <w:t xml:space="preserve">      |--&gt; cálculo independente do IV-DSS   (função de Q_full)</w:t>
        <w:br/>
        <w:t xml:space="preserve">      |</w:t>
        <w:br/>
        <w:t xml:space="preserve">      `--&gt; fatores g_* → escore latente → probabilidade → Y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 = variáveis dos DSS observadas (48, tabulares);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IV-DSS</w:t>
      </w:r>
      <w:r>
        <w:rPr>
          <w:rFonts w:eastAsia="Times New Roman"/>
          <w:b w:val="false"/>
          <w:i w:val="false"/>
          <w:sz w:val="24"/>
        </w:rPr>
        <w:t xml:space="preserve"> = variável </w:t>
      </w:r>
      <w:r>
        <w:rPr>
          <w:rFonts w:eastAsia="Times New Roman"/>
          <w:b/>
          <w:i w:val="false"/>
          <w:sz w:val="24"/>
        </w:rPr>
        <w:t>derivada</w:t>
      </w:r>
      <w:r>
        <w:rPr>
          <w:rFonts w:eastAsia="Times New Roman"/>
          <w:b w:val="false"/>
          <w:i w:val="false"/>
          <w:sz w:val="24"/>
        </w:rPr>
        <w:t xml:space="preserve"> de </w:t>
      </w:r>
      <w:r>
        <w:rPr>
          <w:rFonts w:eastAsia="Courier New" w:ascii="Courier New" w:hAnsi="Courier New"/>
          <w:b w:val="false"/>
          <w:i w:val="false"/>
          <w:sz w:val="22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 (função determinística, independente);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Y</w:t>
      </w:r>
      <w:r>
        <w:rPr>
          <w:rFonts w:eastAsia="Times New Roman"/>
          <w:b w:val="false"/>
          <w:i w:val="false"/>
          <w:sz w:val="24"/>
        </w:rPr>
        <w:t xml:space="preserve"> = descontinuidade do pré-natal (target sintético).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O IV-DSS não participa da geração de Y.</w:t>
      </w:r>
      <w:r>
        <w:rPr>
          <w:rFonts w:eastAsia="Times New Roman"/>
          <w:b w:val="false"/>
          <w:i w:val="false"/>
          <w:sz w:val="24"/>
        </w:rPr>
        <w:t xml:space="preserve"> O Y é gerado por um </w:t>
      </w:r>
      <w:r>
        <w:rPr>
          <w:rFonts w:eastAsia="Times New Roman"/>
          <w:b/>
          <w:i w:val="false"/>
          <w:sz w:val="24"/>
        </w:rPr>
        <w:t>mecanismo probabilístico experimental (DGM)</w:t>
      </w:r>
      <w:r>
        <w:rPr>
          <w:rFonts w:eastAsia="Times New Roman"/>
          <w:b w:val="false"/>
          <w:i w:val="false"/>
          <w:sz w:val="24"/>
        </w:rPr>
        <w:t xml:space="preserve">, cujos coeficientes são </w:t>
      </w:r>
      <w:r>
        <w:rPr>
          <w:rFonts w:eastAsia="Times New Roman"/>
          <w:b/>
          <w:i w:val="false"/>
          <w:sz w:val="24"/>
        </w:rPr>
        <w:t>parâmetros de simulação</w:t>
      </w:r>
      <w:r>
        <w:rPr>
          <w:rFonts w:eastAsia="Times New Roman"/>
          <w:b w:val="false"/>
          <w:i w:val="false"/>
          <w:sz w:val="24"/>
        </w:rPr>
        <w:t xml:space="preserve"> — não _odds ratios_ da literatura.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Fatores latentes Z:</w:t>
      </w:r>
      <w:r>
        <w:rPr>
          <w:rFonts w:eastAsia="Times New Roman"/>
          <w:b w:val="false"/>
          <w:i w:val="false"/>
          <w:sz w:val="24"/>
        </w:rPr>
        <w:t xml:space="preserve"> cinco fatores internos do simulador (</w:t>
      </w:r>
      <w:r>
        <w:rPr>
          <w:rFonts w:eastAsia="Courier New" w:ascii="Courier New" w:hAnsi="Courier New"/>
          <w:b w:val="false"/>
          <w:i w:val="false"/>
          <w:sz w:val="22"/>
        </w:rPr>
        <w:t>Z_SES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Z_LAB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Z_TERR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Z_INFRA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Z_SERV</w:t>
      </w:r>
      <w:r>
        <w:rPr>
          <w:rFonts w:eastAsia="Times New Roman"/>
          <w:b w:val="false"/>
          <w:i w:val="false"/>
          <w:sz w:val="24"/>
        </w:rPr>
        <w:t xml:space="preserve">) gerados por distribuição normal multivariada com correlações moderadas. Esses fatores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vão ao Flutter, à API, ao ML nem ao IV-DSS.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Camadas de geração:</w:t>
      </w:r>
      <w:r>
        <w:rPr>
          <w:rFonts w:eastAsia="Times New Roman"/>
          <w:b w:val="false"/>
          <w:i w:val="false"/>
          <w:sz w:val="24"/>
        </w:rPr>
        <w:t xml:space="preserve"> fatores latentes → variáveis base → variáveis dependentes/condicionais → multiselects/descritivas → validação das invariantes do schema → fatores </w:t>
      </w:r>
      <w:r>
        <w:rPr>
          <w:rFonts w:eastAsia="Courier New" w:ascii="Courier New" w:hAnsi="Courier New"/>
          <w:b w:val="false"/>
          <w:i w:val="false"/>
          <w:sz w:val="22"/>
        </w:rPr>
        <w:t>g_*</w:t>
      </w:r>
      <w:r>
        <w:rPr>
          <w:rFonts w:eastAsia="Times New Roman"/>
          <w:b w:val="false"/>
          <w:i w:val="false"/>
          <w:sz w:val="24"/>
        </w:rPr>
        <w:t xml:space="preserve"> → Y → IV-DSS.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Fatores g:</w:t>
      </w:r>
      <w:r>
        <w:rPr>
          <w:rFonts w:eastAsia="Times New Roman"/>
          <w:b w:val="false"/>
          <w:i w:val="false"/>
          <w:sz w:val="24"/>
        </w:rPr>
        <w:t xml:space="preserve"> oito fatores internos derivados de </w:t>
      </w:r>
      <w:r>
        <w:rPr>
          <w:rFonts w:eastAsia="Courier New" w:ascii="Courier New" w:hAnsi="Courier New"/>
          <w:b w:val="false"/>
          <w:i w:val="false"/>
          <w:sz w:val="22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g_escolaridade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g_renda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g_distancia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g_transporte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g_organizacao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g_trabalho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g_privacao_alimentar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g_adensamento</w:t>
      </w:r>
      <w:r>
        <w:rPr>
          <w:rFonts w:eastAsia="Times New Roman"/>
          <w:b w:val="false"/>
          <w:i w:val="false"/>
          <w:sz w:val="24"/>
        </w:rPr>
        <w:t>) alimentam o escore latente de Y, com duas interações experimentais (</w:t>
      </w:r>
      <w:r>
        <w:rPr>
          <w:rFonts w:eastAsia="Courier New" w:ascii="Courier New" w:hAnsi="Courier New"/>
          <w:b w:val="false"/>
          <w:i w:val="false"/>
          <w:sz w:val="22"/>
        </w:rPr>
        <w:t>g_renda × g_privacao_alimentar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g_distancia × g_transporte</w:t>
      </w:r>
      <w:r>
        <w:rPr>
          <w:rFonts w:eastAsia="Times New Roman"/>
          <w:b w:val="false"/>
          <w:i w:val="false"/>
          <w:sz w:val="24"/>
        </w:rPr>
        <w:t>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Equação: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eta = alpha + 0.50·E + 0.55·R + 0.45·D + 0.55·T + 0.40·O + 0.40·W + 0.30·F + 0.25·H + 0.30·(R·F) + 0.35·(D·T) + U</w:t>
      </w:r>
      <w:r>
        <w:rPr>
          <w:rFonts w:eastAsia="Times New Roman"/>
          <w:b w:val="false"/>
          <w:i w:val="false"/>
          <w:sz w:val="24"/>
        </w:rPr>
        <w:t xml:space="preserve">, com </w:t>
      </w:r>
      <w:r>
        <w:rPr>
          <w:rFonts w:eastAsia="Courier New" w:ascii="Courier New" w:hAnsi="Courier New"/>
          <w:b w:val="false"/>
          <w:i w:val="false"/>
          <w:sz w:val="22"/>
        </w:rPr>
        <w:t>U ~ Normal(0, 0.50)</w:t>
      </w:r>
      <w:r>
        <w:rPr>
          <w:rFonts w:eastAsia="Times New Roman"/>
          <w:b w:val="false"/>
          <w:i w:val="false"/>
          <w:sz w:val="24"/>
        </w:rPr>
        <w:t xml:space="preserve">; depois </w:t>
      </w:r>
      <w:r>
        <w:rPr>
          <w:rFonts w:eastAsia="Courier New" w:ascii="Courier New" w:hAnsi="Courier New"/>
          <w:b w:val="false"/>
          <w:i w:val="false"/>
          <w:sz w:val="22"/>
        </w:rPr>
        <w:t>p = sigmoid(eta)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Courier New" w:ascii="Courier New" w:hAnsi="Courier New"/>
          <w:b w:val="false"/>
          <w:i w:val="false"/>
          <w:sz w:val="22"/>
        </w:rPr>
        <w:t>Y ~ Bernoulli(p)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Calibração do intercepto: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alpha</w:t>
      </w:r>
      <w:r>
        <w:rPr>
          <w:rFonts w:eastAsia="Times New Roman"/>
          <w:b w:val="false"/>
          <w:i w:val="false"/>
          <w:sz w:val="24"/>
        </w:rPr>
        <w:t xml:space="preserve"> é calibrado numericamente para que a média das probabilidades verdadeiras ≈ proporção sintética planejada (~25%).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Não-determinismo controlado: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faixa_renda = nao_informar</w:t>
      </w:r>
      <w:r>
        <w:rPr>
          <w:rFonts w:eastAsia="Times New Roman"/>
          <w:b w:val="false"/>
          <w:i w:val="false"/>
          <w:sz w:val="24"/>
        </w:rPr>
        <w:t xml:space="preserve"> em pequena parcela dos registros — o simulador conhece a condição econômica verdadeira antes da ocultação; o modelo recebe apenas </w:t>
      </w:r>
      <w:r>
        <w:rPr>
          <w:rFonts w:eastAsia="Courier New" w:ascii="Courier New" w:hAnsi="Courier New"/>
          <w:b w:val="false"/>
          <w:i w:val="false"/>
          <w:sz w:val="22"/>
        </w:rPr>
        <w:t>nao_informar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dataset foi </w:t>
      </w:r>
      <w:r>
        <w:rPr>
          <w:rFonts w:eastAsia="Times New Roman"/>
          <w:b/>
          <w:i w:val="false"/>
          <w:sz w:val="24"/>
        </w:rPr>
        <w:t>gerado</w:t>
      </w:r>
      <w:r>
        <w:rPr>
          <w:rFonts w:eastAsia="Times New Roman"/>
          <w:b w:val="false"/>
          <w:i w:val="false"/>
          <w:sz w:val="24"/>
        </w:rPr>
        <w:t xml:space="preserve"> com as seguintes configurações: </w:t>
      </w:r>
      <w:r>
        <w:rPr>
          <w:rFonts w:eastAsia="Times New Roman"/>
          <w:b/>
          <w:i w:val="false"/>
          <w:sz w:val="24"/>
        </w:rPr>
        <w:t>5.000 registros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proporção sintética planejada ~25%</w:t>
      </w:r>
      <w:r>
        <w:rPr>
          <w:rFonts w:eastAsia="Times New Roman"/>
          <w:b w:val="false"/>
          <w:i w:val="false"/>
          <w:sz w:val="24"/>
        </w:rPr>
        <w:t xml:space="preserve"> de Y=1 (não chamar de "prevalência"), seed fixa </w:t>
      </w:r>
      <w:r>
        <w:rPr>
          <w:rFonts w:eastAsia="Courier New" w:ascii="Courier New" w:hAnsi="Courier New"/>
          <w:b w:val="false"/>
          <w:i w:val="false"/>
          <w:sz w:val="22"/>
        </w:rPr>
        <w:t>42</w:t>
      </w:r>
      <w:r>
        <w:rPr>
          <w:rFonts w:eastAsia="Times New Roman"/>
          <w:b w:val="false"/>
          <w:i w:val="false"/>
          <w:sz w:val="24"/>
        </w:rPr>
        <w:t>. Cenários de sensibilidade futuros: ~15%, ~25%, ~35%.</w:t>
      </w:r>
    </w:p>
    <w:p>
      <w:pPr>
        <w:pStyle w:val="Heading2"/>
        <w:ind w:hanging="0"/>
        <w:jc w:val="start"/>
        <w:rPr/>
      </w:pPr>
      <w:bookmarkStart w:id="28" w:name="__RefHeading___Toc2213_3157870603"/>
      <w:bookmarkEnd w:id="28"/>
      <w:r>
        <w:rPr>
          <w:rFonts w:eastAsia="Times New Roman" w:ascii="Times New Roman" w:hAnsi="Times New Roman"/>
          <w:b/>
          <w:sz w:val="24"/>
        </w:rPr>
        <w:t>3.7 Seleção de variáveis e controle de leakage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Nem todas as 48 respostas do questionário são utilizadas no modelo principal. A classificação consolidada das 48 variáveis é: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Classe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Qtde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Significado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ML-IN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feature metodologicamente admissível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OUT-LEAKAGE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proximidade com acompanhamento/desfecho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OUT-TEMPORAL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mistura antecedente com acontecimento durante a gestação/acompanhamento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DESCRITIVA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caracterização; sem justificativa para feature principal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SENSIBILIDADE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fora do modelo principal; comparadas em sensibilidade (34 vs. 34+2)</w:t>
            </w:r>
          </w:p>
        </w:tc>
      </w:tr>
    </w:tbl>
    <w:p>
      <w:pPr>
        <w:pStyle w:val="Normal"/>
        <w:spacing w:before="40" w:after="120"/>
        <w:rPr/>
      </w:pPr>
      <w:r>
        <w:rPr>
          <w:rFonts w:eastAsia="Times New Roman"/>
          <w:sz w:val="18"/>
        </w:rPr>
        <w:t>Fonte: elaboração própria (2026), a partir dos artefatos técnicos do projeto.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Total: 34 + 5 + 5 + 2 + 2 = 48.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Leakage (excluídas do ML e do IV-DSS):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faltou_consulta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servicos_pre_natal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exames_pre_natal_completos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vacinas_em_dia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avaliacao_pre_natal</w:t>
      </w:r>
      <w:r>
        <w:rPr>
          <w:rFonts w:eastAsia="Times New Roman"/>
          <w:b w:val="false"/>
          <w:i w:val="false"/>
          <w:sz w:val="24"/>
        </w:rPr>
        <w:t xml:space="preserve">. Descrevem a própria trajetória, experiência ou adesão ao pré-natal e podem aproximar-se indevidamente do desfecho. </w:t>
      </w:r>
      <w:r>
        <w:rPr>
          <w:rFonts w:eastAsia="Times New Roman"/>
          <w:b/>
          <w:i w:val="false"/>
          <w:sz w:val="24"/>
        </w:rPr>
        <w:t>Decisão fechada.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Temporais (coletadas, fora do modelo principal):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situacao_estudos_gestacao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motivo_desemprego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impacto_gestacao_trabalho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mudanca_alimentacao_gestacao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usa_suplementos</w:t>
      </w:r>
      <w:r>
        <w:rPr>
          <w:rFonts w:eastAsia="Times New Roman"/>
          <w:b w:val="false"/>
          <w:i w:val="false"/>
          <w:sz w:val="24"/>
        </w:rPr>
        <w:t>. Misturam condição antecedente com acontecimentos/comportamentos durante a gestação/acompanhamento.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Descritivas (fora do modelo principal):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cuidados_vetores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melhorias_desejadas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/>
          <w:i w:val="false"/>
          <w:sz w:val="24"/>
        </w:rPr>
        <w:t>Sensibilidade (fora do modelo principal):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problema_saude_agua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facil_acesso_saude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IV-DSS é construído </w:t>
      </w:r>
      <w:r>
        <w:rPr>
          <w:rFonts w:eastAsia="Times New Roman"/>
          <w:b/>
          <w:i w:val="false"/>
          <w:sz w:val="24"/>
        </w:rPr>
        <w:t>exclusivamente</w:t>
      </w:r>
      <w:r>
        <w:rPr>
          <w:rFonts w:eastAsia="Times New Roman"/>
          <w:b w:val="false"/>
          <w:i w:val="false"/>
          <w:sz w:val="24"/>
        </w:rPr>
        <w:t xml:space="preserve"> a partir de determinantes sociais e condições de vulnerabilidade, nunca de informações do próprio acompanhamento.</w:t>
      </w:r>
    </w:p>
    <w:p>
      <w:pPr>
        <w:pStyle w:val="Heading2"/>
        <w:ind w:hanging="0"/>
        <w:jc w:val="start"/>
        <w:rPr/>
      </w:pPr>
      <w:bookmarkStart w:id="29" w:name="__RefHeading___Toc2215_3157870603"/>
      <w:bookmarkEnd w:id="29"/>
      <w:r>
        <w:rPr>
          <w:rFonts w:eastAsia="Times New Roman" w:ascii="Times New Roman" w:hAnsi="Times New Roman"/>
          <w:b/>
          <w:sz w:val="24"/>
        </w:rPr>
        <w:t>3.8 Modelos de aprendizado de máquina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protocolo experimental avaliou </w:t>
      </w:r>
      <w:r>
        <w:rPr>
          <w:rFonts w:eastAsia="Times New Roman"/>
          <w:b/>
          <w:i w:val="false"/>
          <w:sz w:val="24"/>
        </w:rPr>
        <w:t>três</w:t>
      </w:r>
      <w:r>
        <w:rPr>
          <w:rFonts w:eastAsia="Times New Roman"/>
          <w:b w:val="false"/>
          <w:i w:val="false"/>
          <w:sz w:val="24"/>
        </w:rPr>
        <w:t xml:space="preserve"> algoritmos de classificação supervisionada: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1. </w:t>
      </w:r>
      <w:r>
        <w:rPr>
          <w:rFonts w:eastAsia="Times New Roman"/>
          <w:b/>
          <w:i w:val="false"/>
          <w:sz w:val="24"/>
        </w:rPr>
        <w:t>Regressão logística</w:t>
      </w:r>
      <w:r>
        <w:rPr>
          <w:rFonts w:eastAsia="Times New Roman"/>
          <w:b w:val="false"/>
          <w:i w:val="false"/>
          <w:sz w:val="24"/>
        </w:rPr>
        <w:t xml:space="preserve"> — baseline interpretável, com regularização L2;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2. </w:t>
      </w:r>
      <w:r>
        <w:rPr>
          <w:rFonts w:eastAsia="Times New Roman"/>
          <w:b/>
          <w:i w:val="false"/>
          <w:sz w:val="24"/>
        </w:rPr>
        <w:t>Random Forest</w:t>
      </w:r>
      <w:r>
        <w:rPr>
          <w:rFonts w:eastAsia="Times New Roman"/>
          <w:b w:val="false"/>
          <w:i w:val="false"/>
          <w:sz w:val="24"/>
        </w:rPr>
        <w:t xml:space="preserve"> — ensemble de árvores;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3. </w:t>
      </w:r>
      <w:r>
        <w:rPr>
          <w:rFonts w:eastAsia="Times New Roman"/>
          <w:b/>
          <w:i w:val="false"/>
          <w:sz w:val="24"/>
        </w:rPr>
        <w:t>XGBoost</w:t>
      </w:r>
      <w:r>
        <w:rPr>
          <w:rFonts w:eastAsia="Times New Roman"/>
          <w:b w:val="false"/>
          <w:i w:val="false"/>
          <w:sz w:val="24"/>
        </w:rPr>
        <w:t xml:space="preserve"> — gradient boosting.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proposta inicial do trabalho considerou, adicionalmente, técnicas como </w:t>
      </w:r>
      <w:r>
        <w:rPr>
          <w:rFonts w:eastAsia="Times New Roman"/>
          <w:b/>
          <w:i w:val="false"/>
          <w:sz w:val="24"/>
        </w:rPr>
        <w:t>redes neurais</w:t>
      </w:r>
      <w:r>
        <w:rPr>
          <w:rFonts w:eastAsia="Times New Roman"/>
          <w:b w:val="false"/>
          <w:i w:val="false"/>
          <w:sz w:val="24"/>
        </w:rPr>
        <w:t xml:space="preserve"> e análise de agrupamento exploratória (</w:t>
      </w:r>
      <w:r>
        <w:rPr>
          <w:rFonts w:eastAsia="Times New Roman"/>
          <w:b/>
          <w:i w:val="false"/>
          <w:sz w:val="24"/>
        </w:rPr>
        <w:t>K-means</w:t>
      </w:r>
      <w:r>
        <w:rPr>
          <w:rFonts w:eastAsia="Times New Roman"/>
          <w:b w:val="false"/>
          <w:i w:val="false"/>
          <w:sz w:val="24"/>
        </w:rPr>
        <w:t xml:space="preserve">). Essas abordagens, entretanto, </w:t>
      </w:r>
      <w:r>
        <w:rPr>
          <w:rFonts w:eastAsia="Times New Roman"/>
          <w:b/>
          <w:i w:val="false"/>
          <w:sz w:val="24"/>
        </w:rPr>
        <w:t>não foram executadas</w:t>
      </w:r>
      <w:r>
        <w:rPr>
          <w:rFonts w:eastAsia="Times New Roman"/>
          <w:b w:val="false"/>
          <w:i w:val="false"/>
          <w:sz w:val="24"/>
        </w:rPr>
        <w:t xml:space="preserve"> no experimento: o protocolo adotado restringiu-se aos três modelos efetivamente implementados e comparados, levando à seleção do </w:t>
      </w:r>
      <w:r>
        <w:rPr>
          <w:rFonts w:eastAsia="Times New Roman"/>
          <w:b/>
          <w:i w:val="false"/>
          <w:sz w:val="24"/>
        </w:rPr>
        <w:t>Random Forest</w:t>
      </w:r>
      <w:r>
        <w:rPr>
          <w:rFonts w:eastAsia="Times New Roman"/>
          <w:b w:val="false"/>
          <w:i w:val="false"/>
          <w:sz w:val="24"/>
        </w:rPr>
        <w:t xml:space="preserve"> (seção 6.2). Essa evolução metodológica — de uma proposta ampla para um protocolo fechado com três classificadores — é registrada aqui de forma explícita, sem que as técnicas não executadas sejam descritas como realizadas.</w:t>
      </w:r>
    </w:p>
    <w:p>
      <w:pPr>
        <w:pStyle w:val="Heading2"/>
        <w:ind w:hanging="0"/>
        <w:jc w:val="start"/>
        <w:rPr/>
      </w:pPr>
      <w:bookmarkStart w:id="30" w:name="__RefHeading___Toc2217_3157870603"/>
      <w:bookmarkEnd w:id="30"/>
      <w:r>
        <w:rPr>
          <w:rFonts w:eastAsia="Times New Roman" w:ascii="Times New Roman" w:hAnsi="Times New Roman"/>
          <w:b/>
          <w:sz w:val="24"/>
        </w:rPr>
        <w:t>3.9 Treinamento e validação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O protocolo de treinamento e validação seguiu os seguintes procedimentos: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Divisão treino/teste:</w:t>
      </w:r>
      <w:r>
        <w:rPr>
          <w:rFonts w:eastAsia="Times New Roman"/>
          <w:b w:val="false"/>
          <w:i w:val="false"/>
          <w:sz w:val="24"/>
        </w:rPr>
        <w:t xml:space="preserve"> o dataset sintético (5.000 registros) foi dividido em </w:t>
      </w:r>
      <w:r>
        <w:rPr>
          <w:rFonts w:eastAsia="Times New Roman"/>
          <w:b/>
          <w:i w:val="false"/>
          <w:sz w:val="24"/>
        </w:rPr>
        <w:t>80% treino (4.000)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20% teste (1.000)</w:t>
      </w:r>
      <w:r>
        <w:rPr>
          <w:rFonts w:eastAsia="Times New Roman"/>
          <w:b w:val="false"/>
          <w:i w:val="false"/>
          <w:sz w:val="24"/>
        </w:rPr>
        <w:t xml:space="preserve">, de forma </w:t>
      </w:r>
      <w:r>
        <w:rPr>
          <w:rFonts w:eastAsia="Times New Roman"/>
          <w:b/>
          <w:i w:val="false"/>
          <w:sz w:val="24"/>
        </w:rPr>
        <w:t>estratificada</w:t>
      </w:r>
      <w:r>
        <w:rPr>
          <w:rFonts w:eastAsia="Times New Roman"/>
          <w:b w:val="false"/>
          <w:i w:val="false"/>
          <w:sz w:val="24"/>
        </w:rPr>
        <w:t xml:space="preserve"> em relação ao desfecho.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Validação cruzada:</w:t>
      </w:r>
      <w:r>
        <w:rPr>
          <w:rFonts w:eastAsia="Times New Roman"/>
          <w:b w:val="false"/>
          <w:i w:val="false"/>
          <w:sz w:val="24"/>
        </w:rPr>
        <w:t xml:space="preserve"> 5-fold estratificado, com </w:t>
      </w:r>
      <w:r>
        <w:rPr>
          <w:rFonts w:eastAsia="Times New Roman"/>
          <w:b/>
          <w:i w:val="false"/>
          <w:sz w:val="24"/>
        </w:rPr>
        <w:t>folds congelados</w:t>
      </w:r>
      <w:r>
        <w:rPr>
          <w:rFonts w:eastAsia="Times New Roman"/>
          <w:b w:val="false"/>
          <w:i w:val="false"/>
          <w:sz w:val="24"/>
        </w:rPr>
        <w:t xml:space="preserve"> e seed fixa.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Controle de desbalanceamento:</w:t>
      </w:r>
      <w:r>
        <w:rPr>
          <w:rFonts w:eastAsia="Times New Roman"/>
          <w:b w:val="false"/>
          <w:i w:val="false"/>
          <w:sz w:val="24"/>
        </w:rPr>
        <w:t xml:space="preserve"> </w:t>
      </w:r>
      <w:r>
        <w:rPr>
          <w:rFonts w:eastAsia="Courier New" w:ascii="Courier New" w:hAnsi="Courier New"/>
          <w:b w:val="false"/>
          <w:i w:val="false"/>
          <w:sz w:val="22"/>
        </w:rPr>
        <w:t>class_weight</w:t>
      </w:r>
      <w:r>
        <w:rPr>
          <w:rFonts w:eastAsia="Times New Roman"/>
          <w:b w:val="false"/>
          <w:i w:val="false"/>
          <w:sz w:val="24"/>
        </w:rPr>
        <w:t xml:space="preserve"> quando disponível (balanced na regressão logística; </w:t>
      </w:r>
      <w:r>
        <w:rPr>
          <w:rFonts w:eastAsia="Courier New" w:ascii="Courier New" w:hAnsi="Courier New"/>
          <w:b w:val="false"/>
          <w:i w:val="false"/>
          <w:sz w:val="22"/>
        </w:rPr>
        <w:t>balanced_subsample</w:t>
      </w:r>
      <w:r>
        <w:rPr>
          <w:rFonts w:eastAsia="Times New Roman"/>
          <w:b w:val="false"/>
          <w:i w:val="false"/>
          <w:sz w:val="24"/>
        </w:rPr>
        <w:t xml:space="preserve"> no Random Forest; </w:t>
      </w:r>
      <w:r>
        <w:rPr>
          <w:rFonts w:eastAsia="Courier New" w:ascii="Courier New" w:hAnsi="Courier New"/>
          <w:b w:val="false"/>
          <w:i w:val="false"/>
          <w:sz w:val="22"/>
        </w:rPr>
        <w:t>scale_pos_weight</w:t>
      </w:r>
      <w:r>
        <w:rPr>
          <w:rFonts w:eastAsia="Times New Roman"/>
          <w:b w:val="false"/>
          <w:i w:val="false"/>
          <w:sz w:val="24"/>
        </w:rPr>
        <w:t xml:space="preserve"> calculado exclusivamente a partir do y de cada fold no XGBoost).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Controle de leakage de preprocessing:</w:t>
      </w:r>
      <w:r>
        <w:rPr>
          <w:rFonts w:eastAsia="Times New Roman"/>
          <w:b w:val="false"/>
          <w:i w:val="false"/>
          <w:sz w:val="24"/>
        </w:rPr>
        <w:t xml:space="preserve"> o pré-processamento foi aprendido </w:t>
      </w:r>
      <w:r>
        <w:rPr>
          <w:rFonts w:eastAsia="Times New Roman"/>
          <w:b/>
          <w:i w:val="false"/>
          <w:sz w:val="24"/>
        </w:rPr>
        <w:t>somente</w:t>
      </w:r>
      <w:r>
        <w:rPr>
          <w:rFonts w:eastAsia="Times New Roman"/>
          <w:b w:val="false"/>
          <w:i w:val="false"/>
          <w:sz w:val="24"/>
        </w:rPr>
        <w:t xml:space="preserve"> sobre o treinamento (encodings one-hot/multi-hot, ordinais e booleanos, sem imputação, sem scaling e sem feature selection), e aplicado aos folds de validação e ao teste sem reutilizar estatísticas do teste.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Conjunto de teste:</w:t>
      </w:r>
      <w:r>
        <w:rPr>
          <w:rFonts w:eastAsia="Times New Roman"/>
          <w:b w:val="false"/>
          <w:i w:val="false"/>
          <w:sz w:val="24"/>
        </w:rPr>
        <w:t xml:space="preserve"> o teste (1.000 registros) </w:t>
      </w:r>
      <w:r>
        <w:rPr>
          <w:rFonts w:eastAsia="Times New Roman"/>
          <w:b/>
          <w:i w:val="false"/>
          <w:sz w:val="24"/>
        </w:rPr>
        <w:t>não participou</w:t>
      </w:r>
      <w:r>
        <w:rPr>
          <w:rFonts w:eastAsia="Times New Roman"/>
          <w:b w:val="false"/>
          <w:i w:val="false"/>
          <w:sz w:val="24"/>
        </w:rPr>
        <w:t xml:space="preserve"> de nenhuma decisão — nem do ajuste, nem da seleção de modelo.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pré-processamento transformou as </w:t>
      </w:r>
      <w:r>
        <w:rPr>
          <w:rFonts w:eastAsia="Times New Roman"/>
          <w:b/>
          <w:i w:val="false"/>
          <w:sz w:val="24"/>
        </w:rPr>
        <w:t>34 variáveis brutas</w:t>
      </w:r>
      <w:r>
        <w:rPr>
          <w:rFonts w:eastAsia="Times New Roman"/>
          <w:b w:val="false"/>
          <w:i w:val="false"/>
          <w:sz w:val="24"/>
        </w:rPr>
        <w:t xml:space="preserve"> de </w:t>
      </w:r>
      <w:r>
        <w:rPr>
          <w:rFonts w:eastAsia="Courier New" w:ascii="Courier New" w:hAnsi="Courier New"/>
          <w:b w:val="false"/>
          <w:i w:val="false"/>
          <w:sz w:val="22"/>
        </w:rPr>
        <w:t>X_model</w:t>
      </w:r>
      <w:r>
        <w:rPr>
          <w:rFonts w:eastAsia="Times New Roman"/>
          <w:b w:val="false"/>
          <w:i w:val="false"/>
          <w:sz w:val="24"/>
        </w:rPr>
        <w:t xml:space="preserve"> em </w:t>
      </w:r>
      <w:r>
        <w:rPr>
          <w:rFonts w:eastAsia="Times New Roman"/>
          <w:b/>
          <w:i w:val="false"/>
          <w:sz w:val="24"/>
        </w:rPr>
        <w:t>96 features</w:t>
      </w:r>
      <w:r>
        <w:rPr>
          <w:rFonts w:eastAsia="Times New Roman"/>
          <w:b w:val="false"/>
          <w:i w:val="false"/>
          <w:sz w:val="24"/>
        </w:rPr>
        <w:t xml:space="preserve"> numéricas (</w:t>
      </w:r>
      <w:r>
        <w:rPr>
          <w:rFonts w:eastAsia="Courier New" w:ascii="Courier New" w:hAnsi="Courier New"/>
          <w:b w:val="false"/>
          <w:i w:val="false"/>
          <w:sz w:val="22"/>
        </w:rPr>
        <w:t>float64</w:t>
      </w:r>
      <w:r>
        <w:rPr>
          <w:rFonts w:eastAsia="Times New Roman"/>
          <w:b w:val="false"/>
          <w:i w:val="false"/>
          <w:sz w:val="24"/>
        </w:rPr>
        <w:t>), por codificação one-hot/multi-hot de categorias nominais e multiselect, mapeamento de ordinais e normalização de booleanos — sem imputação e sem escalonamento.</w:t>
      </w:r>
    </w:p>
    <w:p>
      <w:pPr>
        <w:pStyle w:val="Heading2"/>
        <w:ind w:hanging="0"/>
        <w:jc w:val="start"/>
        <w:rPr/>
      </w:pPr>
      <w:bookmarkStart w:id="31" w:name="__RefHeading___Toc2219_3157870603"/>
      <w:bookmarkEnd w:id="31"/>
      <w:r>
        <w:rPr>
          <w:rFonts w:eastAsia="Times New Roman" w:ascii="Times New Roman" w:hAnsi="Times New Roman"/>
          <w:b/>
          <w:sz w:val="24"/>
        </w:rPr>
        <w:t>3.10 Métricas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avaliação adotou métricas </w:t>
      </w:r>
      <w:r>
        <w:rPr>
          <w:rFonts w:eastAsia="Times New Roman"/>
          <w:b/>
          <w:i w:val="false"/>
          <w:sz w:val="24"/>
        </w:rPr>
        <w:t>independentes de threshold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dependentes de threshold</w:t>
      </w:r>
      <w:r>
        <w:rPr>
          <w:rFonts w:eastAsia="Times New Roman"/>
          <w:b w:val="false"/>
          <w:i w:val="false"/>
          <w:sz w:val="24"/>
        </w:rPr>
        <w:t>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Independentes de threshold:</w:t>
      </w:r>
      <w:r>
        <w:rPr>
          <w:rFonts w:eastAsia="Times New Roman"/>
          <w:b w:val="false"/>
          <w:i w:val="false"/>
          <w:sz w:val="24"/>
        </w:rPr>
        <w:t xml:space="preserve"> ROC-AUC e PR-AUC (métricas primárias para seleção e comparação), além do Brier score e da curva de calibração.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Dependentes de threshold (referência 0.5):</w:t>
      </w:r>
      <w:r>
        <w:rPr>
          <w:rFonts w:eastAsia="Times New Roman"/>
          <w:b w:val="false"/>
          <w:i w:val="false"/>
          <w:sz w:val="24"/>
        </w:rPr>
        <w:t xml:space="preserve"> accuracy, precision, recall, F1 e matriz de confusão.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O </w:t>
      </w:r>
      <w:r>
        <w:rPr>
          <w:rFonts w:eastAsia="Times New Roman"/>
          <w:b/>
          <w:i w:val="false"/>
          <w:sz w:val="24"/>
        </w:rPr>
        <w:t>Recall</w:t>
      </w:r>
      <w:r>
        <w:rPr>
          <w:rFonts w:eastAsia="Times New Roman"/>
          <w:b w:val="false"/>
          <w:i w:val="false"/>
          <w:sz w:val="24"/>
        </w:rPr>
        <w:t xml:space="preserve"> recebe atenção especial em razão do objetivo experimental de avaliar a capacidade dos modelos de identificar a maior proporção possível dos casos positivos sintéticos, sendo interpretado conjuntamente com as demais métricas —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como critério único de escolha do modelo.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seleção do modelo foi orientada pela </w:t>
      </w:r>
      <w:r>
        <w:rPr>
          <w:rFonts w:eastAsia="Times New Roman"/>
          <w:b/>
          <w:i w:val="false"/>
          <w:sz w:val="24"/>
        </w:rPr>
        <w:t>PR-AUC média</w:t>
      </w:r>
      <w:r>
        <w:rPr>
          <w:rFonts w:eastAsia="Times New Roman"/>
          <w:b w:val="false"/>
          <w:i w:val="false"/>
          <w:sz w:val="24"/>
        </w:rPr>
        <w:t xml:space="preserve"> na validação cruzada (desempate por recall e F1), por ser mais adequada a cenários desbalanceados do que a accuracy. Os resultados são apresentados na seção 6.</w:t>
      </w:r>
    </w:p>
    <w:p>
      <w:pPr>
        <w:pStyle w:val="Heading2"/>
        <w:ind w:hanging="0"/>
        <w:jc w:val="start"/>
        <w:rPr/>
      </w:pPr>
      <w:bookmarkStart w:id="32" w:name="__RefHeading___Toc2221_3157870603"/>
      <w:bookmarkEnd w:id="32"/>
      <w:r>
        <w:rPr>
          <w:rFonts w:eastAsia="Times New Roman" w:ascii="Times New Roman" w:hAnsi="Times New Roman"/>
          <w:b/>
          <w:sz w:val="24"/>
        </w:rPr>
        <w:t>3.11 Procedimento de validação da integração Flutter → API → ML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aplicativo integra o formulário DSS à API e ao modelo de ML: a resposta do modelo é uma </w:t>
      </w:r>
      <w:r>
        <w:rPr>
          <w:rFonts w:eastAsia="Times New Roman"/>
          <w:b/>
          <w:i w:val="false"/>
          <w:sz w:val="24"/>
        </w:rPr>
        <w:t>probabilidade de descontinuidade</w:t>
      </w:r>
      <w:r>
        <w:rPr>
          <w:rFonts w:eastAsia="Times New Roman"/>
          <w:b w:val="false"/>
          <w:i w:val="false"/>
          <w:sz w:val="24"/>
        </w:rPr>
        <w:t xml:space="preserve">, apresentada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como diagnóstico. A integração foi </w:t>
      </w:r>
      <w:r>
        <w:rPr>
          <w:rFonts w:eastAsia="Times New Roman"/>
          <w:b/>
          <w:i w:val="false"/>
          <w:sz w:val="24"/>
        </w:rPr>
        <w:t>implementada e validada</w:t>
      </w:r>
      <w:r>
        <w:rPr>
          <w:rFonts w:eastAsia="Times New Roman"/>
          <w:b w:val="false"/>
          <w:i w:val="false"/>
          <w:sz w:val="24"/>
        </w:rPr>
        <w:t xml:space="preserve"> (seções 5.1 e 6.9).</w:t>
      </w:r>
    </w:p>
    <w:p>
      <w:pPr>
        <w:pStyle w:val="Heading2"/>
        <w:ind w:hanging="0"/>
        <w:jc w:val="start"/>
        <w:rPr/>
      </w:pPr>
      <w:bookmarkStart w:id="33" w:name="__RefHeading___Toc2223_3157870603"/>
      <w:bookmarkEnd w:id="33"/>
      <w:r>
        <w:rPr>
          <w:rFonts w:eastAsia="Times New Roman" w:ascii="Times New Roman" w:hAnsi="Times New Roman"/>
          <w:b/>
          <w:sz w:val="24"/>
        </w:rPr>
        <w:t>3.12 Aspectos éticos e limitações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1. </w:t>
      </w:r>
      <w:r>
        <w:rPr>
          <w:rFonts w:eastAsia="Times New Roman"/>
          <w:b w:val="false"/>
          <w:i w:val="false"/>
          <w:sz w:val="24"/>
        </w:rPr>
        <w:t xml:space="preserve">Dados sintéticos </w:t>
      </w:r>
      <w:r>
        <w:rPr>
          <w:rFonts w:eastAsia="Times New Roman"/>
          <w:b/>
          <w:i w:val="false"/>
          <w:sz w:val="24"/>
        </w:rPr>
        <w:t>≠</w:t>
      </w:r>
      <w:r>
        <w:rPr>
          <w:rFonts w:eastAsia="Times New Roman"/>
          <w:b w:val="false"/>
          <w:i w:val="false"/>
          <w:sz w:val="24"/>
        </w:rPr>
        <w:t xml:space="preserve"> dados reais (sem validade externa clínica).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2. </w:t>
      </w:r>
      <w:r>
        <w:rPr>
          <w:rFonts w:eastAsia="Times New Roman"/>
          <w:b w:val="false"/>
          <w:i w:val="false"/>
          <w:sz w:val="24"/>
        </w:rPr>
        <w:t xml:space="preserve">Estimativa </w:t>
      </w:r>
      <w:r>
        <w:rPr>
          <w:rFonts w:eastAsia="Times New Roman"/>
          <w:b/>
          <w:i w:val="false"/>
          <w:sz w:val="24"/>
        </w:rPr>
        <w:t>≠</w:t>
      </w:r>
      <w:r>
        <w:rPr>
          <w:rFonts w:eastAsia="Times New Roman"/>
          <w:b w:val="false"/>
          <w:i w:val="false"/>
          <w:sz w:val="24"/>
        </w:rPr>
        <w:t xml:space="preserve"> diagnóstico médico.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3. </w:t>
      </w:r>
      <w:r>
        <w:rPr>
          <w:rFonts w:eastAsia="Times New Roman"/>
          <w:b w:val="false"/>
          <w:i w:val="false"/>
          <w:sz w:val="24"/>
        </w:rPr>
        <w:t xml:space="preserve">Associação estatística </w:t>
      </w:r>
      <w:r>
        <w:rPr>
          <w:rFonts w:eastAsia="Times New Roman"/>
          <w:b/>
          <w:i w:val="false"/>
          <w:sz w:val="24"/>
        </w:rPr>
        <w:t>≠</w:t>
      </w:r>
      <w:r>
        <w:rPr>
          <w:rFonts w:eastAsia="Times New Roman"/>
          <w:b w:val="false"/>
          <w:i w:val="false"/>
          <w:sz w:val="24"/>
        </w:rPr>
        <w:t xml:space="preserve"> causalidade.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4. </w:t>
      </w:r>
      <w:r>
        <w:rPr>
          <w:rFonts w:eastAsia="Times New Roman"/>
          <w:b w:val="false"/>
          <w:i w:val="false"/>
          <w:sz w:val="24"/>
        </w:rPr>
        <w:t xml:space="preserve">O IV-DSS é um </w:t>
      </w:r>
      <w:r>
        <w:rPr>
          <w:rFonts w:eastAsia="Times New Roman"/>
          <w:b/>
          <w:i w:val="false"/>
          <w:sz w:val="24"/>
        </w:rPr>
        <w:t>índice descritivo experimental</w:t>
      </w:r>
      <w:r>
        <w:rPr>
          <w:rFonts w:eastAsia="Times New Roman"/>
          <w:b w:val="false"/>
          <w:i w:val="false"/>
          <w:sz w:val="24"/>
        </w:rPr>
        <w:t>, não validado; não é escala diagnóstica.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5. </w:t>
      </w:r>
      <w:r>
        <w:rPr>
          <w:rFonts w:eastAsia="Courier New" w:ascii="Courier New" w:hAnsi="Courier New"/>
          <w:b w:val="false"/>
          <w:i w:val="false"/>
          <w:sz w:val="22"/>
        </w:rPr>
        <w:t>faixa_renda</w:t>
      </w:r>
      <w:r>
        <w:rPr>
          <w:rFonts w:eastAsia="Times New Roman"/>
          <w:b w:val="false"/>
          <w:i w:val="false"/>
          <w:sz w:val="24"/>
        </w:rPr>
        <w:t xml:space="preserve"> representa </w:t>
      </w:r>
      <w:r>
        <w:rPr>
          <w:rFonts w:eastAsia="Times New Roman"/>
          <w:b/>
          <w:i w:val="false"/>
          <w:sz w:val="24"/>
        </w:rPr>
        <w:t>renda familiar</w:t>
      </w:r>
      <w:r>
        <w:rPr>
          <w:rFonts w:eastAsia="Times New Roman"/>
          <w:b w:val="false"/>
          <w:i w:val="false"/>
          <w:sz w:val="24"/>
        </w:rPr>
        <w:t>, não renda per capita.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6. </w:t>
      </w:r>
      <w:r>
        <w:rPr>
          <w:rFonts w:eastAsia="Times New Roman"/>
          <w:b w:val="false"/>
          <w:i w:val="false"/>
          <w:sz w:val="24"/>
        </w:rPr>
        <w:t xml:space="preserve">A normalização ordinal com </w:t>
      </w:r>
      <w:r>
        <w:rPr>
          <w:rFonts w:eastAsia="Times New Roman"/>
          <w:b/>
          <w:i w:val="false"/>
          <w:sz w:val="24"/>
        </w:rPr>
        <w:t>intervalos iguais</w:t>
      </w:r>
      <w:r>
        <w:rPr>
          <w:rFonts w:eastAsia="Times New Roman"/>
          <w:b w:val="false"/>
          <w:i w:val="false"/>
          <w:sz w:val="24"/>
        </w:rPr>
        <w:t xml:space="preserve"> é operacional; não implica que as diferenças sociais entre níveis consecutivos sejam empiricamente iguais.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7. </w:t>
      </w:r>
      <w:r>
        <w:rPr>
          <w:rFonts w:eastAsia="Times New Roman"/>
          <w:b w:val="false"/>
          <w:i w:val="false"/>
          <w:sz w:val="24"/>
        </w:rPr>
        <w:t xml:space="preserve">O mínimo de </w:t>
      </w:r>
      <w:r>
        <w:rPr>
          <w:rFonts w:eastAsia="Times New Roman"/>
          <w:b/>
          <w:i w:val="false"/>
          <w:sz w:val="24"/>
        </w:rPr>
        <w:t>≥ 7 consultas</w:t>
      </w:r>
      <w:r>
        <w:rPr>
          <w:rFonts w:eastAsia="Times New Roman"/>
          <w:b w:val="false"/>
          <w:i w:val="false"/>
          <w:sz w:val="24"/>
        </w:rPr>
        <w:t xml:space="preserve"> (Portaria GM/MS nº 5.350/2024, contexto </w:t>
      </w:r>
      <w:r>
        <w:rPr>
          <w:rFonts w:eastAsia="Times New Roman"/>
          <w:b/>
          <w:i w:val="false"/>
          <w:sz w:val="24"/>
        </w:rPr>
        <w:t>Rede Alyne</w:t>
      </w:r>
      <w:r>
        <w:rPr>
          <w:rFonts w:eastAsia="Times New Roman"/>
          <w:b w:val="false"/>
          <w:i w:val="false"/>
          <w:sz w:val="24"/>
        </w:rPr>
        <w:t xml:space="preserve">) é uma </w:t>
      </w:r>
      <w:r>
        <w:rPr>
          <w:rFonts w:eastAsia="Times New Roman"/>
          <w:b/>
          <w:i w:val="false"/>
          <w:sz w:val="24"/>
        </w:rPr>
        <w:t>referência normativa contextual/preliminar</w:t>
      </w:r>
      <w:r>
        <w:rPr>
          <w:rFonts w:eastAsia="Times New Roman"/>
          <w:b w:val="false"/>
          <w:i w:val="false"/>
          <w:sz w:val="24"/>
        </w:rPr>
        <w:t xml:space="preserve"> para a futura operacionalização longitudinal com dados reais.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gera o Y sintético do experimento atual (que provém do DGM)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é definição universal de abandono/descontinuidade; a Portaria também não estabelece, nesse dispositivo, ajuste pela duração gestacional.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8. </w:t>
      </w:r>
      <w:r>
        <w:rPr>
          <w:rFonts w:eastAsia="Times New Roman"/>
          <w:b w:val="false"/>
          <w:i w:val="false"/>
          <w:sz w:val="24"/>
        </w:rPr>
        <w:t xml:space="preserve">A </w:t>
      </w:r>
      <w:r>
        <w:rPr>
          <w:rFonts w:eastAsia="Courier New" w:ascii="Courier New" w:hAnsi="Courier New"/>
          <w:b w:val="false"/>
          <w:i w:val="false"/>
          <w:sz w:val="22"/>
        </w:rPr>
        <w:t>fonte_agua</w:t>
      </w:r>
      <w:r>
        <w:rPr>
          <w:rFonts w:eastAsia="Times New Roman"/>
          <w:b w:val="false"/>
          <w:i w:val="false"/>
          <w:sz w:val="24"/>
        </w:rPr>
        <w:t xml:space="preserve"> isolada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avalia potabilidade nem adequação total.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9. </w:t>
      </w:r>
      <w:r>
        <w:rPr>
          <w:rFonts w:eastAsia="Courier New" w:ascii="Courier New" w:hAnsi="Courier New"/>
          <w:b w:val="false"/>
          <w:i w:val="false"/>
          <w:sz w:val="22"/>
        </w:rPr>
        <w:t>fossa_septica</w:t>
      </w:r>
      <w:r>
        <w:rPr>
          <w:rFonts w:eastAsia="Times New Roman"/>
          <w:b w:val="false"/>
          <w:i w:val="false"/>
          <w:sz w:val="24"/>
        </w:rPr>
        <w:t xml:space="preserve"> é tratada como equivalente a </w:t>
      </w:r>
      <w:r>
        <w:rPr>
          <w:rFonts w:eastAsia="Courier New" w:ascii="Courier New" w:hAnsi="Courier New"/>
          <w:b w:val="false"/>
          <w:i w:val="false"/>
          <w:sz w:val="22"/>
        </w:rPr>
        <w:t>rede_coletora</w:t>
      </w:r>
      <w:r>
        <w:rPr>
          <w:rFonts w:eastAsia="Times New Roman"/>
          <w:b w:val="false"/>
          <w:i w:val="false"/>
          <w:sz w:val="24"/>
        </w:rPr>
        <w:t xml:space="preserve"> sem distinguir qualidade/conservação.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10. </w:t>
      </w:r>
      <w:r>
        <w:rPr>
          <w:rFonts w:eastAsia="Times New Roman"/>
          <w:b w:val="false"/>
          <w:i w:val="false"/>
          <w:sz w:val="24"/>
        </w:rPr>
        <w:t>O indicador alimentar (</w:t>
      </w:r>
      <w:r>
        <w:rPr>
          <w:rFonts w:eastAsia="Courier New" w:ascii="Courier New" w:hAnsi="Courier New"/>
          <w:b w:val="false"/>
          <w:i w:val="false"/>
          <w:sz w:val="22"/>
        </w:rPr>
        <w:t>deixou_de_comer_falta_dinheiro</w:t>
      </w:r>
      <w:r>
        <w:rPr>
          <w:rFonts w:eastAsia="Times New Roman"/>
          <w:b w:val="false"/>
          <w:i w:val="false"/>
          <w:sz w:val="24"/>
        </w:rPr>
        <w:t xml:space="preserve">) é </w:t>
      </w:r>
      <w:r>
        <w:rPr>
          <w:rFonts w:eastAsia="Times New Roman"/>
          <w:b/>
          <w:i w:val="false"/>
          <w:sz w:val="24"/>
        </w:rPr>
        <w:t>único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constitui EBIA/FIES nem classifica insegurança alimentar leve/moderada/grave.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11. </w:t>
      </w:r>
      <w:r>
        <w:rPr>
          <w:rFonts w:eastAsia="Times New Roman"/>
          <w:b w:val="false"/>
          <w:i w:val="false"/>
          <w:sz w:val="24"/>
        </w:rPr>
        <w:t xml:space="preserve">O </w:t>
      </w:r>
      <w:r>
        <w:rPr>
          <w:rFonts w:eastAsia="Courier New" w:ascii="Courier New" w:hAnsi="Courier New"/>
          <w:b w:val="false"/>
          <w:i w:val="false"/>
          <w:sz w:val="22"/>
        </w:rPr>
        <w:t>adensamento_habitacional</w:t>
      </w:r>
      <w:r>
        <w:rPr>
          <w:rFonts w:eastAsia="Times New Roman"/>
          <w:b w:val="false"/>
          <w:i w:val="false"/>
          <w:sz w:val="24"/>
        </w:rPr>
        <w:t xml:space="preserve"> usa moradores/dormitório sem considerar outros fatores de inadequação habitacional.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12. </w:t>
      </w:r>
      <w:r>
        <w:rPr>
          <w:rFonts w:eastAsia="Times New Roman"/>
          <w:b w:val="false"/>
          <w:i w:val="false"/>
          <w:sz w:val="24"/>
        </w:rPr>
        <w:t xml:space="preserve">Os coeficientes do DGM são </w:t>
      </w:r>
      <w:r>
        <w:rPr>
          <w:rFonts w:eastAsia="Times New Roman"/>
          <w:b/>
          <w:i w:val="false"/>
          <w:sz w:val="24"/>
        </w:rPr>
        <w:t>parâmetros de simulação</w:t>
      </w:r>
      <w:r>
        <w:rPr>
          <w:rFonts w:eastAsia="Times New Roman"/>
          <w:b w:val="false"/>
          <w:i w:val="false"/>
          <w:sz w:val="24"/>
        </w:rPr>
        <w:t>, não efeitos epidemiológicos quantitativamente comprovados.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13. </w:t>
      </w:r>
      <w:r>
        <w:rPr>
          <w:rFonts w:eastAsia="Times New Roman"/>
          <w:b w:val="false"/>
          <w:i w:val="false"/>
          <w:sz w:val="24"/>
        </w:rPr>
        <w:t xml:space="preserve">A proporção sintética planejada (~25%)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representa prevalência real.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14. </w:t>
      </w:r>
      <w:r>
        <w:rPr>
          <w:rFonts w:eastAsia="Times New Roman"/>
          <w:b w:val="false"/>
          <w:i w:val="false"/>
          <w:sz w:val="24"/>
        </w:rPr>
        <w:t xml:space="preserve">O modelo selecionado apresentou </w:t>
      </w:r>
      <w:r>
        <w:rPr>
          <w:rFonts w:eastAsia="Times New Roman"/>
          <w:b/>
          <w:i w:val="false"/>
          <w:sz w:val="24"/>
        </w:rPr>
        <w:t>recall zero no limiar 0,5</w:t>
      </w:r>
      <w:r>
        <w:rPr>
          <w:rFonts w:eastAsia="Times New Roman"/>
          <w:b w:val="false"/>
          <w:i w:val="false"/>
          <w:sz w:val="24"/>
        </w:rPr>
        <w:t xml:space="preserve"> (seção 6.3); isso é um resultado experimental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sustenta interpretação de desempenho clínico.</w:t>
      </w:r>
    </w:p>
    <w:p>
      <w:pPr>
        <w:pStyle w:val="Normal"/>
        <w:spacing w:lineRule="auto" w:line="360"/>
        <w:ind w:hanging="340" w:start="454"/>
        <w:rPr/>
      </w:pPr>
      <w:r>
        <w:rPr>
          <w:rFonts w:eastAsia="Times New Roman"/>
          <w:sz w:val="24"/>
        </w:rPr>
        <w:t xml:space="preserve">15. </w:t>
      </w:r>
      <w:r>
        <w:rPr>
          <w:rFonts w:eastAsia="Times New Roman"/>
          <w:b/>
          <w:i w:val="false"/>
          <w:sz w:val="24"/>
        </w:rPr>
        <w:t>Persistência operacional ≠ uso científico.</w:t>
      </w:r>
      <w:r>
        <w:rPr>
          <w:rFonts w:eastAsia="Times New Roman"/>
          <w:b w:val="false"/>
          <w:i w:val="false"/>
          <w:sz w:val="24"/>
        </w:rPr>
        <w:t xml:space="preserve"> Armazenar futuramente as respostas DSS em servidor para o funcionamento do aplicativo é uma finalidade </w:t>
      </w:r>
      <w:r>
        <w:rPr>
          <w:rFonts w:eastAsia="Times New Roman"/>
          <w:b/>
          <w:i w:val="false"/>
          <w:sz w:val="24"/>
        </w:rPr>
        <w:t>operacional</w:t>
      </w:r>
      <w:r>
        <w:rPr>
          <w:rFonts w:eastAsia="Times New Roman"/>
          <w:b w:val="false"/>
          <w:i w:val="false"/>
          <w:sz w:val="24"/>
        </w:rPr>
        <w:t xml:space="preserve">, que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autoriza automaticamente o uso desses dados como dataset de treinamento, validação científica ou publicação. Qualquer uso científico com dados reais deverá observar consentimento, privacidade/LGPD, metodologia e os requisitos éticos aplicáveis.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34" w:name="__RefHeading___Toc2225_3157870603"/>
      <w:bookmarkEnd w:id="34"/>
      <w:r>
        <w:rPr>
          <w:rFonts w:eastAsia="Times New Roman" w:ascii="Times New Roman" w:hAnsi="Times New Roman"/>
          <w:b/>
          <w:sz w:val="24"/>
        </w:rPr>
        <w:t>4 DESENVOLVIMENTO DA SOLUÇÃO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STATUS EDITORIAL — descreve o estado implementado em 25/08/2026. O eixo DSS já está integrado a FastAPI/ML; o acompanhamento pré-natal ainda usa persistência local e será migrado gradualmente para API em fases posteriores.</w:t>
      </w:r>
    </w:p>
    <w:p>
      <w:pPr>
        <w:pStyle w:val="Heading2"/>
        <w:ind w:hanging="0"/>
        <w:jc w:val="start"/>
        <w:rPr/>
      </w:pPr>
      <w:bookmarkStart w:id="35" w:name="__RefHeading___Toc2227_3157870603"/>
      <w:bookmarkEnd w:id="35"/>
      <w:r>
        <w:rPr>
          <w:rFonts w:eastAsia="Times New Roman" w:ascii="Times New Roman" w:hAnsi="Times New Roman"/>
          <w:b/>
          <w:sz w:val="24"/>
        </w:rPr>
        <w:t>4.1 Arquitetura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solução é composta por um </w:t>
      </w:r>
      <w:r>
        <w:rPr>
          <w:rFonts w:eastAsia="Times New Roman"/>
          <w:b/>
          <w:i w:val="false"/>
          <w:sz w:val="24"/>
        </w:rPr>
        <w:t>aplicativo móvel</w:t>
      </w:r>
      <w:r>
        <w:rPr>
          <w:rFonts w:eastAsia="Times New Roman"/>
          <w:b w:val="false"/>
          <w:i w:val="false"/>
          <w:sz w:val="24"/>
        </w:rPr>
        <w:t xml:space="preserve"> (Flutter), um </w:t>
      </w:r>
      <w:r>
        <w:rPr>
          <w:rFonts w:eastAsia="Times New Roman"/>
          <w:b/>
          <w:i w:val="false"/>
          <w:sz w:val="24"/>
        </w:rPr>
        <w:t>backend</w:t>
      </w:r>
      <w:r>
        <w:rPr>
          <w:rFonts w:eastAsia="Times New Roman"/>
          <w:b w:val="false"/>
          <w:i w:val="false"/>
          <w:sz w:val="24"/>
        </w:rPr>
        <w:t xml:space="preserve"> (FastAPI) e um </w:t>
      </w:r>
      <w:r>
        <w:rPr>
          <w:rFonts w:eastAsia="Times New Roman"/>
          <w:b/>
          <w:i w:val="false"/>
          <w:sz w:val="24"/>
        </w:rPr>
        <w:t>pacote de aprendizado de máquina</w:t>
      </w:r>
      <w:r>
        <w:rPr>
          <w:rFonts w:eastAsia="Times New Roman"/>
          <w:b w:val="false"/>
          <w:i w:val="false"/>
          <w:sz w:val="24"/>
        </w:rPr>
        <w:t xml:space="preserve"> (</w:t>
      </w:r>
      <w:r>
        <w:rPr>
          <w:rFonts w:eastAsia="Courier New" w:ascii="Courier New" w:hAnsi="Courier New"/>
          <w:b w:val="false"/>
          <w:i w:val="false"/>
          <w:sz w:val="22"/>
        </w:rPr>
        <w:t>meu_bebe_ml</w:t>
      </w:r>
      <w:r>
        <w:rPr>
          <w:rFonts w:eastAsia="Times New Roman"/>
          <w:b w:val="false"/>
          <w:i w:val="false"/>
          <w:sz w:val="24"/>
        </w:rPr>
        <w:t xml:space="preserve">, Python). O aplicativo reúne dois eixos funcionais: (i) o </w:t>
      </w:r>
      <w:r>
        <w:rPr>
          <w:rFonts w:eastAsia="Times New Roman"/>
          <w:b/>
          <w:i w:val="false"/>
          <w:sz w:val="24"/>
        </w:rPr>
        <w:t>questionário DSS</w:t>
      </w:r>
      <w:r>
        <w:rPr>
          <w:rFonts w:eastAsia="Times New Roman"/>
          <w:b w:val="false"/>
          <w:i w:val="false"/>
          <w:sz w:val="24"/>
        </w:rPr>
        <w:t xml:space="preserve"> com a estimativa experimental; e (ii) o </w:t>
      </w:r>
      <w:r>
        <w:rPr>
          <w:rFonts w:eastAsia="Times New Roman"/>
          <w:b/>
          <w:i w:val="false"/>
          <w:sz w:val="24"/>
        </w:rPr>
        <w:t>acompanhamento do pré-natal</w:t>
      </w:r>
      <w:r>
        <w:rPr>
          <w:rFonts w:eastAsia="Times New Roman"/>
          <w:b w:val="false"/>
          <w:i w:val="false"/>
          <w:sz w:val="24"/>
        </w:rPr>
        <w:t>, com armazenamento local.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eixo DSS é </w:t>
      </w:r>
      <w:r>
        <w:rPr>
          <w:rFonts w:eastAsia="Times New Roman"/>
          <w:b/>
          <w:i w:val="false"/>
          <w:sz w:val="24"/>
        </w:rPr>
        <w:t>integrado de ponta a ponta</w:t>
      </w:r>
      <w:r>
        <w:rPr>
          <w:rFonts w:eastAsia="Times New Roman"/>
          <w:b w:val="false"/>
          <w:i w:val="false"/>
          <w:sz w:val="24"/>
        </w:rPr>
        <w:t xml:space="preserve"> e segue o fluxo:</w:t>
      </w:r>
    </w:p>
    <w:p>
      <w:pPr>
        <w:pStyle w:val="CodeBlock"/>
        <w:shd w:fill="F2F2F2"/>
        <w:rPr/>
      </w:pPr>
      <w:r>
        <w:rPr>
          <w:rFonts w:eastAsia="Courier New"/>
          <w:sz w:val="18"/>
        </w:rPr>
        <w:t>Flutter</w:t>
        <w:br/>
        <w:t>→ formulário DSS</w:t>
        <w:br/>
        <w:t>→ FormularioData (contrato versionado)</w:t>
        <w:br/>
        <w:t>→ RiskEstimateRepository</w:t>
        <w:br/>
        <w:t>→ cliente HTTP dedicado</w:t>
        <w:br/>
        <w:t>→ FastAPI (POST /api/v1/risk-estimate)</w:t>
        <w:br/>
        <w:t>→ meu_bebe_ml (pipeline congelado)</w:t>
        <w:br/>
        <w:t>→ RandomForestClassifier → predict_proba</w:t>
        <w:br/>
        <w:t>→ probability (classe positiva)</w:t>
        <w:br/>
        <w:t>→ resposta HTTP</w:t>
        <w:br/>
        <w:t>→ Flutter (bottom sheet de resultado)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API expõe os seguintes endpoints: </w:t>
      </w:r>
      <w:r>
        <w:rPr>
          <w:rFonts w:eastAsia="Courier New" w:ascii="Courier New" w:hAnsi="Courier New"/>
          <w:b w:val="false"/>
          <w:i w:val="false"/>
          <w:sz w:val="22"/>
        </w:rPr>
        <w:t>GET /health</w:t>
      </w:r>
      <w:r>
        <w:rPr>
          <w:rFonts w:eastAsia="Times New Roman"/>
          <w:b w:val="false"/>
          <w:i w:val="false"/>
          <w:sz w:val="24"/>
        </w:rPr>
        <w:t xml:space="preserve"> (status do serviço), </w:t>
      </w:r>
      <w:r>
        <w:rPr>
          <w:rFonts w:eastAsia="Courier New" w:ascii="Courier New" w:hAnsi="Courier New"/>
          <w:b w:val="false"/>
          <w:i w:val="false"/>
          <w:sz w:val="22"/>
        </w:rPr>
        <w:t>GET /ready</w:t>
      </w:r>
      <w:r>
        <w:rPr>
          <w:rFonts w:eastAsia="Times New Roman"/>
          <w:b w:val="false"/>
          <w:i w:val="false"/>
          <w:sz w:val="24"/>
        </w:rPr>
        <w:t xml:space="preserve"> (disponibilidade do modelo) e </w:t>
      </w:r>
      <w:r>
        <w:rPr>
          <w:rFonts w:eastAsia="Courier New" w:ascii="Courier New" w:hAnsi="Courier New"/>
          <w:b w:val="false"/>
          <w:i w:val="false"/>
          <w:sz w:val="22"/>
        </w:rPr>
        <w:t>POST /api/v1/risk-estimate</w:t>
      </w:r>
      <w:r>
        <w:rPr>
          <w:rFonts w:eastAsia="Times New Roman"/>
          <w:b w:val="false"/>
          <w:i w:val="false"/>
          <w:sz w:val="24"/>
        </w:rPr>
        <w:t xml:space="preserve"> (estimativa). A API utiliza o pacote de ML como dependência, sem duplicar o código do modelo no aplicativo.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camada de apresentação é construída com </w:t>
      </w:r>
      <w:r>
        <w:rPr>
          <w:rFonts w:eastAsia="Times New Roman"/>
          <w:b/>
          <w:i w:val="false"/>
          <w:sz w:val="24"/>
        </w:rPr>
        <w:t>flutter_modular + MobX</w:t>
      </w:r>
      <w:r>
        <w:rPr>
          <w:rFonts w:eastAsia="Times New Roman"/>
          <w:b w:val="false"/>
          <w:i w:val="false"/>
          <w:sz w:val="24"/>
        </w:rPr>
        <w:t>, com contratos de dados canônicos versionados.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arquitetura aqui descrita corresponde ao estado implementado. Distingue-se, portanto, a API DSS atual (que recebe a estimativa experimental, stateless) de uma futura API CRUD do acompanhamento pré-natal, prevista na arquitetura aprovada (seção 4.7) e ainda não implementada.</w:t>
      </w:r>
    </w:p>
    <w:p>
      <w:pPr>
        <w:pStyle w:val="Heading2"/>
        <w:ind w:hanging="0"/>
        <w:jc w:val="start"/>
        <w:rPr/>
      </w:pPr>
      <w:bookmarkStart w:id="36" w:name="__RefHeading___Toc2229_3157870603"/>
      <w:bookmarkEnd w:id="36"/>
      <w:r>
        <w:rPr>
          <w:rFonts w:eastAsia="Times New Roman" w:ascii="Times New Roman" w:hAnsi="Times New Roman"/>
          <w:b/>
          <w:sz w:val="24"/>
        </w:rPr>
        <w:t>4.2 Eixo 1 — Questionário dos DSS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Formulário estruturado das seis dimensões; coleta informações usadas na caracterização (IV-DSS) e na estimativa experimental do modelo. O resultado apresentado no aplicativo é denominado </w:t>
      </w:r>
      <w:r>
        <w:rPr>
          <w:rFonts w:eastAsia="Times New Roman"/>
          <w:b/>
          <w:i w:val="false"/>
          <w:sz w:val="24"/>
        </w:rPr>
        <w:t>"Estimativa de acompanhamento"</w:t>
      </w:r>
      <w:r>
        <w:rPr>
          <w:rFonts w:eastAsia="Times New Roman"/>
          <w:b w:val="false"/>
          <w:i w:val="false"/>
          <w:sz w:val="24"/>
        </w:rPr>
        <w:t xml:space="preserve">, contendo </w:t>
      </w:r>
      <w:r>
        <w:rPr>
          <w:rFonts w:eastAsia="Times New Roman"/>
          <w:b/>
          <w:i w:val="false"/>
          <w:sz w:val="24"/>
        </w:rPr>
        <w:t>probabilidade percentual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texto explicativo</w:t>
      </w:r>
      <w:r>
        <w:rPr>
          <w:rFonts w:eastAsia="Times New Roman"/>
          <w:b w:val="false"/>
          <w:i w:val="false"/>
          <w:sz w:val="24"/>
        </w:rPr>
        <w:t xml:space="preserve"> e um </w:t>
      </w:r>
      <w:r>
        <w:rPr>
          <w:rFonts w:eastAsia="Times New Roman"/>
          <w:b/>
          <w:i w:val="false"/>
          <w:sz w:val="24"/>
        </w:rPr>
        <w:t>notice metodológico</w:t>
      </w:r>
      <w:r>
        <w:rPr>
          <w:rFonts w:eastAsia="Times New Roman"/>
          <w:b w:val="false"/>
          <w:i w:val="false"/>
          <w:sz w:val="24"/>
        </w:rPr>
        <w:t xml:space="preserve"> que esclarece o caráter experimental, a base em dados sintéticos e a ausência de diagnóstico ou certeza.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há tela de "risco" nem classificação de risco.</w:t>
      </w:r>
    </w:p>
    <w:p>
      <w:pPr>
        <w:pStyle w:val="Heading2"/>
        <w:ind w:hanging="0"/>
        <w:jc w:val="start"/>
        <w:rPr/>
      </w:pPr>
      <w:bookmarkStart w:id="37" w:name="__RefHeading___Toc2231_3157870603"/>
      <w:bookmarkEnd w:id="37"/>
      <w:r>
        <w:rPr>
          <w:rFonts w:eastAsia="Times New Roman" w:ascii="Times New Roman" w:hAnsi="Times New Roman"/>
          <w:b/>
          <w:sz w:val="24"/>
        </w:rPr>
        <w:t>4.3 Eixo 2 — Módulo de acompanhamento do pré-natal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aplicativo integra, em uma mesma solução, o gerenciamento do acompanhamento pré-natal, organizado em </w:t>
      </w:r>
      <w:r>
        <w:rPr>
          <w:rFonts w:eastAsia="Times New Roman"/>
          <w:b/>
          <w:i w:val="false"/>
          <w:sz w:val="24"/>
        </w:rPr>
        <w:t>quatro abas principais</w:t>
      </w:r>
      <w:r>
        <w:rPr>
          <w:rFonts w:eastAsia="Times New Roman"/>
          <w:b w:val="false"/>
          <w:i w:val="false"/>
          <w:sz w:val="24"/>
        </w:rPr>
        <w:t xml:space="preserve">: </w:t>
      </w:r>
      <w:r>
        <w:rPr>
          <w:rFonts w:eastAsia="Times New Roman"/>
          <w:b/>
          <w:i w:val="false"/>
          <w:sz w:val="24"/>
        </w:rPr>
        <w:t>Home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Gestação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Parto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Perfil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Home</w:t>
      </w:r>
      <w:r>
        <w:rPr>
          <w:rFonts w:eastAsia="Times New Roman"/>
          <w:b w:val="false"/>
          <w:i w:val="false"/>
          <w:sz w:val="24"/>
        </w:rPr>
        <w:t xml:space="preserve"> — reúne </w:t>
      </w:r>
      <w:r>
        <w:rPr>
          <w:rFonts w:eastAsia="Times New Roman"/>
          <w:b/>
          <w:i w:val="false"/>
          <w:sz w:val="24"/>
        </w:rPr>
        <w:t>Consultas e exames</w:t>
      </w:r>
      <w:r>
        <w:rPr>
          <w:rFonts w:eastAsia="Times New Roman"/>
          <w:b w:val="false"/>
          <w:i w:val="false"/>
          <w:sz w:val="24"/>
        </w:rPr>
        <w:t xml:space="preserve"> (cadastro, listagem e exclusão local), </w:t>
      </w:r>
      <w:r>
        <w:rPr>
          <w:rFonts w:eastAsia="Times New Roman"/>
          <w:b/>
          <w:i w:val="false"/>
          <w:sz w:val="24"/>
        </w:rPr>
        <w:t>Minhas vacinas</w:t>
      </w:r>
      <w:r>
        <w:rPr>
          <w:rFonts w:eastAsia="Times New Roman"/>
          <w:b w:val="false"/>
          <w:i w:val="false"/>
          <w:sz w:val="24"/>
        </w:rPr>
        <w:t xml:space="preserve"> (catálogo pré-cadastrado com controle de realização), </w:t>
      </w:r>
      <w:r>
        <w:rPr>
          <w:rFonts w:eastAsia="Times New Roman"/>
          <w:b/>
          <w:i w:val="false"/>
          <w:sz w:val="24"/>
        </w:rPr>
        <w:t>Meus medicamentos</w:t>
      </w:r>
      <w:r>
        <w:rPr>
          <w:rFonts w:eastAsia="Times New Roman"/>
          <w:b w:val="false"/>
          <w:i w:val="false"/>
          <w:sz w:val="24"/>
        </w:rPr>
        <w:t xml:space="preserve"> (cadastro, listagem e exclusão local) e </w:t>
      </w:r>
      <w:r>
        <w:rPr>
          <w:rFonts w:eastAsia="Times New Roman"/>
          <w:b/>
          <w:i w:val="false"/>
          <w:sz w:val="24"/>
        </w:rPr>
        <w:t>Informações básicas</w:t>
      </w:r>
      <w:r>
        <w:rPr>
          <w:rFonts w:eastAsia="Times New Roman"/>
          <w:b w:val="false"/>
          <w:i w:val="false"/>
          <w:sz w:val="24"/>
        </w:rPr>
        <w:t xml:space="preserve"> (conteúdo educativo estático, sem persistência).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Gestação</w:t>
      </w:r>
      <w:r>
        <w:rPr>
          <w:rFonts w:eastAsia="Times New Roman"/>
          <w:b w:val="false"/>
          <w:i w:val="false"/>
          <w:sz w:val="24"/>
        </w:rPr>
        <w:t xml:space="preserve"> — agrega identificação da gestante, </w:t>
      </w:r>
      <w:r>
        <w:rPr>
          <w:rFonts w:eastAsia="Times New Roman"/>
          <w:b/>
          <w:i w:val="false"/>
          <w:sz w:val="24"/>
        </w:rPr>
        <w:t>idade gestacional (IG)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data provável do parto (DPP)</w:t>
      </w:r>
      <w:r>
        <w:rPr>
          <w:rFonts w:eastAsia="Times New Roman"/>
          <w:b w:val="false"/>
          <w:i w:val="false"/>
          <w:sz w:val="24"/>
        </w:rPr>
        <w:t xml:space="preserve">, local do pré-natal, profissional, consultas, exames e histórico obstétrico. IG e DPP são </w:t>
      </w:r>
      <w:r>
        <w:rPr>
          <w:rFonts w:eastAsia="Times New Roman"/>
          <w:b/>
          <w:i w:val="false"/>
          <w:sz w:val="24"/>
        </w:rPr>
        <w:t>calculadas em tempo de execução</w:t>
      </w:r>
      <w:r>
        <w:rPr>
          <w:rFonts w:eastAsia="Times New Roman"/>
          <w:b w:val="false"/>
          <w:i w:val="false"/>
          <w:sz w:val="24"/>
        </w:rPr>
        <w:t xml:space="preserve"> a partir dos dados da gestação (data da última menstruação),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são persistidas como valores independentes.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Parto</w:t>
      </w:r>
      <w:r>
        <w:rPr>
          <w:rFonts w:eastAsia="Times New Roman"/>
          <w:b w:val="false"/>
          <w:i w:val="false"/>
          <w:sz w:val="24"/>
        </w:rPr>
        <w:t xml:space="preserve"> — representa um </w:t>
      </w:r>
      <w:r>
        <w:rPr>
          <w:rFonts w:eastAsia="Times New Roman"/>
          <w:b/>
          <w:i w:val="false"/>
          <w:sz w:val="24"/>
        </w:rPr>
        <w:t>plano de parto</w:t>
      </w:r>
      <w:r>
        <w:rPr>
          <w:rFonts w:eastAsia="Times New Roman"/>
          <w:b w:val="false"/>
          <w:i w:val="false"/>
          <w:sz w:val="24"/>
        </w:rPr>
        <w:t>, com seções de identificação, histórico, gestação atual, expectativas, parto, alívio da dor, nascimento, observações e resumo.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Perfil</w:t>
      </w:r>
      <w:r>
        <w:rPr>
          <w:rFonts w:eastAsia="Times New Roman"/>
          <w:b w:val="false"/>
          <w:i w:val="false"/>
          <w:sz w:val="24"/>
        </w:rPr>
        <w:t xml:space="preserve"> — reúne </w:t>
      </w:r>
      <w:r>
        <w:rPr>
          <w:rFonts w:eastAsia="Times New Roman"/>
          <w:b/>
          <w:i w:val="false"/>
          <w:sz w:val="24"/>
        </w:rPr>
        <w:t>Meus Dados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Notificações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Configurações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Sobre o app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Sair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Conceitualmente, no plano de parto, </w:t>
      </w:r>
      <w:r>
        <w:rPr>
          <w:rFonts w:eastAsia="Times New Roman"/>
          <w:b/>
          <w:i w:val="false"/>
          <w:sz w:val="24"/>
        </w:rPr>
        <w:t>identificação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histórico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gestação atual</w:t>
      </w:r>
      <w:r>
        <w:rPr>
          <w:rFonts w:eastAsia="Times New Roman"/>
          <w:b w:val="false"/>
          <w:i w:val="false"/>
          <w:sz w:val="24"/>
        </w:rPr>
        <w:t xml:space="preserve"> são </w:t>
      </w:r>
      <w:r>
        <w:rPr>
          <w:rFonts w:eastAsia="Times New Roman"/>
          <w:b/>
          <w:i w:val="false"/>
          <w:sz w:val="24"/>
        </w:rPr>
        <w:t>dados de contexto</w:t>
      </w:r>
      <w:r>
        <w:rPr>
          <w:rFonts w:eastAsia="Times New Roman"/>
          <w:b w:val="false"/>
          <w:i w:val="false"/>
          <w:sz w:val="24"/>
        </w:rPr>
        <w:t xml:space="preserve"> reutilizados de outras entidades; as </w:t>
      </w:r>
      <w:r>
        <w:rPr>
          <w:rFonts w:eastAsia="Times New Roman"/>
          <w:b/>
          <w:i w:val="false"/>
          <w:sz w:val="24"/>
        </w:rPr>
        <w:t>preferências específicas do plano</w:t>
      </w:r>
      <w:r>
        <w:rPr>
          <w:rFonts w:eastAsia="Times New Roman"/>
          <w:b w:val="false"/>
          <w:i w:val="false"/>
          <w:sz w:val="24"/>
        </w:rPr>
        <w:t xml:space="preserve"> são: </w:t>
      </w:r>
      <w:r>
        <w:rPr>
          <w:rFonts w:eastAsia="Times New Roman"/>
          <w:b/>
          <w:i w:val="false"/>
          <w:sz w:val="24"/>
        </w:rPr>
        <w:t>expectativas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momento do parto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alívio da dor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Times New Roman"/>
          <w:b/>
          <w:i w:val="false"/>
          <w:sz w:val="24"/>
        </w:rPr>
        <w:t>nascimento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observações</w:t>
      </w:r>
      <w:r>
        <w:rPr>
          <w:rFonts w:eastAsia="Times New Roman"/>
          <w:b w:val="false"/>
          <w:i w:val="false"/>
          <w:sz w:val="24"/>
        </w:rPr>
        <w:t xml:space="preserve">. Essas informações representam </w:t>
      </w:r>
      <w:r>
        <w:rPr>
          <w:rFonts w:eastAsia="Times New Roman"/>
          <w:b/>
          <w:i w:val="false"/>
          <w:sz w:val="24"/>
        </w:rPr>
        <w:t>preferências e expectativas</w:t>
      </w:r>
      <w:r>
        <w:rPr>
          <w:rFonts w:eastAsia="Times New Roman"/>
          <w:b w:val="false"/>
          <w:i w:val="false"/>
          <w:sz w:val="24"/>
        </w:rPr>
        <w:t xml:space="preserve">,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o registro do desfecho real do parto.</w:t>
      </w:r>
    </w:p>
    <w:p>
      <w:pPr>
        <w:pStyle w:val="Heading2"/>
        <w:ind w:hanging="0"/>
        <w:jc w:val="start"/>
        <w:rPr/>
      </w:pPr>
      <w:bookmarkStart w:id="38" w:name="__RefHeading___Toc2233_3157870603"/>
      <w:bookmarkEnd w:id="38"/>
      <w:r>
        <w:rPr>
          <w:rFonts w:eastAsia="Times New Roman" w:ascii="Times New Roman" w:hAnsi="Times New Roman"/>
          <w:b/>
          <w:sz w:val="24"/>
        </w:rPr>
        <w:t>4.4 Armazenamento local / offline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módulo de acompanhamento </w:t>
      </w:r>
      <w:r>
        <w:rPr>
          <w:rFonts w:eastAsia="Times New Roman"/>
          <w:b/>
          <w:i w:val="false"/>
          <w:sz w:val="24"/>
        </w:rPr>
        <w:t>não depende de API</w:t>
      </w:r>
      <w:r>
        <w:rPr>
          <w:rFonts w:eastAsia="Times New Roman"/>
          <w:b w:val="false"/>
          <w:i w:val="false"/>
          <w:sz w:val="24"/>
        </w:rPr>
        <w:t xml:space="preserve"> para armazenar essas informações; funciona offline. Esta é uma característica arquitetural e funcional —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um preditor do modelo.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O módulo de acompanhamento é </w:t>
      </w:r>
      <w:r>
        <w:rPr>
          <w:rFonts w:eastAsia="Times New Roman"/>
          <w:b/>
          <w:i/>
          <w:sz w:val="20"/>
        </w:rPr>
        <w:t>funcionalidade da aplicação</w:t>
      </w:r>
      <w:r>
        <w:rPr>
          <w:rFonts w:eastAsia="Times New Roman"/>
          <w:b w:val="false"/>
          <w:i/>
          <w:sz w:val="20"/>
        </w:rPr>
        <w:t xml:space="preserve"> e </w:t>
      </w:r>
      <w:r>
        <w:rPr>
          <w:rFonts w:eastAsia="Times New Roman"/>
          <w:b/>
          <w:i/>
          <w:sz w:val="20"/>
        </w:rPr>
        <w:t>não</w:t>
      </w:r>
      <w:r>
        <w:rPr>
          <w:rFonts w:eastAsia="Times New Roman"/>
          <w:b w:val="false"/>
          <w:i/>
          <w:sz w:val="20"/>
        </w:rPr>
        <w:t xml:space="preserve"> faz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parte diretamente do modelo de predição.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persistência local é realizada com </w:t>
      </w:r>
      <w:r>
        <w:rPr>
          <w:rFonts w:eastAsia="Times New Roman"/>
          <w:b/>
          <w:i w:val="false"/>
          <w:sz w:val="24"/>
        </w:rPr>
        <w:t>SQLite</w:t>
      </w:r>
      <w:r>
        <w:rPr>
          <w:rFonts w:eastAsia="Times New Roman"/>
          <w:b w:val="false"/>
          <w:i w:val="false"/>
          <w:sz w:val="24"/>
        </w:rPr>
        <w:t xml:space="preserve"> por meio do pacote </w:t>
      </w:r>
      <w:r>
        <w:rPr>
          <w:rFonts w:eastAsia="Times New Roman"/>
          <w:b/>
          <w:i w:val="false"/>
          <w:sz w:val="24"/>
        </w:rPr>
        <w:t>sqflite</w:t>
      </w:r>
      <w:r>
        <w:rPr>
          <w:rFonts w:eastAsia="Times New Roman"/>
          <w:b w:val="false"/>
          <w:i w:val="false"/>
          <w:sz w:val="24"/>
        </w:rPr>
        <w:t xml:space="preserve">, com </w:t>
      </w:r>
      <w:r>
        <w:rPr>
          <w:rFonts w:eastAsia="Times New Roman"/>
          <w:b/>
          <w:i w:val="false"/>
          <w:sz w:val="24"/>
        </w:rPr>
        <w:t>SQL bruto</w:t>
      </w:r>
      <w:r>
        <w:rPr>
          <w:rFonts w:eastAsia="Times New Roman"/>
          <w:b w:val="false"/>
          <w:i w:val="false"/>
          <w:sz w:val="24"/>
        </w:rPr>
        <w:t xml:space="preserve"> (sem Drift/codegen). O banco </w:t>
      </w:r>
      <w:r>
        <w:rPr>
          <w:rFonts w:eastAsia="Courier New" w:ascii="Courier New" w:hAnsi="Courier New"/>
          <w:b w:val="false"/>
          <w:i w:val="false"/>
          <w:sz w:val="22"/>
        </w:rPr>
        <w:t>meu_bebe.db</w:t>
      </w:r>
      <w:r>
        <w:rPr>
          <w:rFonts w:eastAsia="Times New Roman"/>
          <w:b w:val="false"/>
          <w:i w:val="false"/>
          <w:sz w:val="24"/>
        </w:rPr>
        <w:t xml:space="preserve"> (versão 1) contém </w:t>
      </w:r>
      <w:r>
        <w:rPr>
          <w:rFonts w:eastAsia="Times New Roman"/>
          <w:b/>
          <w:i w:val="false"/>
          <w:sz w:val="24"/>
        </w:rPr>
        <w:t>13 models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13 tabelas</w:t>
      </w:r>
      <w:r>
        <w:rPr>
          <w:rFonts w:eastAsia="Times New Roman"/>
          <w:b w:val="false"/>
          <w:i w:val="false"/>
          <w:sz w:val="24"/>
        </w:rPr>
        <w:t xml:space="preserve"> locais.</w:t>
      </w:r>
    </w:p>
    <w:p>
      <w:pPr>
        <w:pStyle w:val="EditorialStatus"/>
        <w:rPr/>
      </w:pPr>
      <w:r>
        <w:rPr>
          <w:rFonts w:eastAsia="Times New Roman"/>
          <w:b/>
          <w:i/>
          <w:sz w:val="20"/>
        </w:rPr>
        <w:t>Limitação relacional da implementação atual:</w:t>
      </w:r>
      <w:r>
        <w:rPr>
          <w:rFonts w:eastAsia="Times New Roman"/>
          <w:b w:val="false"/>
          <w:i/>
          <w:sz w:val="20"/>
        </w:rPr>
        <w:t xml:space="preserve"> as tabelas locais </w:t>
      </w:r>
      <w:r>
        <w:rPr>
          <w:rFonts w:eastAsia="Times New Roman"/>
          <w:b/>
          <w:i/>
          <w:sz w:val="20"/>
        </w:rPr>
        <w:t>não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possuem relacionamentos formais (foreign keys) entre os registros de domínio.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Embora a configuração do banco ative </w:t>
      </w:r>
      <w:r>
        <w:rPr>
          <w:rFonts w:eastAsia="Courier New" w:ascii="Courier New" w:hAnsi="Courier New"/>
          <w:b w:val="false"/>
          <w:i w:val="false"/>
          <w:sz w:val="18"/>
        </w:rPr>
        <w:t>PRAGMA foreign_keys</w:t>
      </w:r>
      <w:r>
        <w:rPr>
          <w:rFonts w:eastAsia="Times New Roman"/>
          <w:b w:val="false"/>
          <w:i/>
          <w:sz w:val="20"/>
        </w:rPr>
        <w:t>, nenhuma restrição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de </w:t>
      </w:r>
      <w:r>
        <w:rPr>
          <w:rFonts w:eastAsia="Courier New" w:ascii="Courier New" w:hAnsi="Courier New"/>
          <w:b w:val="false"/>
          <w:i w:val="false"/>
          <w:sz w:val="18"/>
        </w:rPr>
        <w:t>FOREIGN KEY</w:t>
      </w:r>
      <w:r>
        <w:rPr>
          <w:rFonts w:eastAsia="Times New Roman"/>
          <w:b w:val="false"/>
          <w:i/>
          <w:sz w:val="20"/>
        </w:rPr>
        <w:t>/</w:t>
      </w:r>
      <w:r>
        <w:rPr>
          <w:rFonts w:eastAsia="Courier New" w:ascii="Courier New" w:hAnsi="Courier New"/>
          <w:b w:val="false"/>
          <w:i w:val="false"/>
          <w:sz w:val="18"/>
        </w:rPr>
        <w:t>REFERENCES</w:t>
      </w:r>
      <w:r>
        <w:rPr>
          <w:rFonts w:eastAsia="Times New Roman"/>
          <w:b w:val="false"/>
          <w:i/>
          <w:sz w:val="20"/>
        </w:rPr>
        <w:t xml:space="preserve"> foi declarada. A implementação local assume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implicitamente </w:t>
      </w:r>
      <w:r>
        <w:rPr>
          <w:rFonts w:eastAsia="Times New Roman"/>
          <w:b/>
          <w:i/>
          <w:sz w:val="20"/>
        </w:rPr>
        <w:t>uma única gestante/gestação por instalação/dispositivo</w:t>
      </w:r>
      <w:r>
        <w:rPr>
          <w:rFonts w:eastAsia="Times New Roman"/>
          <w:b w:val="false"/>
          <w:i/>
          <w:sz w:val="20"/>
        </w:rPr>
        <w:t>. Essa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é uma </w:t>
      </w:r>
      <w:r>
        <w:rPr>
          <w:rFonts w:eastAsia="Times New Roman"/>
          <w:b/>
          <w:i/>
          <w:sz w:val="20"/>
        </w:rPr>
        <w:t>limitação da implementação atual</w:t>
      </w:r>
      <w:r>
        <w:rPr>
          <w:rFonts w:eastAsia="Times New Roman"/>
          <w:b w:val="false"/>
          <w:i/>
          <w:sz w:val="20"/>
        </w:rPr>
        <w:t xml:space="preserve">, e </w:t>
      </w:r>
      <w:r>
        <w:rPr>
          <w:rFonts w:eastAsia="Times New Roman"/>
          <w:b/>
          <w:i/>
          <w:sz w:val="20"/>
        </w:rPr>
        <w:t>não</w:t>
      </w:r>
      <w:r>
        <w:rPr>
          <w:rFonts w:eastAsia="Times New Roman"/>
          <w:b w:val="false"/>
          <w:i/>
          <w:sz w:val="20"/>
        </w:rPr>
        <w:t xml:space="preserve"> uma decisão desejada para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a arquitetura futura (seção 4.7).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estratégia de evolução aprovada para a persistência do acompanhamento prevê que a API/backend passe a ser a fonte de verdade, substituindo progressivamente a dependência do SQLite local. A transição será feature por feature: cada recurso migra da implementação local para uma implementação REST, validada de ponta a ponta, e só então a API passa a ser a fonte de verdade daquela feature. Não haverá, nesta etapa, migração automática dos registros SQLite existentes, nem offline-first, sincronização ou cache distribuído (seção 4.7).</w:t>
      </w:r>
    </w:p>
    <w:p>
      <w:pPr>
        <w:pStyle w:val="Heading2"/>
        <w:ind w:hanging="0"/>
        <w:jc w:val="start"/>
        <w:rPr/>
      </w:pPr>
      <w:bookmarkStart w:id="39" w:name="__RefHeading___Toc2235_3157870603"/>
      <w:bookmarkEnd w:id="39"/>
      <w:r>
        <w:rPr>
          <w:rFonts w:eastAsia="Times New Roman" w:ascii="Times New Roman" w:hAnsi="Times New Roman"/>
          <w:b/>
          <w:sz w:val="24"/>
        </w:rPr>
        <w:t>4.5 Autenticação e estado atual do DSS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aplicativo possui uma </w:t>
      </w:r>
      <w:r>
        <w:rPr>
          <w:rFonts w:eastAsia="Times New Roman"/>
          <w:b/>
          <w:i w:val="false"/>
          <w:sz w:val="24"/>
        </w:rPr>
        <w:t>tela visual de login</w:t>
      </w:r>
      <w:r>
        <w:rPr>
          <w:rFonts w:eastAsia="Times New Roman"/>
          <w:b w:val="false"/>
          <w:i w:val="false"/>
          <w:sz w:val="24"/>
        </w:rPr>
        <w:t xml:space="preserve">; entretanto, </w:t>
      </w:r>
      <w:r>
        <w:rPr>
          <w:rFonts w:eastAsia="Times New Roman"/>
          <w:b/>
          <w:i w:val="false"/>
          <w:sz w:val="24"/>
        </w:rPr>
        <w:t>não existe um fluxo funcional completo de autenticação e sessão</w:t>
      </w:r>
      <w:r>
        <w:rPr>
          <w:rFonts w:eastAsia="Times New Roman"/>
          <w:b w:val="false"/>
          <w:i w:val="false"/>
          <w:sz w:val="24"/>
        </w:rPr>
        <w:t xml:space="preserve">. O botão "Entrar" atualmente navega sem autenticar de fato; o botão "Criar nova conta" direciona ao questionário DSS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cria conta. Existe código parcial/legado de autenticação (repositório de usuário, serviço de login e armazenamento de token), mas ele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compõe um sistema real completo de autenticação/sessão.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fluxo DSS atual é </w:t>
      </w:r>
      <w:r>
        <w:rPr>
          <w:rFonts w:eastAsia="Times New Roman"/>
          <w:b/>
          <w:i w:val="false"/>
          <w:sz w:val="24"/>
        </w:rPr>
        <w:t>stateless</w:t>
      </w:r>
      <w:r>
        <w:rPr>
          <w:rFonts w:eastAsia="Times New Roman"/>
          <w:b w:val="false"/>
          <w:i w:val="false"/>
          <w:sz w:val="24"/>
        </w:rPr>
        <w:t xml:space="preserve"> do ponto de vista da API: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exige login,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envia token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possui identificador de usuária/gestante/gestação; a API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persiste a avaliação.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O item "Sair" da aba Perfil atualmente corresponde a navegação para a tela de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login, e </w:t>
      </w:r>
      <w:r>
        <w:rPr>
          <w:rFonts w:eastAsia="Times New Roman"/>
          <w:b/>
          <w:i/>
          <w:sz w:val="20"/>
        </w:rPr>
        <w:t>não</w:t>
      </w:r>
      <w:r>
        <w:rPr>
          <w:rFonts w:eastAsia="Times New Roman"/>
          <w:b w:val="false"/>
          <w:i/>
          <w:sz w:val="20"/>
        </w:rPr>
        <w:t xml:space="preserve"> a um logout autenticado real. Da mesma forma, </w:t>
      </w:r>
      <w:r>
        <w:rPr>
          <w:rFonts w:eastAsia="Times New Roman"/>
          <w:b/>
          <w:i/>
          <w:sz w:val="20"/>
        </w:rPr>
        <w:t>Notificações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e parte das </w:t>
      </w:r>
      <w:r>
        <w:rPr>
          <w:rFonts w:eastAsia="Times New Roman"/>
          <w:b/>
          <w:i/>
          <w:sz w:val="20"/>
        </w:rPr>
        <w:t>Configurações</w:t>
      </w:r>
      <w:r>
        <w:rPr>
          <w:rFonts w:eastAsia="Times New Roman"/>
          <w:b w:val="false"/>
          <w:i/>
          <w:sz w:val="20"/>
        </w:rPr>
        <w:t xml:space="preserve"> ainda não representam subsistemas persistentes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completos.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arquitetura futura aprovada prevê autenticação real — cadastro, login, sessão, token de acesso e token de renovação, com hash de senha moderno — e a relação USER ↔ GESTANTE, com autorização por ownership. Distinguem-se autenticação (quem é a usuária) de autorização (quais registros ela pode acessar); o CPF, quando utilizado, pertence ao perfil da gestante e não é chave primária nem login automático. Tudo isso permanece planejado, e não implementado (seção 4.7).</w:t>
      </w:r>
    </w:p>
    <w:p>
      <w:pPr>
        <w:pStyle w:val="Heading2"/>
        <w:ind w:hanging="0"/>
        <w:jc w:val="start"/>
        <w:rPr/>
      </w:pPr>
      <w:bookmarkStart w:id="40" w:name="__RefHeading___Toc2237_3157870603"/>
      <w:bookmarkEnd w:id="40"/>
      <w:r>
        <w:rPr>
          <w:rFonts w:eastAsia="Times New Roman" w:ascii="Times New Roman" w:hAnsi="Times New Roman"/>
          <w:b/>
          <w:sz w:val="24"/>
        </w:rPr>
        <w:t>4.6 Onde o IV-DSS é calculado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IV-DSS é calculado em </w:t>
      </w:r>
      <w:r>
        <w:rPr>
          <w:rFonts w:eastAsia="Times New Roman"/>
          <w:b/>
          <w:i w:val="false"/>
          <w:sz w:val="24"/>
        </w:rPr>
        <w:t>etapa analítica independente</w:t>
      </w:r>
      <w:r>
        <w:rPr>
          <w:rFonts w:eastAsia="Times New Roman"/>
          <w:b w:val="false"/>
          <w:i w:val="false"/>
          <w:sz w:val="24"/>
        </w:rPr>
        <w:t xml:space="preserve"> no pipeline Python (</w:t>
      </w:r>
      <w:r>
        <w:rPr>
          <w:rFonts w:eastAsia="Courier New" w:ascii="Courier New" w:hAnsi="Courier New"/>
          <w:b w:val="false"/>
          <w:i w:val="false"/>
          <w:sz w:val="22"/>
        </w:rPr>
        <w:t>meu_bebe_ml</w:t>
      </w:r>
      <w:r>
        <w:rPr>
          <w:rFonts w:eastAsia="Times New Roman"/>
          <w:b w:val="false"/>
          <w:i w:val="false"/>
          <w:sz w:val="24"/>
        </w:rPr>
        <w:t xml:space="preserve">),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no aplicativo nem na API — nesta versão. Distinção explícita: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IV-DSS</w:t>
      </w:r>
      <w:r>
        <w:rPr>
          <w:rFonts w:eastAsia="Times New Roman"/>
          <w:b w:val="false"/>
          <w:i w:val="false"/>
          <w:sz w:val="24"/>
        </w:rPr>
        <w:t xml:space="preserve"> = cálculo analítico independente a partir de </w:t>
      </w:r>
      <w:r>
        <w:rPr>
          <w:rFonts w:eastAsia="Courier New" w:ascii="Courier New" w:hAnsi="Courier New"/>
          <w:b w:val="false"/>
          <w:i w:val="false"/>
          <w:sz w:val="22"/>
        </w:rPr>
        <w:t>Q_full</w:t>
      </w:r>
      <w:r>
        <w:rPr>
          <w:rFonts w:eastAsia="Times New Roman"/>
          <w:b w:val="false"/>
          <w:i w:val="false"/>
          <w:sz w:val="24"/>
        </w:rPr>
        <w:t xml:space="preserve">;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entra no pré-processamento do modelo principal como feature.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/>
          <w:i w:val="false"/>
          <w:sz w:val="24"/>
        </w:rPr>
        <w:t>Pré-processamento de ML</w:t>
      </w:r>
      <w:r>
        <w:rPr>
          <w:rFonts w:eastAsia="Times New Roman"/>
          <w:b w:val="false"/>
          <w:i w:val="false"/>
          <w:sz w:val="24"/>
        </w:rPr>
        <w:t xml:space="preserve"> = preparação de </w:t>
      </w:r>
      <w:r>
        <w:rPr>
          <w:rFonts w:eastAsia="Courier New" w:ascii="Courier New" w:hAnsi="Courier New"/>
          <w:b w:val="false"/>
          <w:i w:val="false"/>
          <w:sz w:val="22"/>
        </w:rPr>
        <w:t>X_model</w:t>
      </w:r>
      <w:r>
        <w:rPr>
          <w:rFonts w:eastAsia="Times New Roman"/>
          <w:b w:val="false"/>
          <w:i w:val="false"/>
          <w:sz w:val="24"/>
        </w:rPr>
        <w:t xml:space="preserve"> para os classificadores (one-hot, multi-hot, ordinais, booleanos).</w:t>
      </w:r>
    </w:p>
    <w:p>
      <w:pPr>
        <w:pStyle w:val="Heading2"/>
        <w:ind w:hanging="0"/>
        <w:jc w:val="start"/>
        <w:rPr/>
      </w:pPr>
      <w:bookmarkStart w:id="41" w:name="__RefHeading___Toc2239_3157870603"/>
      <w:bookmarkEnd w:id="41"/>
      <w:r>
        <w:rPr>
          <w:rFonts w:eastAsia="Times New Roman" w:ascii="Times New Roman" w:hAnsi="Times New Roman"/>
          <w:b/>
          <w:sz w:val="24"/>
        </w:rPr>
        <w:t xml:space="preserve">4.7 Arquitetura futura aprovada (evolução planejada)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arquitetura descrita até aqui corresponde ao estado atual implementado — o módulo de acompanhamento do pré-natal persiste localmente em SQLite, e o fluxo DSS utiliza a API apenas para a estimativa experimental, de forma stateless. A seguir apresenta-se a arquitetura futura aprovada, planejada mas ainda não implementada, que estabelece a direção de evolução da persistência e da identidade do acompanhamento pré-natal.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Conceitualmente, o domínio evoluirá para as seguintes entidades e relacionamentos:</w:t>
      </w:r>
    </w:p>
    <w:p>
      <w:pPr>
        <w:pStyle w:val="CodeBlock"/>
        <w:shd w:fill="F2F2F2"/>
        <w:rPr/>
      </w:pPr>
      <w:r>
        <w:rPr>
          <w:rFonts w:eastAsia="Courier New"/>
          <w:sz w:val="18"/>
        </w:rPr>
        <w:t xml:space="preserve">USER 1 ─ 1 GESTANTE</w:t>
        <w:br/>
        <w:t xml:space="preserve">GESTANTE 1 ─ N GESTACAO</w:t>
        <w:br/>
        <w:t xml:space="preserve">GESTANTE 1 ─ 1 HISTORICO_OBSTETRICO</w:t>
        <w:br/>
        <w:t xml:space="preserve">GESTACAO 1 ─ N CONSULTA</w:t>
        <w:br/>
        <w:t xml:space="preserve">GESTACAO 1 ─ N EXAME</w:t>
        <w:br/>
        <w:t xml:space="preserve">GESTACAO 1 ─ N MEDICACAO</w:t>
        <w:br/>
        <w:t xml:space="preserve">GESTACAO 1 ─ N VACINA</w:t>
        <w:br/>
        <w:t xml:space="preserve">GESTACAO 1 ─ 0..1 PLANO_DE_PARTO</w:t>
        <w:br/>
        <w:t xml:space="preserve">GESTACAO 1 ─ N AVALIACAO_DSS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Nessa arquitetura, USER representa a identidade/autenticação e GESTANTE o perfil pessoal (nome, nome social, data de nascimento, CPF — se utilizado — e Cartão Nacional de Saúde). O histórico obstétrico atual (números agregados de gravidezes, partos e abortos) pertence à GESTANTE e não representa uma gestação anterior individual, sendo modelado como HISTORICO_OBSTETRICO. Cada GESTACAO possui identidade própria, e as entidades do pré-natal (consultas, exames, medicamentos, vacinas, plano de parto e avaliação DSS) ficam associadas à gestação.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persistência futura aprovada prevê PostgreSQL como banco, SQLAlchemy 2.x como camada ORM e Alembic para migrações versionadas, com integridade referencial formal (chaves estrangeiras), timestamps e identificadores UUID v4 para as novas entidades persistentes. O modo de acesso do ORM (síncrono ou assíncrono) ainda não está definido e será avaliado na etapa de infraestrutura. O CPF, quando utilizado, pertence ao perfil da gestante e não é chave primária nem credencial de login automática.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API/backend passará a ser a fonte de verdade do acompanhamento pré-natal, com autenticação (cadastro, login e sessão) e autorização por ownership, aplicada pelo caminho USER → GESTANTE → GESTACAO → recurso, para impedir o acesso a registros de outra usuária. Distinguem-se, assim, autenticação ("quem é a usuária") de autorização ("quais registros ela pode acessar"); trata-se de controle de propriedade/autorização, e não de "multi-tenancy".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transição do SQLite para a API será incremental, feature por feature: cada recurso migra da implementação local para a implementação REST, validado de ponta a ponta, e só então a API passa a ser a fonte de verdade daquela feature. Não haverá, nesta etapa, migração automática dos registros SQLite existentes, nem offline-first, sincronização ou cache distribuído; essas capacidades poderão ser avaliadas apenas posteriormente.</w:t>
      </w:r>
    </w:p>
    <w:p>
      <w:pPr>
        <w:pStyle w:val="EditorialStatus"/>
        <w:rPr/>
      </w:pPr>
      <w:r>
        <w:rPr>
          <w:rFonts w:eastAsia="Times New Roman"/>
          <w:b/>
          <w:i/>
          <w:sz w:val="20"/>
        </w:rPr>
        <w:t xml:space="preserve">Não implementado ainda. </w:t>
      </w:r>
      <w:r>
        <w:rPr>
          <w:rFonts w:eastAsia="Times New Roman"/>
          <w:b w:val="false"/>
          <w:i/>
          <w:sz w:val="20"/>
        </w:rPr>
        <w:t xml:space="preserve">Esta subseção registra uma arquitetura aprovada e planejada, e não deve ser lida como descrição do estado atual nem como resultado de implementação. O fluxo DSS (POST /api/v1/risk-estimate) permanece inalterado: stateless, sem autenticação e sem persistência operacional.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42" w:name="__RefHeading___Toc2241_3157870603"/>
      <w:bookmarkEnd w:id="42"/>
      <w:r>
        <w:rPr>
          <w:rFonts w:eastAsia="Times New Roman" w:ascii="Times New Roman" w:hAnsi="Times New Roman"/>
          <w:b/>
          <w:sz w:val="24"/>
        </w:rPr>
        <w:t>5 RESULTADOS E DISCUSSÃO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STATUS EDITORIAL — resultados experimentais e de integração atuais incorporados. A interpretação científica será aprofundada com a bibliografia já validada antes do congelamento do capítulo.</w:t>
      </w:r>
    </w:p>
    <w:p>
      <w:pPr>
        <w:pStyle w:val="Heading2"/>
        <w:ind w:hanging="0"/>
        <w:jc w:val="start"/>
        <w:rPr/>
      </w:pPr>
      <w:bookmarkStart w:id="43" w:name="__RefHeading___Toc2243_3157870603"/>
      <w:bookmarkEnd w:id="43"/>
      <w:r>
        <w:rPr>
          <w:rFonts w:eastAsia="Times New Roman" w:ascii="Times New Roman" w:hAnsi="Times New Roman"/>
          <w:b/>
          <w:sz w:val="24"/>
        </w:rPr>
        <w:t>5.1 Conjunto sintético e protocolo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experimento utilizou um dataset sintético de </w:t>
      </w:r>
      <w:r>
        <w:rPr>
          <w:rFonts w:eastAsia="Times New Roman"/>
          <w:b/>
          <w:i w:val="false"/>
          <w:sz w:val="24"/>
        </w:rPr>
        <w:t>5.000 registros</w:t>
      </w:r>
      <w:r>
        <w:rPr>
          <w:rFonts w:eastAsia="Times New Roman"/>
          <w:b w:val="false"/>
          <w:i w:val="false"/>
          <w:sz w:val="24"/>
        </w:rPr>
        <w:t xml:space="preserve"> (seed fixa </w:t>
      </w:r>
      <w:r>
        <w:rPr>
          <w:rFonts w:eastAsia="Courier New" w:ascii="Courier New" w:hAnsi="Courier New"/>
          <w:b w:val="false"/>
          <w:i w:val="false"/>
          <w:sz w:val="22"/>
        </w:rPr>
        <w:t>42</w:t>
      </w:r>
      <w:r>
        <w:rPr>
          <w:rFonts w:eastAsia="Times New Roman"/>
          <w:b w:val="false"/>
          <w:i w:val="false"/>
          <w:sz w:val="24"/>
        </w:rPr>
        <w:t xml:space="preserve">), com proporção sintética planejada de ~25% de casos positivos. A divisão estratificada resultou em </w:t>
      </w:r>
      <w:r>
        <w:rPr>
          <w:rFonts w:eastAsia="Times New Roman"/>
          <w:b/>
          <w:i w:val="false"/>
          <w:sz w:val="24"/>
        </w:rPr>
        <w:t>4.000 registros de treino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1.000 de teste</w:t>
      </w:r>
      <w:r>
        <w:rPr>
          <w:rFonts w:eastAsia="Times New Roman"/>
          <w:b w:val="false"/>
          <w:i w:val="false"/>
          <w:sz w:val="24"/>
        </w:rPr>
        <w:t xml:space="preserve">, com razão de positivos preservada (~24,4%). O pré-processamento transformou as </w:t>
      </w:r>
      <w:r>
        <w:rPr>
          <w:rFonts w:eastAsia="Times New Roman"/>
          <w:b/>
          <w:i w:val="false"/>
          <w:sz w:val="24"/>
        </w:rPr>
        <w:t>34 variáveis brutas</w:t>
      </w:r>
      <w:r>
        <w:rPr>
          <w:rFonts w:eastAsia="Times New Roman"/>
          <w:b w:val="false"/>
          <w:i w:val="false"/>
          <w:sz w:val="24"/>
        </w:rPr>
        <w:t xml:space="preserve"> de </w:t>
      </w:r>
      <w:r>
        <w:rPr>
          <w:rFonts w:eastAsia="Courier New" w:ascii="Courier New" w:hAnsi="Courier New"/>
          <w:b w:val="false"/>
          <w:i w:val="false"/>
          <w:sz w:val="22"/>
        </w:rPr>
        <w:t>X_model</w:t>
      </w:r>
      <w:r>
        <w:rPr>
          <w:rFonts w:eastAsia="Times New Roman"/>
          <w:b w:val="false"/>
          <w:i w:val="false"/>
          <w:sz w:val="24"/>
        </w:rPr>
        <w:t xml:space="preserve"> em </w:t>
      </w:r>
      <w:r>
        <w:rPr>
          <w:rFonts w:eastAsia="Times New Roman"/>
          <w:b/>
          <w:i w:val="false"/>
          <w:sz w:val="24"/>
        </w:rPr>
        <w:t>96 features</w:t>
      </w:r>
      <w:r>
        <w:rPr>
          <w:rFonts w:eastAsia="Times New Roman"/>
          <w:b w:val="false"/>
          <w:i w:val="false"/>
          <w:sz w:val="24"/>
        </w:rPr>
        <w:t xml:space="preserve"> numéricas.</w:t>
      </w:r>
    </w:p>
    <w:p>
      <w:pPr>
        <w:pStyle w:val="Heading2"/>
        <w:ind w:hanging="0"/>
        <w:jc w:val="start"/>
        <w:rPr/>
      </w:pPr>
      <w:bookmarkStart w:id="44" w:name="__RefHeading___Toc2245_3157870603"/>
      <w:bookmarkEnd w:id="44"/>
      <w:r>
        <w:rPr>
          <w:rFonts w:eastAsia="Times New Roman" w:ascii="Times New Roman" w:hAnsi="Times New Roman"/>
          <w:b/>
          <w:sz w:val="24"/>
        </w:rPr>
        <w:t>5.2 Comparação e seleção de modelos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Três modelos foram comparados por validação cruzada 5-fold (folds congelados, somente sobre o treino), tendo como métrica primária a </w:t>
      </w:r>
      <w:r>
        <w:rPr>
          <w:rFonts w:eastAsia="Times New Roman"/>
          <w:b/>
          <w:i w:val="false"/>
          <w:sz w:val="24"/>
        </w:rPr>
        <w:t>PR-AUC média</w:t>
      </w:r>
      <w:r>
        <w:rPr>
          <w:rFonts w:eastAsia="Times New Roman"/>
          <w:b w:val="false"/>
          <w:i w:val="false"/>
          <w:sz w:val="24"/>
        </w:rPr>
        <w:t>: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Modelo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PR-AUC média (CV)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ROC-AUC média (CV)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Regressão logística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0,3370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0,6087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Random Forest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0,3508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0,6098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XGBoost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0,3346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0,6054</w:t>
            </w:r>
          </w:p>
        </w:tc>
      </w:tr>
    </w:tbl>
    <w:p>
      <w:pPr>
        <w:pStyle w:val="Normal"/>
        <w:spacing w:before="40" w:after="120"/>
        <w:rPr/>
      </w:pPr>
      <w:r>
        <w:rPr>
          <w:rFonts w:eastAsia="Times New Roman"/>
          <w:sz w:val="18"/>
        </w:rPr>
        <w:t>Fonte: elaboração própria (2026), a partir dos artefatos técnicos do projeto.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</w:t>
      </w:r>
      <w:r>
        <w:rPr>
          <w:rFonts w:eastAsia="Times New Roman"/>
          <w:b/>
          <w:i w:val="false"/>
          <w:sz w:val="24"/>
        </w:rPr>
        <w:t>Random Forest</w:t>
      </w:r>
      <w:r>
        <w:rPr>
          <w:rFonts w:eastAsia="Times New Roman"/>
          <w:b w:val="false"/>
          <w:i w:val="false"/>
          <w:sz w:val="24"/>
        </w:rPr>
        <w:t xml:space="preserve"> foi selecionado por apresentar a maior PR-AUC média, sem empate numérico no critério de desempate (recall → F1). Esse é o </w:t>
      </w:r>
      <w:r>
        <w:rPr>
          <w:rFonts w:eastAsia="Times New Roman"/>
          <w:b/>
          <w:i w:val="false"/>
          <w:sz w:val="24"/>
        </w:rPr>
        <w:t>modelo selecionado para o experimento técnico</w:t>
      </w:r>
      <w:r>
        <w:rPr>
          <w:rFonts w:eastAsia="Times New Roman"/>
          <w:b w:val="false"/>
          <w:i w:val="false"/>
          <w:sz w:val="24"/>
        </w:rPr>
        <w:t xml:space="preserve"> realizado sobre dados sintéticos — não um modelo validado clinicamente, nem superior para a população real, nem uma ferramenta diagnóstica.</w:t>
      </w:r>
    </w:p>
    <w:p>
      <w:pPr>
        <w:pStyle w:val="Heading2"/>
        <w:ind w:hanging="0"/>
        <w:jc w:val="start"/>
        <w:rPr/>
      </w:pPr>
      <w:bookmarkStart w:id="45" w:name="__RefHeading___Toc2247_3157870603"/>
      <w:bookmarkEnd w:id="45"/>
      <w:r>
        <w:rPr>
          <w:rFonts w:eastAsia="Times New Roman" w:ascii="Times New Roman" w:hAnsi="Times New Roman"/>
          <w:b/>
          <w:sz w:val="24"/>
        </w:rPr>
        <w:t>5.3 Desempenho do modelo selecionado (hold-out)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modelo selecionado foi avaliado </w:t>
      </w:r>
      <w:r>
        <w:rPr>
          <w:rFonts w:eastAsia="Times New Roman"/>
          <w:b/>
          <w:i w:val="false"/>
          <w:sz w:val="24"/>
        </w:rPr>
        <w:t>uma única vez</w:t>
      </w:r>
      <w:r>
        <w:rPr>
          <w:rFonts w:eastAsia="Times New Roman"/>
          <w:b w:val="false"/>
          <w:i w:val="false"/>
          <w:sz w:val="24"/>
        </w:rPr>
        <w:t xml:space="preserve"> no conjunto de teste (1.000 registros), após a seleção. Resultados históricos:</w:t>
      </w:r>
    </w:p>
    <w:tbl>
      <w:tblPr>
        <w:tblStyle w:val="TableGrid"/>
        <w:tblW w:w="9070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4535"/>
        <w:gridCol w:w="4534"/>
      </w:tblGrid>
      <w:tr>
        <w:trPr>
          <w:tblHeader/>
        </w:trPr>
        <w:tc>
          <w:tcPr>
            <w:tcW w:w="4535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Métrica</w:t>
            </w:r>
          </w:p>
        </w:tc>
        <w:tc>
          <w:tcPr>
            <w:tcW w:w="453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ROC-AUC</w:t>
            </w:r>
          </w:p>
        </w:tc>
        <w:tc>
          <w:tcPr>
            <w:tcW w:w="4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0,6174</w:t>
            </w:r>
          </w:p>
        </w:tc>
      </w:tr>
      <w:tr>
        <w:trPr/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PR-AUC</w:t>
            </w:r>
          </w:p>
        </w:tc>
        <w:tc>
          <w:tcPr>
            <w:tcW w:w="4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0,3356</w:t>
            </w:r>
          </w:p>
        </w:tc>
      </w:tr>
      <w:tr>
        <w:trPr/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Brier Score</w:t>
            </w:r>
          </w:p>
        </w:tc>
        <w:tc>
          <w:tcPr>
            <w:tcW w:w="4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 xml:space="preserve">≈ </w:t>
            </w: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0,1787</w:t>
            </w:r>
          </w:p>
        </w:tc>
      </w:tr>
    </w:tbl>
    <w:p>
      <w:pPr>
        <w:pStyle w:val="Normal"/>
        <w:spacing w:before="40" w:after="120"/>
        <w:rPr/>
      </w:pPr>
      <w:r>
        <w:rPr>
          <w:rFonts w:eastAsia="Times New Roman"/>
          <w:sz w:val="18"/>
        </w:rPr>
        <w:t>Fonte: elaboração própria (2026), a partir dos artefatos técnicos do projeto.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No limiar de decisão 0,5, a matriz de confusão foi: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Predito negativo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Predito positivo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Real negativo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755 (TN)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 (FP)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Real positivo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244 (FN)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 (TP)</w:t>
            </w:r>
          </w:p>
        </w:tc>
      </w:tr>
    </w:tbl>
    <w:p>
      <w:pPr>
        <w:pStyle w:val="Normal"/>
        <w:spacing w:before="40" w:after="120"/>
        <w:rPr/>
      </w:pPr>
      <w:r>
        <w:rPr>
          <w:rFonts w:eastAsia="Times New Roman"/>
          <w:sz w:val="18"/>
        </w:rPr>
        <w:t>Fonte: elaboração própria (2026), a partir dos artefatos técnicos do projeto.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Ou seja, </w:t>
      </w:r>
      <w:r>
        <w:rPr>
          <w:rFonts w:eastAsia="Times New Roman"/>
          <w:b/>
          <w:i w:val="false"/>
          <w:sz w:val="24"/>
        </w:rPr>
        <w:t>no threshold 0,5 houve recall zero para a classe positiva</w:t>
      </w:r>
      <w:r>
        <w:rPr>
          <w:rFonts w:eastAsia="Times New Roman"/>
          <w:b w:val="false"/>
          <w:i w:val="false"/>
          <w:sz w:val="24"/>
        </w:rPr>
        <w:t xml:space="preserve">: nenhum dos 244 casos positivos do teste foi classificado como positivo. Esse resultado é apresentado de forma explícita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deve ser interpretado como desempenho clínico. A AUC modesta, o recall zero no limiar 0,5 e a natureza sintética dos dados impedem qualquer leitura de "bom desempenho" ou "capacidade preditiva validada".</w:t>
      </w:r>
    </w:p>
    <w:p>
      <w:pPr>
        <w:pStyle w:val="EditorialStatus"/>
        <w:rPr/>
      </w:pPr>
      <w:r>
        <w:rPr>
          <w:rFonts w:eastAsia="Times New Roman"/>
          <w:b/>
          <w:i/>
          <w:sz w:val="20"/>
        </w:rPr>
        <w:t>O threshold 0,5 não foi adotado operacionalmente.</w:t>
      </w:r>
      <w:r>
        <w:rPr>
          <w:rFonts w:eastAsia="Times New Roman"/>
          <w:b w:val="false"/>
          <w:i/>
          <w:sz w:val="20"/>
        </w:rPr>
        <w:t xml:space="preserve"> O aplicativo </w:t>
      </w:r>
      <w:r>
        <w:rPr>
          <w:rFonts w:eastAsia="Times New Roman"/>
          <w:b/>
          <w:i/>
          <w:sz w:val="20"/>
        </w:rPr>
        <w:t>não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retorna classe, faixa de risco ou previsão de abandono; retorna somente a</w:t>
      </w:r>
    </w:p>
    <w:p>
      <w:pPr>
        <w:pStyle w:val="EditorialStatus"/>
        <w:rPr/>
      </w:pPr>
      <w:r>
        <w:rPr>
          <w:rFonts w:eastAsia="Times New Roman"/>
          <w:b/>
          <w:i/>
          <w:sz w:val="20"/>
        </w:rPr>
        <w:t>probabilidade</w:t>
      </w:r>
      <w:r>
        <w:rPr>
          <w:rFonts w:eastAsia="Times New Roman"/>
          <w:b w:val="false"/>
          <w:i/>
          <w:sz w:val="20"/>
        </w:rPr>
        <w:t>.</w:t>
      </w:r>
    </w:p>
    <w:p>
      <w:pPr>
        <w:pStyle w:val="Heading2"/>
        <w:ind w:hanging="0"/>
        <w:jc w:val="start"/>
        <w:rPr/>
      </w:pPr>
      <w:bookmarkStart w:id="46" w:name="__RefHeading___Toc2249_3157870603"/>
      <w:bookmarkEnd w:id="46"/>
      <w:r>
        <w:rPr>
          <w:rFonts w:eastAsia="Times New Roman" w:ascii="Times New Roman" w:hAnsi="Times New Roman"/>
          <w:b/>
          <w:sz w:val="24"/>
        </w:rPr>
        <w:t>5.4 Análise de threshold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Foi realizada uma análise exploratória de sensibilidade a diferentes limiares de decisão (grade de 0,05 a 0,5), sobre as probabilidades out-of-fold do treino. As probabilidades preditas concentraram-se em uma faixa restrita (aproximadamente 0,05 a 0,54, média ≈ 0,25), consistente com a baixa separação entre classes já evidenciada pelas AUCs. </w:t>
      </w:r>
      <w:r>
        <w:rPr>
          <w:rFonts w:eastAsia="Times New Roman"/>
          <w:b/>
          <w:i w:val="false"/>
          <w:sz w:val="24"/>
        </w:rPr>
        <w:t>Nenhum threshold foi adotado operacionalmente</w:t>
      </w:r>
      <w:r>
        <w:rPr>
          <w:rFonts w:eastAsia="Times New Roman"/>
          <w:b w:val="false"/>
          <w:i w:val="false"/>
          <w:sz w:val="24"/>
        </w:rPr>
        <w:t>; a análise serve apenas para caracterizar o comportamento do modelo.</w:t>
      </w:r>
    </w:p>
    <w:p>
      <w:pPr>
        <w:pStyle w:val="Heading2"/>
        <w:ind w:hanging="0"/>
        <w:jc w:val="start"/>
        <w:rPr/>
      </w:pPr>
      <w:bookmarkStart w:id="47" w:name="__RefHeading___Toc2251_3157870603"/>
      <w:bookmarkEnd w:id="47"/>
      <w:r>
        <w:rPr>
          <w:rFonts w:eastAsia="Times New Roman" w:ascii="Times New Roman" w:hAnsi="Times New Roman"/>
          <w:b/>
          <w:sz w:val="24"/>
        </w:rPr>
        <w:t>5.5 Calibração e estabilidade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calibração do modelo foi avaliada por três indicadores complementares, todos sobre as previsões out-of-fold do treino: (i) o </w:t>
      </w:r>
      <w:r>
        <w:rPr>
          <w:rFonts w:eastAsia="Times New Roman"/>
          <w:b/>
          <w:i w:val="false"/>
          <w:sz w:val="24"/>
        </w:rPr>
        <w:t>Brier score</w:t>
      </w:r>
      <w:r>
        <w:rPr>
          <w:rFonts w:eastAsia="Times New Roman"/>
          <w:b w:val="false"/>
          <w:i w:val="false"/>
          <w:sz w:val="24"/>
        </w:rPr>
        <w:t xml:space="preserve">; (ii) a </w:t>
      </w:r>
      <w:r>
        <w:rPr>
          <w:rFonts w:eastAsia="Times New Roman"/>
          <w:b/>
          <w:i w:val="false"/>
          <w:sz w:val="24"/>
        </w:rPr>
        <w:t>calibração em escala ampla</w:t>
      </w:r>
      <w:r>
        <w:rPr>
          <w:rFonts w:eastAsia="Times New Roman"/>
          <w:b w:val="false"/>
          <w:i w:val="false"/>
          <w:sz w:val="24"/>
        </w:rPr>
        <w:t xml:space="preserve"> (calibration-in-the-large), comparando a probabilidade média predita com a taxa observada de positivos; e (iii) a </w:t>
      </w:r>
      <w:r>
        <w:rPr>
          <w:rFonts w:eastAsia="Times New Roman"/>
          <w:b/>
          <w:i w:val="false"/>
          <w:sz w:val="24"/>
        </w:rPr>
        <w:t>curva de calibração</w:t>
      </w:r>
      <w:r>
        <w:rPr>
          <w:rFonts w:eastAsia="Times New Roman"/>
          <w:b w:val="false"/>
          <w:i w:val="false"/>
          <w:sz w:val="24"/>
        </w:rPr>
        <w:t xml:space="preserve"> (em bins), comparando probabilidade média predita com a fração observada de positivos em cada bin.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O </w:t>
      </w:r>
      <w:r>
        <w:rPr>
          <w:rFonts w:eastAsia="Times New Roman"/>
          <w:b/>
          <w:i w:val="false"/>
          <w:sz w:val="24"/>
        </w:rPr>
        <w:t>Brier score</w:t>
      </w:r>
      <w:r>
        <w:rPr>
          <w:rFonts w:eastAsia="Times New Roman"/>
          <w:b w:val="false"/>
          <w:i w:val="false"/>
          <w:sz w:val="24"/>
        </w:rPr>
        <w:t xml:space="preserve"> médio foi ≈ 0,1789, ligeiramente inferior ao baseline (≈ 0,1846), uma melhora relativa de ≈ 3,1%. O Brier combina discriminação e calibração e, isoladamente,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é uma medida exclusiva de calibração.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 </w:t>
      </w:r>
      <w:r>
        <w:rPr>
          <w:rFonts w:eastAsia="Times New Roman"/>
          <w:b/>
          <w:i w:val="false"/>
          <w:sz w:val="24"/>
        </w:rPr>
        <w:t>calibração em escala ampla</w:t>
      </w:r>
      <w:r>
        <w:rPr>
          <w:rFonts w:eastAsia="Times New Roman"/>
          <w:b w:val="false"/>
          <w:i w:val="false"/>
          <w:sz w:val="24"/>
        </w:rPr>
        <w:t xml:space="preserve"> apresentou diferença pequena (≈ 0,0018) entre a probabilidade média predita (≈ 0,246) e a taxa observada (≈ 0,244), indicando boa calibração global.</w:t>
      </w:r>
    </w:p>
    <w:p>
      <w:pPr>
        <w:pStyle w:val="ListBullet"/>
        <w:numPr>
          <w:ilvl w:val="0"/>
          <w:numId w:val="1"/>
        </w:numPr>
        <w:spacing w:lineRule="auto" w:line="360"/>
        <w:ind w:hanging="227" w:start="454"/>
        <w:rPr/>
      </w:pPr>
      <w:r>
        <w:rPr>
          <w:rFonts w:eastAsia="Times New Roman"/>
          <w:b w:val="false"/>
          <w:i w:val="false"/>
          <w:sz w:val="24"/>
        </w:rPr>
        <w:t xml:space="preserve">A </w:t>
      </w:r>
      <w:r>
        <w:rPr>
          <w:rFonts w:eastAsia="Times New Roman"/>
          <w:b/>
          <w:i w:val="false"/>
          <w:sz w:val="24"/>
        </w:rPr>
        <w:t>curva de calibração</w:t>
      </w:r>
      <w:r>
        <w:rPr>
          <w:rFonts w:eastAsia="Times New Roman"/>
          <w:b w:val="false"/>
          <w:i w:val="false"/>
          <w:sz w:val="24"/>
        </w:rPr>
        <w:t xml:space="preserve"> apresentou desvios médios por bin da ordem de 0,015, com maiores desvios nos bins extremos (probabilidades muito baixas e muito altas).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</w:t>
      </w:r>
      <w:r>
        <w:rPr>
          <w:rFonts w:eastAsia="Times New Roman"/>
          <w:b/>
          <w:i w:val="false"/>
          <w:sz w:val="24"/>
        </w:rPr>
        <w:t>estabilidade entre folds</w:t>
      </w:r>
      <w:r>
        <w:rPr>
          <w:rFonts w:eastAsia="Times New Roman"/>
          <w:b w:val="false"/>
          <w:i w:val="false"/>
          <w:sz w:val="24"/>
        </w:rPr>
        <w:t xml:space="preserve"> foi avaliada pela dispersão das métricas: o desvio padrão do Brier entre folds foi ≈ 0,0017, o da ROC-AUC ≈ 0,017 e o da PR-AUC ≈ 0,025 — uma variação moderada, sem indício de instabilidade grave entre os folds.</w:t>
      </w:r>
    </w:p>
    <w:p>
      <w:pPr>
        <w:pStyle w:val="Heading2"/>
        <w:ind w:hanging="0"/>
        <w:jc w:val="start"/>
        <w:rPr/>
      </w:pPr>
      <w:bookmarkStart w:id="48" w:name="__RefHeading___Toc2253_3157870603"/>
      <w:bookmarkEnd w:id="48"/>
      <w:r>
        <w:rPr>
          <w:rFonts w:eastAsia="Times New Roman" w:ascii="Times New Roman" w:hAnsi="Times New Roman"/>
          <w:b/>
          <w:sz w:val="24"/>
        </w:rPr>
        <w:t>5.6 Sensibilidade metodológica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A análise de sensibilidade comparou o modelo principal (</w:t>
      </w:r>
      <w:r>
        <w:rPr>
          <w:rFonts w:eastAsia="Courier New" w:ascii="Courier New" w:hAnsi="Courier New"/>
          <w:b w:val="false"/>
          <w:i w:val="false"/>
          <w:sz w:val="22"/>
        </w:rPr>
        <w:t>X_model</w:t>
      </w:r>
      <w:r>
        <w:rPr>
          <w:rFonts w:eastAsia="Times New Roman"/>
          <w:b w:val="false"/>
          <w:i w:val="false"/>
          <w:sz w:val="24"/>
        </w:rPr>
        <w:t>, 34 variáveis) com uma variante estendida (</w:t>
      </w:r>
      <w:r>
        <w:rPr>
          <w:rFonts w:eastAsia="Courier New" w:ascii="Courier New" w:hAnsi="Courier New"/>
          <w:b w:val="false"/>
          <w:i w:val="false"/>
          <w:sz w:val="22"/>
        </w:rPr>
        <w:t>X_sens</w:t>
      </w:r>
      <w:r>
        <w:rPr>
          <w:rFonts w:eastAsia="Times New Roman"/>
          <w:b w:val="false"/>
          <w:i w:val="false"/>
          <w:sz w:val="24"/>
        </w:rPr>
        <w:t>, 36 variáveis), que acrescenta duas variáveis de sensibilidade (</w:t>
      </w:r>
      <w:r>
        <w:rPr>
          <w:rFonts w:eastAsia="Courier New" w:ascii="Courier New" w:hAnsi="Courier New"/>
          <w:b w:val="false"/>
          <w:i w:val="false"/>
          <w:sz w:val="22"/>
        </w:rPr>
        <w:t>problema_saude_agua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facil_acesso_saude</w:t>
      </w:r>
      <w:r>
        <w:rPr>
          <w:rFonts w:eastAsia="Times New Roman"/>
          <w:b w:val="false"/>
          <w:i w:val="false"/>
          <w:sz w:val="24"/>
        </w:rPr>
        <w:t xml:space="preserve">). Essas duas variáveis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fazem parte do modelo principal congelado; foram usadas apenas para avaliar a estabilidade dos resultados à inclusão de informação adicional.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Os resultados (validação cruzada, out-of-fold) indicaram que a inclusão das duas variáveis </w:t>
      </w:r>
      <w:r>
        <w:rPr>
          <w:rFonts w:eastAsia="Times New Roman"/>
          <w:b/>
          <w:i w:val="false"/>
          <w:sz w:val="24"/>
        </w:rPr>
        <w:t>não alterou materialmente o desempenho</w:t>
      </w:r>
      <w:r>
        <w:rPr>
          <w:rFonts w:eastAsia="Times New Roman"/>
          <w:b w:val="false"/>
          <w:i w:val="false"/>
          <w:sz w:val="24"/>
        </w:rPr>
        <w:t xml:space="preserve"> do modelo: a diferença média de PR-AUC foi de ≈ −0,004 e a de ROC-AUC de ≈ −0,003, com variação de Brier praticamente nula (≈ +0,0004). Trata-se de uma </w:t>
      </w:r>
      <w:r>
        <w:rPr>
          <w:rFonts w:eastAsia="Times New Roman"/>
          <w:b/>
          <w:i w:val="false"/>
          <w:sz w:val="24"/>
        </w:rPr>
        <w:t>conclusão estritamente experimental</w:t>
      </w:r>
      <w:r>
        <w:rPr>
          <w:rFonts w:eastAsia="Times New Roman"/>
          <w:b w:val="false"/>
          <w:i w:val="false"/>
          <w:sz w:val="24"/>
        </w:rPr>
        <w:t xml:space="preserve">: os resultados do modelo principal mostram-se estáveis à adição dessas duas variáveis, e este exercício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constitui validação clínica.</w:t>
      </w:r>
    </w:p>
    <w:p>
      <w:pPr>
        <w:pStyle w:val="Heading2"/>
        <w:ind w:hanging="0"/>
        <w:jc w:val="start"/>
        <w:rPr/>
      </w:pPr>
      <w:bookmarkStart w:id="49" w:name="__RefHeading___Toc2255_3157870603"/>
      <w:bookmarkEnd w:id="49"/>
      <w:r>
        <w:rPr>
          <w:rFonts w:eastAsia="Times New Roman" w:ascii="Times New Roman" w:hAnsi="Times New Roman"/>
          <w:b/>
          <w:sz w:val="24"/>
        </w:rPr>
        <w:t>5.7 Interpretabilidade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interpretabilidade foi avaliada por </w:t>
      </w:r>
      <w:r>
        <w:rPr>
          <w:rFonts w:eastAsia="Times New Roman"/>
          <w:b/>
          <w:i w:val="false"/>
          <w:sz w:val="24"/>
        </w:rPr>
        <w:t>importância por permutação</w:t>
      </w:r>
      <w:r>
        <w:rPr>
          <w:rFonts w:eastAsia="Times New Roman"/>
          <w:b w:val="false"/>
          <w:i w:val="false"/>
          <w:sz w:val="24"/>
        </w:rPr>
        <w:t xml:space="preserve"> (out-of-fold, múltiplas repetições, métrica PR-AUC). As variáveis com maior impacto na permutação incluíram, em ordem aproximada, </w:t>
      </w:r>
      <w:r>
        <w:rPr>
          <w:rFonts w:eastAsia="Courier New" w:ascii="Courier New" w:hAnsi="Courier New"/>
          <w:b w:val="false"/>
          <w:i w:val="false"/>
          <w:sz w:val="22"/>
        </w:rPr>
        <w:t>dificuldades_saude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faixa_renda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deixou_de_comer_falta_dinheiro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escolaridade</w:t>
      </w:r>
      <w:r>
        <w:rPr>
          <w:rFonts w:eastAsia="Times New Roman"/>
          <w:b w:val="false"/>
          <w:i w:val="false"/>
          <w:sz w:val="24"/>
        </w:rPr>
        <w:t xml:space="preserve">, </w:t>
      </w:r>
      <w:r>
        <w:rPr>
          <w:rFonts w:eastAsia="Courier New" w:ascii="Courier New" w:hAnsi="Courier New"/>
          <w:b w:val="false"/>
          <w:i w:val="false"/>
          <w:sz w:val="22"/>
        </w:rPr>
        <w:t>distancia_ubs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Courier New" w:ascii="Courier New" w:hAnsi="Courier New"/>
          <w:b w:val="false"/>
          <w:i w:val="false"/>
          <w:sz w:val="22"/>
        </w:rPr>
        <w:t>acesso_ubs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A importância de variável </w:t>
      </w:r>
      <w:r>
        <w:rPr>
          <w:rFonts w:eastAsia="Times New Roman"/>
          <w:b/>
          <w:i/>
          <w:sz w:val="20"/>
        </w:rPr>
        <w:t>no modelo sintético</w:t>
      </w:r>
      <w:r>
        <w:rPr>
          <w:rFonts w:eastAsia="Times New Roman"/>
          <w:b w:val="false"/>
          <w:i/>
          <w:sz w:val="20"/>
        </w:rPr>
        <w:t xml:space="preserve"> é uma propriedade do modelo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 xml:space="preserve">treinado, e </w:t>
      </w:r>
      <w:r>
        <w:rPr>
          <w:rFonts w:eastAsia="Times New Roman"/>
          <w:b/>
          <w:i/>
          <w:sz w:val="20"/>
        </w:rPr>
        <w:t>não</w:t>
      </w:r>
      <w:r>
        <w:rPr>
          <w:rFonts w:eastAsia="Times New Roman"/>
          <w:b w:val="false"/>
          <w:i/>
          <w:sz w:val="20"/>
        </w:rPr>
        <w:t xml:space="preserve"> deve ser lida como associação causal nem como determinante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clinicamente comprovado de descontinuidade.</w:t>
      </w:r>
    </w:p>
    <w:p>
      <w:pPr>
        <w:pStyle w:val="Heading2"/>
        <w:ind w:hanging="0"/>
        <w:jc w:val="start"/>
        <w:rPr/>
      </w:pPr>
      <w:bookmarkStart w:id="50" w:name="__RefHeading___Toc2257_3157870603"/>
      <w:bookmarkEnd w:id="50"/>
      <w:r>
        <w:rPr>
          <w:rFonts w:eastAsia="Times New Roman" w:ascii="Times New Roman" w:hAnsi="Times New Roman"/>
          <w:b/>
          <w:sz w:val="24"/>
        </w:rPr>
        <w:t>5.8 IV-DSS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IV-DSS foi </w:t>
      </w:r>
      <w:r>
        <w:rPr>
          <w:rFonts w:eastAsia="Times New Roman"/>
          <w:b/>
          <w:i w:val="false"/>
          <w:sz w:val="24"/>
        </w:rPr>
        <w:t>implementado e calculado</w:t>
      </w:r>
      <w:r>
        <w:rPr>
          <w:rFonts w:eastAsia="Times New Roman"/>
          <w:b w:val="false"/>
          <w:i w:val="false"/>
          <w:sz w:val="24"/>
        </w:rPr>
        <w:t xml:space="preserve"> sobre os 5.000 registros sintéticos, com as seis dimensões (educação; trabalho e renda; saneamento; acesso aos serviços de saúde; habitação; alimentação). O índice principal (cobertura 6/6) foi calculável para </w:t>
      </w:r>
      <w:r>
        <w:rPr>
          <w:rFonts w:eastAsia="Times New Roman"/>
          <w:b/>
          <w:i w:val="false"/>
          <w:sz w:val="24"/>
        </w:rPr>
        <w:t>4.643 registros</w:t>
      </w:r>
      <w:r>
        <w:rPr>
          <w:rFonts w:eastAsia="Times New Roman"/>
          <w:b w:val="false"/>
          <w:i w:val="false"/>
          <w:sz w:val="24"/>
        </w:rPr>
        <w:t xml:space="preserve">; o índice parcial (cobertura 5/6), para </w:t>
      </w:r>
      <w:r>
        <w:rPr>
          <w:rFonts w:eastAsia="Times New Roman"/>
          <w:b/>
          <w:i w:val="false"/>
          <w:sz w:val="24"/>
        </w:rPr>
        <w:t>352 registros</w:t>
      </w:r>
      <w:r>
        <w:rPr>
          <w:rFonts w:eastAsia="Times New Roman"/>
          <w:b w:val="false"/>
          <w:i w:val="false"/>
          <w:sz w:val="24"/>
        </w:rPr>
        <w:t xml:space="preserve">; e </w:t>
      </w:r>
      <w:r>
        <w:rPr>
          <w:rFonts w:eastAsia="Times New Roman"/>
          <w:b/>
          <w:i w:val="false"/>
          <w:sz w:val="24"/>
        </w:rPr>
        <w:t>5 registros</w:t>
      </w:r>
      <w:r>
        <w:rPr>
          <w:rFonts w:eastAsia="Times New Roman"/>
          <w:b w:val="false"/>
          <w:i w:val="false"/>
          <w:sz w:val="24"/>
        </w:rPr>
        <w:t xml:space="preserve"> apresentaram cobertura inferior (4/6), permanecendo não calculáveis. O IV-DSS é um </w:t>
      </w:r>
      <w:r>
        <w:rPr>
          <w:rFonts w:eastAsia="Times New Roman"/>
          <w:b/>
          <w:i w:val="false"/>
          <w:sz w:val="24"/>
        </w:rPr>
        <w:t>índice descritivo experimental de vulnerabilidade social</w:t>
      </w:r>
      <w:r>
        <w:rPr>
          <w:rFonts w:eastAsia="Times New Roman"/>
          <w:b w:val="false"/>
          <w:i w:val="false"/>
          <w:sz w:val="24"/>
        </w:rPr>
        <w:t xml:space="preserve">, e permanece conceitualmente separado da probabilidade do modelo: </w:t>
      </w:r>
      <w:r>
        <w:rPr>
          <w:rFonts w:eastAsia="Times New Roman"/>
          <w:b/>
          <w:i w:val="false"/>
          <w:sz w:val="24"/>
        </w:rPr>
        <w:t>IV-DSS ≠ P(Y) ≠ probability do Random Forest ≠ diagnóstico ≠ classificador</w:t>
      </w:r>
      <w:r>
        <w:rPr>
          <w:rFonts w:eastAsia="Times New Roman"/>
          <w:b w:val="false"/>
          <w:i w:val="false"/>
          <w:sz w:val="24"/>
        </w:rPr>
        <w:t>.</w:t>
      </w:r>
    </w:p>
    <w:p>
      <w:pPr>
        <w:pStyle w:val="Heading2"/>
        <w:ind w:hanging="0"/>
        <w:jc w:val="start"/>
        <w:rPr/>
      </w:pPr>
      <w:bookmarkStart w:id="51" w:name="__RefHeading___Toc2259_3157870603"/>
      <w:bookmarkEnd w:id="51"/>
      <w:r>
        <w:rPr>
          <w:rFonts w:eastAsia="Times New Roman" w:ascii="Times New Roman" w:hAnsi="Times New Roman"/>
          <w:b/>
          <w:sz w:val="24"/>
        </w:rPr>
        <w:t>5.9 Validação da implementação de software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integração </w:t>
      </w:r>
      <w:r>
        <w:rPr>
          <w:rFonts w:eastAsia="Times New Roman"/>
          <w:b/>
          <w:i w:val="false"/>
          <w:sz w:val="24"/>
        </w:rPr>
        <w:t>Flutter → FastAPI → IA → Flutter</w:t>
      </w:r>
      <w:r>
        <w:rPr>
          <w:rFonts w:eastAsia="Times New Roman"/>
          <w:b w:val="false"/>
          <w:i w:val="false"/>
          <w:sz w:val="24"/>
        </w:rPr>
        <w:t xml:space="preserve"> foi validada de ponta a ponta em </w:t>
      </w:r>
      <w:r>
        <w:rPr>
          <w:rFonts w:eastAsia="Times New Roman"/>
          <w:b/>
          <w:i w:val="false"/>
          <w:sz w:val="24"/>
        </w:rPr>
        <w:t>Android Emulator</w:t>
      </w:r>
      <w:r>
        <w:rPr>
          <w:rFonts w:eastAsia="Times New Roman"/>
          <w:b w:val="false"/>
          <w:i w:val="false"/>
          <w:sz w:val="24"/>
        </w:rPr>
        <w:t xml:space="preserve">. Trata-se de uma </w:t>
      </w:r>
      <w:r>
        <w:rPr>
          <w:rFonts w:eastAsia="Times New Roman"/>
          <w:b/>
          <w:i w:val="false"/>
          <w:sz w:val="24"/>
        </w:rPr>
        <w:t>validação de integração de software</w:t>
      </w:r>
      <w:r>
        <w:rPr>
          <w:rFonts w:eastAsia="Times New Roman"/>
          <w:b w:val="false"/>
          <w:i w:val="false"/>
          <w:sz w:val="24"/>
        </w:rPr>
        <w:t xml:space="preserve"> (smoke test), e </w:t>
      </w:r>
      <w:r>
        <w:rPr>
          <w:rFonts w:eastAsia="Times New Roman"/>
          <w:b/>
          <w:i w:val="false"/>
          <w:sz w:val="24"/>
        </w:rPr>
        <w:t>não</w:t>
      </w:r>
      <w:r>
        <w:rPr>
          <w:rFonts w:eastAsia="Times New Roman"/>
          <w:b w:val="false"/>
          <w:i w:val="false"/>
          <w:sz w:val="24"/>
        </w:rPr>
        <w:t xml:space="preserve"> de validação clínica, validação externa do modelo ou evidência científica sobre a população real.</w:t>
      </w:r>
    </w:p>
    <w:p>
      <w:pPr>
        <w:pStyle w:val="Heading2"/>
        <w:ind w:hanging="0"/>
        <w:jc w:val="start"/>
        <w:rPr/>
      </w:pPr>
      <w:bookmarkStart w:id="52" w:name="__RefHeading___Toc2261_3157870603"/>
      <w:bookmarkEnd w:id="52"/>
      <w:r>
        <w:rPr>
          <w:rFonts w:eastAsia="Times New Roman" w:ascii="Times New Roman" w:hAnsi="Times New Roman"/>
          <w:b/>
          <w:sz w:val="24"/>
        </w:rPr>
        <w:t>5.10 Discussão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Os resultados devem ser interpretados com cautela. A capacidade discriminativa do modelo é </w:t>
      </w:r>
      <w:r>
        <w:rPr>
          <w:rFonts w:eastAsia="Times New Roman"/>
          <w:b/>
          <w:i w:val="false"/>
          <w:sz w:val="24"/>
        </w:rPr>
        <w:t>limitada</w:t>
      </w:r>
      <w:r>
        <w:rPr>
          <w:rFonts w:eastAsia="Times New Roman"/>
          <w:b w:val="false"/>
          <w:i w:val="false"/>
          <w:sz w:val="24"/>
        </w:rPr>
        <w:t xml:space="preserve"> (ROC-AUC ≈ 0,62; PR-AUC ≈ 0,34), e o </w:t>
      </w:r>
      <w:r>
        <w:rPr>
          <w:rFonts w:eastAsia="Times New Roman"/>
          <w:b/>
          <w:i w:val="false"/>
          <w:sz w:val="24"/>
        </w:rPr>
        <w:t>recall zero no threshold 0,5</w:t>
      </w:r>
      <w:r>
        <w:rPr>
          <w:rFonts w:eastAsia="Times New Roman"/>
          <w:b w:val="false"/>
          <w:i w:val="false"/>
          <w:sz w:val="24"/>
        </w:rPr>
        <w:t xml:space="preserve"> evidencia que o modelo, sob um limiar de decisão convencional, não consegue identificar os casos positivos sintéticos. Não há threshold operacional adotado, e o produto apresenta apenas a probabilidade, evitando classificação individual.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Esse </w:t>
      </w:r>
      <w:r>
        <w:rPr>
          <w:rFonts w:eastAsia="Times New Roman"/>
          <w:b/>
          <w:i w:val="false"/>
          <w:sz w:val="24"/>
        </w:rPr>
        <w:t>desempenho limitado é um resultado observado no experimento sintético</w:t>
      </w:r>
      <w:r>
        <w:rPr>
          <w:rFonts w:eastAsia="Times New Roman"/>
          <w:b w:val="false"/>
          <w:i w:val="false"/>
          <w:sz w:val="24"/>
        </w:rPr>
        <w:t xml:space="preserve"> e, por si só, descreve o comportamento do modelo sobre esses dados. Já a </w:t>
      </w:r>
      <w:r>
        <w:rPr>
          <w:rFonts w:eastAsia="Times New Roman"/>
          <w:b/>
          <w:i w:val="false"/>
          <w:sz w:val="24"/>
        </w:rPr>
        <w:t>natureza sintética</w:t>
      </w:r>
      <w:r>
        <w:rPr>
          <w:rFonts w:eastAsia="Times New Roman"/>
          <w:b w:val="false"/>
          <w:i w:val="false"/>
          <w:sz w:val="24"/>
        </w:rPr>
        <w:t xml:space="preserve"> dos dados e a </w:t>
      </w:r>
      <w:r>
        <w:rPr>
          <w:rFonts w:eastAsia="Times New Roman"/>
          <w:b/>
          <w:i w:val="false"/>
          <w:sz w:val="24"/>
        </w:rPr>
        <w:t>ausência de validação externa</w:t>
      </w:r>
      <w:r>
        <w:rPr>
          <w:rFonts w:eastAsia="Times New Roman"/>
          <w:b w:val="false"/>
          <w:i w:val="false"/>
          <w:sz w:val="24"/>
        </w:rPr>
        <w:t xml:space="preserve"> implicam, de forma distinta, que tais resultados </w:t>
      </w:r>
      <w:r>
        <w:rPr>
          <w:rFonts w:eastAsia="Times New Roman"/>
          <w:b/>
          <w:i w:val="false"/>
          <w:sz w:val="24"/>
        </w:rPr>
        <w:t>não representam desempenho clínico nem generalizam para a população real</w:t>
      </w:r>
      <w:r>
        <w:rPr>
          <w:rFonts w:eastAsia="Times New Roman"/>
          <w:b w:val="false"/>
          <w:i w:val="false"/>
          <w:sz w:val="24"/>
        </w:rPr>
        <w:t xml:space="preserve"> — não são a causa das métricas observadas. O valor do trabalho, nesta etapa, está </w:t>
      </w:r>
      <w:r>
        <w:rPr>
          <w:rFonts w:eastAsia="Times New Roman"/>
          <w:b/>
          <w:i w:val="false"/>
          <w:sz w:val="24"/>
        </w:rPr>
        <w:t>menos</w:t>
      </w:r>
      <w:r>
        <w:rPr>
          <w:rFonts w:eastAsia="Times New Roman"/>
          <w:b w:val="false"/>
          <w:i w:val="false"/>
          <w:sz w:val="24"/>
        </w:rPr>
        <w:t xml:space="preserve"> no desempenho preditivo e </w:t>
      </w:r>
      <w:r>
        <w:rPr>
          <w:rFonts w:eastAsia="Times New Roman"/>
          <w:b/>
          <w:i w:val="false"/>
          <w:sz w:val="24"/>
        </w:rPr>
        <w:t>mais</w:t>
      </w:r>
      <w:r>
        <w:rPr>
          <w:rFonts w:eastAsia="Times New Roman"/>
          <w:b w:val="false"/>
          <w:i w:val="false"/>
          <w:sz w:val="24"/>
        </w:rPr>
        <w:t xml:space="preserve"> na consolidação de um pipeline experimental reproduzível (contrato de dados, geração controlada, protocolo de treinamento/validação, métricas de desbalanceamento, calibração, sensibilidade, interpretabilidade e integração de software) que poderá ser reutilizado em etapas futuras com dados reais.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A integração tecnológica — questionário DSS, modelo de ML e módulo de acompanhamento pré-natal em uma única aplicação — constitui um resultado de engenharia válido </w:t>
      </w:r>
      <w:r>
        <w:rPr>
          <w:rFonts w:eastAsia="Times New Roman"/>
          <w:b/>
          <w:i w:val="false"/>
          <w:sz w:val="24"/>
        </w:rPr>
        <w:t>independentemente</w:t>
      </w:r>
      <w:r>
        <w:rPr>
          <w:rFonts w:eastAsia="Times New Roman"/>
          <w:b w:val="false"/>
          <w:i w:val="false"/>
          <w:sz w:val="24"/>
        </w:rPr>
        <w:t xml:space="preserve"> da validade clínica do modelo.</w:t>
      </w:r>
    </w:p>
    <w:p>
      <w:pPr>
        <w:pStyle w:val="Normal"/>
        <w:spacing w:before="120" w:after="80"/>
        <w:jc w:val="start"/>
        <w:rPr/>
      </w:pPr>
      <w:r>
        <w:rPr>
          <w:rFonts w:eastAsia="Times New Roman"/>
          <w:b/>
          <w:sz w:val="20"/>
        </w:rPr>
        <w:t>Tabela 4 – Cobertura do IV-DSS no dataset sintético</w:t>
      </w:r>
    </w:p>
    <w:tbl>
      <w:tblPr>
        <w:tblStyle w:val="TableGrid"/>
        <w:tblW w:w="9072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a0" w:noHBand="0" w:noVBand="1" w:firstColumn="1" w:lastRow="0" w:lastColumn="0" w:firstRow="1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Cobertura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Registros</w:t>
            </w:r>
          </w:p>
        </w:tc>
        <w:tc>
          <w:tcPr>
            <w:tcW w:w="3024" w:type="dxa"/>
            <w:tcBorders/>
            <w:shd w:fill="E7E6E6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Interpretação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6/6 dimensões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4.643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IV-DSS principal calculável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5/6 dimensões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352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IV-DSS parcial auxiliar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4/6 dimensões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Não calculável</w:t>
            </w:r>
          </w:p>
        </w:tc>
      </w:tr>
    </w:tbl>
    <w:p>
      <w:pPr>
        <w:pStyle w:val="Normal"/>
        <w:spacing w:before="40" w:after="120"/>
        <w:rPr/>
      </w:pPr>
      <w:r>
        <w:rPr>
          <w:rFonts w:eastAsia="Times New Roman"/>
          <w:sz w:val="18"/>
        </w:rPr>
        <w:t>Fonte: elaboração própria (2026), a partir dos artefatos do experimento.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53" w:name="__RefHeading___Toc2263_3157870603"/>
      <w:bookmarkEnd w:id="53"/>
      <w:r>
        <w:rPr>
          <w:rFonts w:eastAsia="Times New Roman" w:ascii="Times New Roman" w:hAnsi="Times New Roman"/>
          <w:b/>
          <w:sz w:val="24"/>
        </w:rPr>
        <w:t>6 CONCLUSÃO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STATUS EDITORIAL — conclusão provisória. Será reescrita após a implementação da API do acompanhamento pré-natal e a consolidação final dos capítulos 3–5.</w:t>
      </w:r>
    </w:p>
    <w:p>
      <w:pPr>
        <w:pStyle w:val="Heading2"/>
        <w:ind w:hanging="0"/>
        <w:jc w:val="start"/>
        <w:rPr/>
      </w:pPr>
      <w:bookmarkStart w:id="54" w:name="__RefHeading___Toc2265_3157870603"/>
      <w:bookmarkEnd w:id="54"/>
      <w:r>
        <w:rPr>
          <w:rFonts w:eastAsia="Times New Roman" w:ascii="Times New Roman" w:hAnsi="Times New Roman"/>
          <w:b/>
          <w:sz w:val="24"/>
        </w:rPr>
        <w:t>6.1 Síntese dos resultados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Este trabalho propôs estimar, a partir dos Determinantes Sociais da Saúde coletados de forma estruturada, a propensão de gestantes à descontinuidade do acompanhamento pré-natal, por meio de aprendizado de máquina, integrando a essa função um módulo de acompanhamento do pré-natal.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Foram desenvolvidos: um contrato de dados canônico e versionado (schema 1.13, 6 dimensões, 48 variáveis); um </w:t>
      </w:r>
      <w:r>
        <w:rPr>
          <w:rFonts w:eastAsia="Times New Roman"/>
          <w:b/>
          <w:i w:val="false"/>
          <w:sz w:val="24"/>
        </w:rPr>
        <w:t>índice descritivo experimental de vulnerabilidade (IV-DSS)</w:t>
      </w:r>
      <w:r>
        <w:rPr>
          <w:rFonts w:eastAsia="Times New Roman"/>
          <w:b w:val="false"/>
          <w:i w:val="false"/>
          <w:sz w:val="24"/>
        </w:rPr>
        <w:t xml:space="preserve">; um </w:t>
      </w:r>
      <w:r>
        <w:rPr>
          <w:rFonts w:eastAsia="Times New Roman"/>
          <w:b/>
          <w:i w:val="false"/>
          <w:sz w:val="24"/>
        </w:rPr>
        <w:t>dataset sintético reproduzível</w:t>
      </w:r>
      <w:r>
        <w:rPr>
          <w:rFonts w:eastAsia="Times New Roman"/>
          <w:b w:val="false"/>
          <w:i w:val="false"/>
          <w:sz w:val="24"/>
        </w:rPr>
        <w:t xml:space="preserve"> (5.000 registros); um protocolo de treinamento/validação com controle de leakage; a comparação de três modelos e a seleção do </w:t>
      </w:r>
      <w:r>
        <w:rPr>
          <w:rFonts w:eastAsia="Times New Roman"/>
          <w:b/>
          <w:i w:val="false"/>
          <w:sz w:val="24"/>
        </w:rPr>
        <w:t>Random Forest</w:t>
      </w:r>
      <w:r>
        <w:rPr>
          <w:rFonts w:eastAsia="Times New Roman"/>
          <w:b w:val="false"/>
          <w:i w:val="false"/>
          <w:sz w:val="24"/>
        </w:rPr>
        <w:t xml:space="preserve">; análises de calibração, sensibilidade e interpretabilidade; e a </w:t>
      </w:r>
      <w:r>
        <w:rPr>
          <w:rFonts w:eastAsia="Times New Roman"/>
          <w:b/>
          <w:i w:val="false"/>
          <w:sz w:val="24"/>
        </w:rPr>
        <w:t>integração de software</w:t>
      </w:r>
      <w:r>
        <w:rPr>
          <w:rFonts w:eastAsia="Times New Roman"/>
          <w:b w:val="false"/>
          <w:i w:val="false"/>
          <w:sz w:val="24"/>
        </w:rPr>
        <w:t xml:space="preserve"> Flutter ↔ FastAPI ↔ IA, validada de ponta a ponta.</w:t>
      </w:r>
    </w:p>
    <w:p>
      <w:pPr>
        <w:pStyle w:val="Heading2"/>
        <w:ind w:hanging="0"/>
        <w:jc w:val="start"/>
        <w:rPr/>
      </w:pPr>
      <w:bookmarkStart w:id="55" w:name="__RefHeading___Toc2267_3157870603"/>
      <w:bookmarkEnd w:id="55"/>
      <w:r>
        <w:rPr>
          <w:rFonts w:eastAsia="Times New Roman" w:ascii="Times New Roman" w:hAnsi="Times New Roman"/>
          <w:b/>
          <w:sz w:val="24"/>
        </w:rPr>
        <w:t>6.2 Limitações do estudo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modelo selecionado apresentou desempenho discriminativo </w:t>
      </w:r>
      <w:r>
        <w:rPr>
          <w:rFonts w:eastAsia="Times New Roman"/>
          <w:b/>
          <w:i w:val="false"/>
          <w:sz w:val="24"/>
        </w:rPr>
        <w:t>limitado</w:t>
      </w:r>
      <w:r>
        <w:rPr>
          <w:rFonts w:eastAsia="Times New Roman"/>
          <w:b w:val="false"/>
          <w:i w:val="false"/>
          <w:sz w:val="24"/>
        </w:rPr>
        <w:t xml:space="preserve"> e </w:t>
      </w:r>
      <w:r>
        <w:rPr>
          <w:rFonts w:eastAsia="Times New Roman"/>
          <w:b/>
          <w:i w:val="false"/>
          <w:sz w:val="24"/>
        </w:rPr>
        <w:t>recall zero no limiar 0,5</w:t>
      </w:r>
      <w:r>
        <w:rPr>
          <w:rFonts w:eastAsia="Times New Roman"/>
          <w:b w:val="false"/>
          <w:i w:val="false"/>
          <w:sz w:val="24"/>
        </w:rPr>
        <w:t xml:space="preserve">, reforçando que os resultados são </w:t>
      </w:r>
      <w:r>
        <w:rPr>
          <w:rFonts w:eastAsia="Times New Roman"/>
          <w:b/>
          <w:i w:val="false"/>
          <w:sz w:val="24"/>
        </w:rPr>
        <w:t>experimentais</w:t>
      </w:r>
      <w:r>
        <w:rPr>
          <w:rFonts w:eastAsia="Times New Roman"/>
          <w:b w:val="false"/>
          <w:i w:val="false"/>
          <w:sz w:val="24"/>
        </w:rPr>
        <w:t xml:space="preserve"> e não constituem validação clínica. O aplicativo, por sua vez, entrega um diferencial funcional ao integrar, em uma mesma solução, o questionário DSS, a estimativa experimental e o acompanhamento do pré-natal (incluindo plano de parto), com armazenamento local/offline.</w:t>
      </w:r>
    </w:p>
    <w:p>
      <w:pPr>
        <w:pStyle w:val="Heading2"/>
        <w:ind w:hanging="0"/>
        <w:jc w:val="start"/>
        <w:rPr/>
      </w:pPr>
      <w:bookmarkStart w:id="56" w:name="__RefHeading___Toc2269_3157870603"/>
      <w:bookmarkEnd w:id="56"/>
      <w:r>
        <w:rPr>
          <w:rFonts w:eastAsia="Times New Roman" w:ascii="Times New Roman" w:hAnsi="Times New Roman"/>
          <w:b/>
          <w:sz w:val="24"/>
        </w:rPr>
        <w:t>6.3 Trabalhos futuros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>Entre as limitações, destacam-se: uso de dados sintéticos (sem validade externa), ausência de validação clínica, recall zero no limiar 0,5, autenticação ainda não funcional, e a ausência de relacionamentos formais na persistência local (modelo implicitamente monousuário).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i w:val="false"/>
          <w:sz w:val="24"/>
        </w:rPr>
        <w:t xml:space="preserve">O problema da descontinuidade do pré-natal não foi resolvido; este trabalho estabeleceu, antes, uma base metodológica e tecnológica experimental que poderá ser estendida a dados reais. Como trabalhos futuros, indicam-se: a operacionalização longitudinal do desfecho com dados reais (fundamentada e ajustada pela duração gestacional), a implementação da arquitetura de persistência e autenticação aprovada (seção 4.7, ainda não implementada), e a condução de estudos com dados reais sob os devidos requisitos éticos e de consentimento.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57" w:name="__RefHeading___Toc2271_3157870603"/>
      <w:bookmarkEnd w:id="57"/>
      <w:r>
        <w:rPr>
          <w:rFonts w:eastAsia="Times New Roman" w:ascii="Times New Roman" w:hAnsi="Times New Roman"/>
          <w:b/>
          <w:sz w:val="24"/>
        </w:rPr>
        <w:t>REFERÊNCIAS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STATUS EDITORIAL — lista corrente das obras efetivamente citadas no Capítulo 1 e das fontes metodológicas já mencionadas no rascunho. A lista final conterá somente obras efetivamente citadas e será normalizada integralmente conforme NBR 6023:2025.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ALVES, G. G.; TERAZIMA, S. S.; LIMA, J. F. P. K. Inteligência artificial na saúde pública: potenciais e desafios no SUS. Asclepius International Journal of Scientific Health Science, v. 4, n. 3, p. 262–267, 2025. DOI: 10.70779/aijshs.v4i3.67.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AYRES, J. R. C. M.; FRANÇA JÚNIOR, I.; CALAZANS, G. J.; SALETTI FILHO, H. C. O conceito de vulnerabilidade e as práticas de saúde: novas perspectivas e desafios. In: CZERESNIA, D.; FREITAS, C. M. (org.). Promoção da saúde: conceitos, reflexões, tendências. Rio de Janeiro: Fiocruz, 2003.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BRASIL. Ministério da Saúde. Estratégia de Saúde Digital para o Brasil 2020–2028. Brasília, DF: Ministério da Saúde, 2020.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BRASIL. Ministério da Saúde. Portaria GM/MS nº 5.350, de 12 de setembro de 2024. Altera a Portaria de Consolidação GM/MS nº 3, de 28 de setembro de 2017, para dispor sobre a Rede Alyne. Brasília, DF: Ministério da Saúde, 2024.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BUSS, P. M.; PELLEGRINI FILHO, A. A saúde e seus determinantes sociais. Physis: Revista de Saúde Coletiva, v. 17, n. 1, p. 77–93, 2007. DOI: 10.1590/S0103-73312007000100006.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CNDSS/BRASIL. As causas sociais das iniquidades em saúde no Brasil. Rio de Janeiro: Fiocruz, 2008.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DEGLI ESPOSTI, C. D. et al. Desigualdades sociais e geográficas no desempenho da assistência pré-natal. Ciência &amp; Saúde Coletiva, v. 25, n. 5, p. 1735–1750, 2020. DOI: 10.1590/1413-81232020255.32852019.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FEROZ, A.; PERVEEN, S.; AFTAB, W. Role of mHealth applications for improving antenatal and postnatal care in low and middle income countries: a systematic review. BMC Health Services Research, v. 17, art. 704, 2017. DOI: 10.1186/s12913-017-2664-7.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IYAWA, G. E.; DANSHARIF, A. R.; KHAN, A. Mobile apps for self-management in pregnancy. Health and Technology, v. 11, n. 2, p. 283–294, 2021. DOI: 10.1007/s12553-021-00523-z.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OECD; EUROPEAN COMMISSION; JOINT RESEARCH CENTRE. Handbook on constructing composite indicators: methodology and user guide. Paris: OECD Publishing, 2008. DOI: 10.1787/9789264043466-en.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ROSA, C. Q.; SILVEIRA, D. S.; COSTA, J. S. D. Fatores associados à não realização de pré-natal em município de grande porte. Revista de Saúde Pública, v. 48, n. 6, p. 977–984, 2014. DOI: 10.1590/S0034-8910.2014048005283.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SANTORIO, K. T.; SANTORIO, K. T.; BARBOSA, C. N. B. Fatores determinantes na realização do pré-natal no Brasil: uma investigação com dados da PNS. Brazilian Journal of Health Review, v. 7, n. 10, e74857, 2024. DOI: 10.34119/bjhrv7n10-033.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SOLAR, O.; IRWIN, A. A conceptual framework for action on the social determinants of health. Geneva: World Health Organization, 2010.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VIELLAS, E. F. et al. Assistência pré-natal no Brasil. Cadernos de Saúde Pública, v. 30, supl. 1, p. S85–S100, 2014. DOI: 10.1590/0102-311X00126013.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WORLD HEALTH ORGANIZATION. WHO recommendations on antenatal care for a positive pregnancy experience. Geneva: WHO, 2016.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WORLD HEALTH ORGANIZATION. Trends in maternal mortality 2000 to 2017. Geneva: WHO, 2019.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WORLD HEALTH ORGANIZATION. Maternal mortality. Geneva: WHO, 2024. Fact sheet.</w:t>
      </w:r>
    </w:p>
    <w:p>
      <w:pPr>
        <w:pStyle w:val="ReferenceEntry"/>
        <w:jc w:val="start"/>
        <w:rPr/>
      </w:pPr>
      <w:r>
        <w:rPr>
          <w:rFonts w:eastAsia="Times New Roman"/>
          <w:b w:val="false"/>
          <w:i w:val="false"/>
          <w:sz w:val="24"/>
        </w:rPr>
        <w:t>WORLD HEALTH ORGANIZATION. World report on social determinants of health equity. Geneva: WHO, 2025. ISBN 9789240107588.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58" w:name="__RefHeading___Toc2273_3157870603"/>
      <w:bookmarkEnd w:id="58"/>
      <w:r>
        <w:rPr>
          <w:rFonts w:eastAsia="Times New Roman" w:ascii="Times New Roman" w:hAnsi="Times New Roman"/>
          <w:b/>
          <w:sz w:val="24"/>
        </w:rPr>
        <w:t>APÊNDICE A — DECISÕES METODOLÓGICAS CONSOLIDADAS E EM ABERTO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CONTROLE EDITORIAL — conteúdo será consolidado ao final, evitando duplicação excessiva do Capítulo 3.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Este apêndice será reservado para registrar decisões metodológicas que precisem permanecer auditáveis sem sobrecarregar o corpo principal da monografia.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ind w:hanging="0"/>
        <w:jc w:val="start"/>
        <w:rPr/>
      </w:pPr>
      <w:bookmarkStart w:id="59" w:name="__RefHeading___Toc2275_3157870603"/>
      <w:bookmarkEnd w:id="59"/>
      <w:r>
        <w:rPr>
          <w:rFonts w:eastAsia="Times New Roman" w:ascii="Times New Roman" w:hAnsi="Times New Roman"/>
          <w:b/>
          <w:sz w:val="24"/>
        </w:rPr>
        <w:t>APÊNDICE B — FUNDAMENTAÇÃO DA ESCOLHA DO TÍTULO</w:t>
      </w:r>
    </w:p>
    <w:p>
      <w:pPr>
        <w:pStyle w:val="EditorialStatus"/>
        <w:rPr/>
      </w:pPr>
      <w:r>
        <w:rPr>
          <w:rFonts w:eastAsia="Times New Roman"/>
          <w:b w:val="false"/>
          <w:i/>
          <w:sz w:val="20"/>
        </w:rPr>
        <w:t>CONTROLE EDITORIAL — manter apenas se o orientador considerar útil; caso contrário, remover antes da entrega.</w:t>
      </w:r>
    </w:p>
    <w:p>
      <w:pPr>
        <w:pStyle w:val="Normal"/>
        <w:spacing w:lineRule="auto" w:line="360" w:before="0" w:after="0"/>
        <w:ind w:hanging="0"/>
        <w:jc w:val="both"/>
        <w:rPr/>
      </w:pPr>
      <w:r>
        <w:rPr>
          <w:rFonts w:eastAsia="Times New Roman"/>
          <w:b w:val="false"/>
          <w:i w:val="false"/>
          <w:sz w:val="24"/>
        </w:rPr>
        <w:t>O título definitivo deverá ser confirmado com o orientador. A formulação atual privilegia os termos “descontinuidade”, “Determinantes Sociais da Saúde”, “aprendizado de máquina” e “índice de vulnerabilidade”, evitando conotação diagnóstica ou clínica não sustentada.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360" w:after="2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EditorialStatus" w:customStyle="1">
    <w:name w:val="Editorial Status"/>
    <w:qFormat/>
    <w:pPr>
      <w:widowControl/>
      <w:bidi w:val="0"/>
      <w:spacing w:lineRule="auto" w:line="240" w:before="80" w:after="160"/>
      <w:ind w:start="227" w:end="227"/>
      <w:jc w:val="start"/>
    </w:pPr>
    <w:rPr>
      <w:rFonts w:ascii="Times New Roman" w:hAnsi="Times New Roman" w:eastAsia="ＭＳ 明朝" w:cs="" w:cstheme="minorBidi" w:eastAsiaTheme="minorEastAsia"/>
      <w:i/>
      <w:color w:val="auto"/>
      <w:kern w:val="0"/>
      <w:sz w:val="20"/>
      <w:szCs w:val="22"/>
      <w:lang w:val="en-US" w:eastAsia="en-US" w:bidi="ar-SA"/>
    </w:rPr>
  </w:style>
  <w:style w:type="paragraph" w:styleId="CodeBlock" w:customStyle="1">
    <w:name w:val="Code Block"/>
    <w:qFormat/>
    <w:pPr>
      <w:widowControl/>
      <w:bidi w:val="0"/>
      <w:spacing w:lineRule="auto" w:line="240" w:before="80" w:after="120"/>
      <w:ind w:start="283" w:end="283"/>
      <w:jc w:val="start"/>
    </w:pPr>
    <w:rPr>
      <w:rFonts w:ascii="Courier New" w:hAnsi="Courier New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ReferenceEntry" w:customStyle="1">
    <w:name w:val="Reference Entry"/>
    <w:qFormat/>
    <w:pPr>
      <w:widowControl/>
      <w:bidi w:val="0"/>
      <w:spacing w:lineRule="auto" w:line="240" w:before="0" w:after="240"/>
      <w:ind w:hanging="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9071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8788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20"/>
        <w:tab w:val="right" w:pos="8504" w:leader="dot"/>
      </w:tabs>
      <w:ind w:hanging="0" w:star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40</Pages>
  <Words>8004</Words>
  <Characters>48258</Characters>
  <CharactersWithSpaces>56038</CharactersWithSpaces>
  <Paragraphs>471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Antônio Hárliton Martins de Souza</dc:creator>
  <dc:description>Documento mestre de trabalho. Capítulo 1 congelado; capítulos 2–6 em evolução sincronizada com o projeto.</dc:description>
  <dc:language>en-US</dc:language>
  <cp:lastModifiedBy/>
  <dcterms:modified xsi:type="dcterms:W3CDTF">2026-08-25T04:58:04Z</dcterms:modified>
  <cp:revision>2</cp:revision>
  <dc:subject>Trabalho de Conclusão de Curso – Engenharia de Software – IFAM Campus Manaus Zona Leste</dc:subject>
  <dc:title>TCC2 – Estimativa da propensão à descontinuidade do acompanhamento pré-natal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