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/>
        <w:jc w:val="center"/>
        <w:rPr/>
      </w:pPr>
      <w:r>
        <w:rPr>
          <w:rFonts w:eastAsia="Times New Roman"/>
          <w:b/>
          <w:sz w:val="24"/>
        </w:rPr>
        <w:t>INSTITUTO FEDERAL DE EDUCAÇÃO, CIÊNCIA E TECNOLOGIA DO AMAZONAS</w:t>
      </w:r>
    </w:p>
    <w:p>
      <w:pPr>
        <w:pStyle w:val="Normal"/>
        <w:spacing w:before="0" w:after="0"/>
        <w:jc w:val="center"/>
        <w:rPr/>
      </w:pPr>
      <w:r>
        <w:rPr>
          <w:rFonts w:eastAsia="Times New Roman"/>
          <w:b/>
          <w:sz w:val="24"/>
        </w:rPr>
        <w:t>CAMPUS MANAUS ZONA LESTE</w:t>
      </w:r>
    </w:p>
    <w:p>
      <w:pPr>
        <w:pStyle w:val="Normal"/>
        <w:spacing w:before="0" w:after="0"/>
        <w:jc w:val="center"/>
        <w:rPr/>
      </w:pPr>
      <w:r>
        <w:rPr>
          <w:rFonts w:eastAsia="Times New Roman"/>
          <w:b/>
          <w:sz w:val="24"/>
        </w:rPr>
        <w:t>BACHARELADO EM ENGENHARIA DE SOFTWARE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spacing w:before="0" w:after="0"/>
        <w:jc w:val="center"/>
        <w:rPr/>
      </w:pPr>
      <w:r>
        <w:rPr>
          <w:rFonts w:eastAsia="Times New Roman"/>
          <w:b/>
          <w:sz w:val="24"/>
        </w:rPr>
        <w:t>ANTÔNIO HÁRLITON MARTINS DE SOUZA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spacing w:before="0" w:after="0"/>
        <w:jc w:val="center"/>
        <w:rPr/>
      </w:pPr>
      <w:r>
        <w:rPr>
          <w:rFonts w:eastAsia="Times New Roman"/>
          <w:b/>
          <w:sz w:val="28"/>
        </w:rPr>
        <w:t>Estimativa da propensão à descontinuidade do acompanhamento pré-natal a partir dos Determinantes Sociais da Saúde: uma abordagem com aprendizado de máquina e um índice de vulnerabilidade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spacing w:before="0" w:after="0"/>
        <w:jc w:val="center"/>
        <w:rPr/>
      </w:pPr>
      <w:r>
        <w:rPr>
          <w:rFonts w:eastAsia="Times New Roman"/>
          <w:b/>
          <w:sz w:val="24"/>
        </w:rPr>
        <w:t>MANAUS – AM</w:t>
      </w:r>
    </w:p>
    <w:p>
      <w:pPr>
        <w:pStyle w:val="Normal"/>
        <w:spacing w:before="0" w:after="0"/>
        <w:jc w:val="center"/>
        <w:rPr/>
      </w:pPr>
      <w:r>
        <w:rPr>
          <w:rFonts w:eastAsia="Times New Roman"/>
          <w:b/>
          <w:sz w:val="24"/>
        </w:rPr>
        <w:t>2026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0"/>
        <w:jc w:val="center"/>
        <w:rPr/>
      </w:pPr>
      <w:r>
        <w:rPr>
          <w:rFonts w:eastAsia="Times New Roman"/>
          <w:b/>
          <w:sz w:val="24"/>
        </w:rPr>
        <w:t>ANTÔNIO HÁRLITON MARTINS DE SOUZA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spacing w:before="0" w:after="0"/>
        <w:jc w:val="center"/>
        <w:rPr/>
      </w:pPr>
      <w:r>
        <w:rPr>
          <w:rFonts w:eastAsia="Times New Roman"/>
          <w:b/>
          <w:sz w:val="28"/>
        </w:rPr>
        <w:t>Estimativa da propensão à descontinuidade do acompanhamento pré-natal a partir dos Determinantes Sociais da Saúde: uma abordagem com aprendizado de máquina e um índice de vulnerabilidade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spacing w:lineRule="auto" w:line="240"/>
        <w:ind w:start="4535"/>
        <w:jc w:val="both"/>
        <w:rPr/>
      </w:pPr>
      <w:r>
        <w:rPr>
          <w:rFonts w:eastAsia="Times New Roman"/>
          <w:b w:val="false"/>
          <w:i w:val="false"/>
          <w:sz w:val="24"/>
        </w:rPr>
        <w:t>Trabalho de Conclusão de Curso apresentado ao Curso de Bacharelado em Engenharia de Software do Instituto Federal de Educação, Ciência e Tecnologia do Amazonas – Campus Manaus Zona Leste, como requisito parcial para obtenção do título de Bacharel em Engenharia de Software.</w:t>
      </w:r>
    </w:p>
    <w:p>
      <w:pPr>
        <w:pStyle w:val="Normal"/>
        <w:spacing w:lineRule="auto" w:line="240"/>
        <w:ind w:start="4535"/>
        <w:rPr/>
      </w:pPr>
      <w:r>
        <w:rPr>
          <w:rFonts w:eastAsia="Times New Roman"/>
          <w:b w:val="false"/>
          <w:i w:val="false"/>
          <w:sz w:val="24"/>
        </w:rPr>
        <w:t>Orientador: Prof. Mestre Benevaldo Pereira Gonçalves.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spacing w:before="0" w:after="0"/>
        <w:jc w:val="center"/>
        <w:rPr/>
      </w:pPr>
      <w:r>
        <w:rPr>
          <w:rFonts w:eastAsia="Times New Roman"/>
          <w:b/>
          <w:sz w:val="24"/>
        </w:rPr>
        <w:t>MANAUS – AM</w:t>
      </w:r>
    </w:p>
    <w:p>
      <w:pPr>
        <w:pStyle w:val="Normal"/>
        <w:spacing w:before="0" w:after="0"/>
        <w:jc w:val="center"/>
        <w:rPr/>
      </w:pPr>
      <w:r>
        <w:rPr>
          <w:rFonts w:eastAsia="Times New Roman"/>
          <w:b/>
          <w:sz w:val="24"/>
        </w:rPr>
        <w:t>2026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0"/>
        <w:jc w:val="center"/>
        <w:rPr/>
      </w:pPr>
      <w:r>
        <w:rPr>
          <w:rFonts w:eastAsia="Times New Roman"/>
          <w:b/>
          <w:sz w:val="24"/>
        </w:rPr>
        <w:t>FOLHA DE APROVAÇÃO</w:t>
      </w:r>
    </w:p>
    <w:p>
      <w:pPr>
        <w:pStyle w:val="Normal"/>
        <w:spacing w:lineRule="auto" w:line="360" w:before="0" w:after="0"/>
        <w:ind w:hanging="0"/>
        <w:jc w:val="both"/>
        <w:rPr/>
      </w:pPr>
      <w:r>
        <w:rPr>
          <w:rFonts w:eastAsia="Times New Roman"/>
          <w:b w:val="false"/>
          <w:i w:val="false"/>
          <w:sz w:val="24"/>
        </w:rPr>
        <w:t>ANTÔNIO HÁRLITON MARTINS DE SOUZA</w:t>
      </w:r>
    </w:p>
    <w:p>
      <w:pPr>
        <w:pStyle w:val="Normal"/>
        <w:spacing w:lineRule="auto" w:line="360" w:before="0" w:after="0"/>
        <w:ind w:hanging="0"/>
        <w:jc w:val="both"/>
        <w:rPr/>
      </w:pPr>
      <w:r>
        <w:rPr>
          <w:rFonts w:eastAsia="Times New Roman"/>
          <w:b w:val="false"/>
          <w:i w:val="false"/>
          <w:sz w:val="24"/>
        </w:rPr>
        <w:t>Estimativa da propensão à descontinuidade do acompanhamento pré-natal a partir dos Determinantes Sociais da Saúde: uma abordagem com aprendizado de máquina e um índice de vulnerabilidade</w:t>
      </w:r>
    </w:p>
    <w:p>
      <w:pPr>
        <w:pStyle w:val="EditorialStatus"/>
        <w:rPr/>
      </w:pPr>
      <w:r>
        <w:rPr>
          <w:rFonts w:eastAsia="Times New Roman"/>
          <w:b w:val="false"/>
          <w:i/>
          <w:sz w:val="20"/>
        </w:rPr>
        <w:t>CONTROLE EDITORIAL — substituir esta página pela folha de aprovação oficial após a defesa, com data e composição da banca.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0"/>
        <w:jc w:val="center"/>
        <w:rPr/>
      </w:pPr>
      <w:r>
        <w:rPr>
          <w:rFonts w:eastAsia="Times New Roman"/>
          <w:b/>
          <w:sz w:val="24"/>
        </w:rPr>
        <w:t>RESUMO</w:t>
      </w:r>
    </w:p>
    <w:p>
      <w:pPr>
        <w:pStyle w:val="EditorialStatus"/>
        <w:rPr/>
      </w:pPr>
      <w:r>
        <w:rPr>
          <w:rFonts w:eastAsia="Times New Roman"/>
          <w:b w:val="false"/>
          <w:i/>
          <w:sz w:val="20"/>
        </w:rPr>
        <w:t>CONTROLE EDITORIAL — resumo a redigir após a consolidação dos capítulos 2–6 e da versão final da API do acompanhamento pré-natal.</w:t>
      </w:r>
    </w:p>
    <w:p>
      <w:pPr>
        <w:pStyle w:val="Normal"/>
        <w:spacing w:lineRule="auto" w:line="360" w:before="0" w:after="0"/>
        <w:ind w:hanging="0"/>
        <w:jc w:val="both"/>
        <w:rPr/>
      </w:pPr>
      <w:r>
        <w:rPr>
          <w:rFonts w:eastAsia="Times New Roman"/>
          <w:b w:val="false"/>
          <w:i w:val="false"/>
          <w:sz w:val="24"/>
        </w:rPr>
        <w:t>Palavras-chave: pré-natal; determinantes sociais da saúde; aprendizado de máquina; dados sintéticos; saúde digital.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0"/>
        <w:jc w:val="center"/>
        <w:rPr/>
      </w:pPr>
      <w:r>
        <w:rPr>
          <w:rFonts w:eastAsia="Times New Roman"/>
          <w:b/>
          <w:sz w:val="24"/>
        </w:rPr>
        <w:t>ABSTRACT</w:t>
      </w:r>
    </w:p>
    <w:p>
      <w:pPr>
        <w:pStyle w:val="EditorialStatus"/>
        <w:rPr/>
      </w:pPr>
      <w:r>
        <w:rPr>
          <w:rFonts w:eastAsia="Times New Roman"/>
          <w:b w:val="false"/>
          <w:i/>
          <w:sz w:val="20"/>
        </w:rPr>
        <w:t>EDITORIAL CONTROL — abstract to be written after consolidation of the full manuscript.</w:t>
      </w:r>
    </w:p>
    <w:p>
      <w:pPr>
        <w:pStyle w:val="Normal"/>
        <w:spacing w:lineRule="auto" w:line="360" w:before="0" w:after="0"/>
        <w:ind w:hanging="0"/>
        <w:jc w:val="both"/>
        <w:rPr/>
      </w:pPr>
      <w:r>
        <w:rPr>
          <w:rFonts w:eastAsia="Times New Roman"/>
          <w:b w:val="false"/>
          <w:i w:val="false"/>
          <w:sz w:val="24"/>
        </w:rPr>
        <w:t>Keywords: prenatal care; social determinants of health; machine learning; synthetic data; digital health.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0"/>
        <w:jc w:val="center"/>
        <w:rPr/>
      </w:pPr>
      <w:r>
        <w:rPr>
          <w:rFonts w:eastAsia="Times New Roman"/>
          <w:b/>
          <w:sz w:val="24"/>
        </w:rPr>
        <w:t>LISTA DE TABELAS</w:t>
      </w:r>
    </w:p>
    <w:p>
      <w:pPr>
        <w:pStyle w:val="Normal"/>
        <w:spacing w:lineRule="auto" w:line="360" w:before="0" w:after="0"/>
        <w:ind w:hanging="0"/>
        <w:jc w:val="both"/>
        <w:rPr/>
      </w:pPr>
      <w:r>
        <w:rPr>
          <w:rFonts w:eastAsia="Times New Roman"/>
          <w:b w:val="false"/>
          <w:i w:val="false"/>
          <w:sz w:val="24"/>
        </w:rPr>
        <w:t>Tabela 1 – Comparação dos modelos na validação cruzada</w:t>
      </w:r>
    </w:p>
    <w:p>
      <w:pPr>
        <w:pStyle w:val="Normal"/>
        <w:spacing w:lineRule="auto" w:line="360" w:before="0" w:after="0"/>
        <w:ind w:hanging="0"/>
        <w:jc w:val="both"/>
        <w:rPr/>
      </w:pPr>
      <w:r>
        <w:rPr>
          <w:rFonts w:eastAsia="Times New Roman"/>
          <w:b w:val="false"/>
          <w:i w:val="false"/>
          <w:sz w:val="24"/>
        </w:rPr>
        <w:t>Tabela 2 – Desempenho do modelo selecionado no conjunto hold-out</w:t>
      </w:r>
    </w:p>
    <w:p>
      <w:pPr>
        <w:pStyle w:val="Normal"/>
        <w:spacing w:lineRule="auto" w:line="360" w:before="0" w:after="0"/>
        <w:ind w:hanging="0"/>
        <w:jc w:val="both"/>
        <w:rPr/>
      </w:pPr>
      <w:r>
        <w:rPr>
          <w:rFonts w:eastAsia="Times New Roman"/>
          <w:b w:val="false"/>
          <w:i w:val="false"/>
          <w:sz w:val="24"/>
        </w:rPr>
        <w:t>Tabela 3 – Matriz de confusão no limiar de referência 0,5</w:t>
      </w:r>
    </w:p>
    <w:p>
      <w:pPr>
        <w:pStyle w:val="Normal"/>
        <w:spacing w:lineRule="auto" w:line="360" w:before="0" w:after="0"/>
        <w:ind w:hanging="0"/>
        <w:jc w:val="both"/>
        <w:rPr/>
      </w:pPr>
      <w:r>
        <w:rPr>
          <w:rFonts w:eastAsia="Times New Roman"/>
          <w:b w:val="false"/>
          <w:i w:val="false"/>
          <w:sz w:val="24"/>
        </w:rPr>
        <w:t>Tabela 4 – Cobertura do IV-DSS no dataset sintético</w:t>
      </w:r>
    </w:p>
    <w:p>
      <w:pPr>
        <w:pStyle w:val="Normal"/>
        <w:jc w:val="center"/>
      </w:pPr>
      <w:r>
        <w:rPr>
          <w:b/>
          <w:sz w:val="24"/>
          <w:szCs w:val="24"/>
        </w:rPr>
        <w:t xml:space="preserve">LISTA DE QUADROS</w:t>
      </w:r>
    </w:p>
    <w:p>
      <w:pPr>
        <w:pStyle w:val="Normal"/>
        <w:jc w:val="both"/>
      </w:pPr>
      <w:r>
        <w:rPr>
          <w:sz w:val="24"/>
          <w:szCs w:val="24"/>
        </w:rPr>
        <w:t xml:space="preserve">Quadro 1 – Classificação consolidada das 48 variáveis do questionário</w:t>
      </w:r>
    </w:p>
    <w:p>
      <w:pPr>
        <w:pStyle w:val="Normal"/>
        <w:jc w:val="both"/>
      </w:pPr>
      <w:r>
        <w:rPr>
          <w:sz w:val="24"/>
          <w:szCs w:val="24"/>
        </w:rPr>
        <w:t xml:space="preserve">Quadro 2 – Componentes tecnológicos da infraestrutura de persistência do backend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0"/>
        <w:jc w:val="center"/>
        <w:rPr/>
      </w:pPr>
      <w:r>
        <w:rPr>
          <w:rFonts w:eastAsia="Times New Roman"/>
          <w:b/>
          <w:sz w:val="24"/>
        </w:rPr>
        <w:t>LISTA DE ABREVIATURAS E SIGLAS</w:t>
      </w:r>
    </w:p>
    <w:tbl>
      <w:tblPr>
        <w:tblStyle w:val="TableGrid"/>
        <w:tblW w:w="9070" w:type="dxa"/>
        <w:jc w:val="center"/>
        <w:tblInd w:w="0" w:type="dxa"/>
        <w:tblLayout w:type="fixed"/>
        <w:tblCellMar>
          <w:top w:w="80" w:type="dxa"/>
          <w:start w:w="80" w:type="dxa"/>
          <w:bottom w:w="80" w:type="dxa"/>
          <w:end w:w="80" w:type="dxa"/>
        </w:tblCellMar>
        <w:tblLook w:val="04a0" w:noHBand="0" w:noVBand="1" w:firstColumn="1" w:lastRow="0" w:lastColumn="0" w:firstRow="1"/>
      </w:tblPr>
      <w:tblGrid>
        <w:gridCol w:w="4535"/>
        <w:gridCol w:w="4534"/>
      </w:tblGrid>
      <w:tr>
        <w:trPr>
          <w:tblHeader/>
        </w:trPr>
        <w:tc>
          <w:tcPr>
            <w:tcW w:w="453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b/>
                <w:sz w:val="20"/>
                <w:szCs w:val="20"/>
              </w:rPr>
              <w:t xml:space="preserve">API</w:t>
            </w:r>
          </w:p>
        </w:tc>
        <w:tc>
          <w:tcPr>
            <w:tcW w:w="453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sz w:val="20"/>
                <w:szCs w:val="20"/>
              </w:rPr>
              <w:t xml:space="preserve">Application Programming Interface</w:t>
            </w:r>
          </w:p>
        </w:tc>
      </w:tr>
      <w:tr>
        <w:trPr/>
        <w:tc>
          <w:tcPr>
            <w:tcW w:w="453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b/>
                <w:sz w:val="20"/>
                <w:szCs w:val="20"/>
              </w:rPr>
              <w:t xml:space="preserve">CRUD</w:t>
            </w:r>
          </w:p>
        </w:tc>
        <w:tc>
          <w:tcPr>
            <w:tcW w:w="453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sz w:val="20"/>
                <w:szCs w:val="20"/>
              </w:rPr>
              <w:t xml:space="preserve">Create, Read, Update, Delete</w:t>
            </w:r>
          </w:p>
        </w:tc>
      </w:tr>
      <w:tr>
        <w:trPr/>
        <w:tc>
          <w:tcPr>
            <w:tcW w:w="453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b/>
                <w:sz w:val="20"/>
                <w:szCs w:val="20"/>
              </w:rPr>
              <w:t xml:space="preserve">CV</w:t>
            </w:r>
          </w:p>
        </w:tc>
        <w:tc>
          <w:tcPr>
            <w:tcW w:w="453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sz w:val="20"/>
                <w:szCs w:val="20"/>
              </w:rPr>
              <w:t xml:space="preserve">Validação cruzada (cross-validation)</w:t>
            </w:r>
          </w:p>
        </w:tc>
      </w:tr>
      <w:tr>
        <w:trPr/>
        <w:tc>
          <w:tcPr>
            <w:tcW w:w="453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b/>
                <w:sz w:val="20"/>
                <w:szCs w:val="20"/>
              </w:rPr>
              <w:t xml:space="preserve">DGM</w:t>
            </w:r>
          </w:p>
        </w:tc>
        <w:tc>
          <w:tcPr>
            <w:tcW w:w="453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sz w:val="20"/>
                <w:szCs w:val="20"/>
              </w:rPr>
              <w:t xml:space="preserve">Data Generation Model</w:t>
            </w:r>
          </w:p>
        </w:tc>
      </w:tr>
      <w:tr>
        <w:trPr/>
        <w:tc>
          <w:tcPr>
            <w:tcW w:w="453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b/>
                <w:sz w:val="20"/>
                <w:szCs w:val="20"/>
              </w:rPr>
              <w:t xml:space="preserve">DPP</w:t>
            </w:r>
          </w:p>
        </w:tc>
        <w:tc>
          <w:tcPr>
            <w:tcW w:w="453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sz w:val="20"/>
                <w:szCs w:val="20"/>
              </w:rPr>
              <w:t xml:space="preserve">Data provável do parto</w:t>
            </w:r>
          </w:p>
        </w:tc>
      </w:tr>
      <w:tr>
        <w:trPr/>
        <w:tc>
          <w:tcPr>
            <w:tcW w:w="453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b/>
                <w:sz w:val="20"/>
                <w:szCs w:val="20"/>
              </w:rPr>
              <w:t xml:space="preserve">DSS</w:t>
            </w:r>
          </w:p>
        </w:tc>
        <w:tc>
          <w:tcPr>
            <w:tcW w:w="453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sz w:val="20"/>
                <w:szCs w:val="20"/>
              </w:rPr>
              <w:t xml:space="preserve">Determinantes Sociais da Saúde</w:t>
            </w:r>
          </w:p>
        </w:tc>
      </w:tr>
      <w:tr>
        <w:trPr/>
        <w:tc>
          <w:tcPr>
            <w:tcW w:w="453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b/>
                <w:sz w:val="20"/>
                <w:szCs w:val="20"/>
              </w:rPr>
              <w:t xml:space="preserve">EBIA</w:t>
            </w:r>
          </w:p>
        </w:tc>
        <w:tc>
          <w:tcPr>
            <w:tcW w:w="453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sz w:val="20"/>
                <w:szCs w:val="20"/>
              </w:rPr>
              <w:t xml:space="preserve">Escala Brasileira de Insegurança Alimentar</w:t>
            </w:r>
          </w:p>
        </w:tc>
      </w:tr>
      <w:tr>
        <w:trPr/>
        <w:tc>
          <w:tcPr>
            <w:tcW w:w="453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b/>
                <w:sz w:val="20"/>
                <w:szCs w:val="20"/>
              </w:rPr>
              <w:t xml:space="preserve">FIES</w:t>
            </w:r>
          </w:p>
        </w:tc>
        <w:tc>
          <w:tcPr>
            <w:tcW w:w="453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sz w:val="20"/>
                <w:szCs w:val="20"/>
              </w:rPr>
              <w:t xml:space="preserve">Food Insecurity Experience Scale</w:t>
            </w:r>
          </w:p>
        </w:tc>
      </w:tr>
      <w:tr>
        <w:trPr/>
        <w:tc>
          <w:tcPr>
            <w:tcW w:w="453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b/>
                <w:sz w:val="20"/>
                <w:szCs w:val="20"/>
              </w:rPr>
              <w:t xml:space="preserve">IG</w:t>
            </w:r>
          </w:p>
        </w:tc>
        <w:tc>
          <w:tcPr>
            <w:tcW w:w="453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sz w:val="20"/>
                <w:szCs w:val="20"/>
              </w:rPr>
              <w:t xml:space="preserve">Idade gestacional</w:t>
            </w:r>
          </w:p>
        </w:tc>
      </w:tr>
      <w:tr>
        <w:trPr/>
        <w:tc>
          <w:tcPr>
            <w:tcW w:w="453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b/>
                <w:sz w:val="20"/>
                <w:szCs w:val="20"/>
              </w:rPr>
              <w:t xml:space="preserve">IV-DSS</w:t>
            </w:r>
          </w:p>
        </w:tc>
        <w:tc>
          <w:tcPr>
            <w:tcW w:w="453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sz w:val="20"/>
                <w:szCs w:val="20"/>
              </w:rPr>
              <w:t xml:space="preserve">Índice de Vulnerabilidade dos Determinantes Sociais da Saúde</w:t>
            </w:r>
          </w:p>
        </w:tc>
      </w:tr>
      <w:tr>
        <w:trPr/>
        <w:tc>
          <w:tcPr>
            <w:tcW w:w="453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b/>
                <w:sz w:val="20"/>
                <w:szCs w:val="20"/>
              </w:rPr>
              <w:t xml:space="preserve">LGPD</w:t>
            </w:r>
          </w:p>
        </w:tc>
        <w:tc>
          <w:tcPr>
            <w:tcW w:w="453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sz w:val="20"/>
                <w:szCs w:val="20"/>
              </w:rPr>
              <w:t xml:space="preserve">Lei Geral de Proteção de Dados</w:t>
            </w:r>
          </w:p>
        </w:tc>
      </w:tr>
      <w:tr>
        <w:trPr/>
        <w:tc>
          <w:tcPr>
            <w:tcW w:w="453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b/>
                <w:sz w:val="20"/>
                <w:szCs w:val="20"/>
              </w:rPr>
              <w:t xml:space="preserve">ML</w:t>
            </w:r>
          </w:p>
        </w:tc>
        <w:tc>
          <w:tcPr>
            <w:tcW w:w="453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sz w:val="20"/>
                <w:szCs w:val="20"/>
              </w:rPr>
              <w:t xml:space="preserve">Aprendizado de máquina (machine learning)</w:t>
            </w:r>
          </w:p>
        </w:tc>
      </w:tr>
      <w:tr>
        <w:trPr/>
        <w:tc>
          <w:tcPr>
            <w:tcW w:w="453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b/>
                <w:sz w:val="20"/>
                <w:szCs w:val="20"/>
              </w:rPr>
              <w:t xml:space="preserve">ORM</w:t>
            </w:r>
          </w:p>
        </w:tc>
        <w:tc>
          <w:tcPr>
            <w:tcW w:w="453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sz w:val="20"/>
                <w:szCs w:val="20"/>
              </w:rPr>
              <w:t xml:space="preserve">Object-Relational Mapping</w:t>
            </w:r>
          </w:p>
        </w:tc>
      </w:tr>
      <w:tr>
        <w:trPr/>
        <w:tc>
          <w:tcPr>
            <w:tcW w:w="453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b/>
                <w:sz w:val="20"/>
                <w:szCs w:val="20"/>
              </w:rPr>
              <w:t xml:space="preserve">PNS</w:t>
            </w:r>
          </w:p>
        </w:tc>
        <w:tc>
          <w:tcPr>
            <w:tcW w:w="453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sz w:val="20"/>
                <w:szCs w:val="20"/>
              </w:rPr>
              <w:t xml:space="preserve">Pesquisa Nacional de Saúde</w:t>
            </w:r>
          </w:p>
        </w:tc>
      </w:tr>
      <w:tr>
        <w:trPr/>
        <w:tc>
          <w:tcPr>
            <w:tcW w:w="453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b/>
                <w:sz w:val="20"/>
                <w:szCs w:val="20"/>
              </w:rPr>
              <w:t xml:space="preserve">PR-AUC</w:t>
            </w:r>
          </w:p>
        </w:tc>
        <w:tc>
          <w:tcPr>
            <w:tcW w:w="453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sz w:val="20"/>
                <w:szCs w:val="20"/>
              </w:rPr>
              <w:t xml:space="preserve">Área sob a curva Precision-Recall</w:t>
            </w:r>
          </w:p>
        </w:tc>
      </w:tr>
      <w:tr>
        <w:trPr/>
        <w:tc>
          <w:tcPr>
            <w:tcW w:w="453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b/>
                <w:sz w:val="20"/>
                <w:szCs w:val="20"/>
              </w:rPr>
              <w:t xml:space="preserve">RF</w:t>
            </w:r>
          </w:p>
        </w:tc>
        <w:tc>
          <w:tcPr>
            <w:tcW w:w="453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sz w:val="20"/>
                <w:szCs w:val="20"/>
              </w:rPr>
              <w:t xml:space="preserve">Random Forest</w:t>
            </w:r>
          </w:p>
        </w:tc>
      </w:tr>
      <w:tr>
        <w:trPr/>
        <w:tc>
          <w:tcPr>
            <w:tcW w:w="453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b/>
                <w:sz w:val="20"/>
                <w:szCs w:val="20"/>
              </w:rPr>
              <w:t xml:space="preserve">RL</w:t>
            </w:r>
          </w:p>
        </w:tc>
        <w:tc>
          <w:tcPr>
            <w:tcW w:w="453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sz w:val="20"/>
                <w:szCs w:val="20"/>
              </w:rPr>
              <w:t xml:space="preserve">Regressão logística</w:t>
            </w:r>
          </w:p>
        </w:tc>
      </w:tr>
      <w:tr>
        <w:trPr/>
        <w:tc>
          <w:tcPr>
            <w:tcW w:w="453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b/>
                <w:sz w:val="20"/>
                <w:szCs w:val="20"/>
              </w:rPr>
              <w:t xml:space="preserve">ROC-AUC</w:t>
            </w:r>
          </w:p>
        </w:tc>
        <w:tc>
          <w:tcPr>
            <w:tcW w:w="453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sz w:val="20"/>
                <w:szCs w:val="20"/>
              </w:rPr>
              <w:t xml:space="preserve">Área sob a curva ROC</w:t>
            </w:r>
          </w:p>
        </w:tc>
      </w:tr>
      <w:tr>
        <w:trPr/>
        <w:tc>
          <w:tcPr>
            <w:tcW w:w="453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b/>
                <w:sz w:val="20"/>
                <w:szCs w:val="20"/>
              </w:rPr>
              <w:t xml:space="preserve">SISPRENATAL</w:t>
            </w:r>
          </w:p>
        </w:tc>
        <w:tc>
          <w:tcPr>
            <w:tcW w:w="453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sz w:val="20"/>
                <w:szCs w:val="20"/>
              </w:rPr>
              <w:t xml:space="preserve">Sistema de Informação do Pré-Natal</w:t>
            </w:r>
          </w:p>
        </w:tc>
      </w:tr>
      <w:tr>
        <w:trPr/>
        <w:tc>
          <w:tcPr>
            <w:tcW w:w="453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b/>
                <w:sz w:val="20"/>
                <w:szCs w:val="20"/>
              </w:rPr>
              <w:t xml:space="preserve">SUS</w:t>
            </w:r>
          </w:p>
        </w:tc>
        <w:tc>
          <w:tcPr>
            <w:tcW w:w="453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sz w:val="20"/>
                <w:szCs w:val="20"/>
              </w:rPr>
              <w:t xml:space="preserve">Sistema Único de Saúde</w:t>
            </w:r>
          </w:p>
        </w:tc>
      </w:tr>
      <w:tr>
        <w:trPr/>
        <w:tc>
          <w:tcPr>
            <w:tcW w:w="453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b/>
                <w:sz w:val="20"/>
                <w:szCs w:val="20"/>
              </w:rPr>
              <w:t xml:space="preserve">T0</w:t>
            </w:r>
          </w:p>
        </w:tc>
        <w:tc>
          <w:tcPr>
            <w:tcW w:w="453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sz w:val="20"/>
                <w:szCs w:val="20"/>
              </w:rPr>
              <w:t xml:space="preserve">Instante de aplicação/envio do questionário DSS</w:t>
            </w:r>
          </w:p>
        </w:tc>
      </w:tr>
      <w:tr>
        <w:trPr/>
        <w:tc>
          <w:tcPr>
            <w:tcW w:w="453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b/>
                <w:sz w:val="20"/>
                <w:szCs w:val="20"/>
              </w:rPr>
              <w:t xml:space="preserve">UBS</w:t>
            </w:r>
          </w:p>
        </w:tc>
        <w:tc>
          <w:tcPr>
            <w:tcW w:w="453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sz w:val="20"/>
                <w:szCs w:val="20"/>
              </w:rPr>
              <w:t xml:space="preserve">Unidade Básica de Saúde</w:t>
            </w:r>
          </w:p>
        </w:tc>
      </w:tr>
      <w:tr>
        <w:trPr/>
        <w:tc>
          <w:tcPr>
            <w:tcW w:w="453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b/>
                <w:sz w:val="20"/>
                <w:szCs w:val="20"/>
              </w:rPr>
              <w:t xml:space="preserve">UUID</w:t>
            </w:r>
          </w:p>
        </w:tc>
        <w:tc>
          <w:tcPr>
            <w:tcW w:w="453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sz w:val="20"/>
                <w:szCs w:val="20"/>
              </w:rPr>
              <w:t xml:space="preserve">Universally Unique Identifier</w:t>
            </w:r>
          </w:p>
        </w:tc>
      </w:tr>
      <w:tr>
        <w:trPr/>
        <w:tc>
          <w:tcPr>
            <w:tcW w:w="453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b/>
                <w:sz w:val="20"/>
                <w:szCs w:val="20"/>
              </w:rPr>
              <w:t xml:space="preserve">WHO</w:t>
            </w:r>
          </w:p>
        </w:tc>
        <w:tc>
          <w:tcPr>
            <w:tcW w:w="453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sz w:val="20"/>
                <w:szCs w:val="20"/>
              </w:rPr>
              <w:t xml:space="preserve">World Health Organization</w:t>
            </w:r>
          </w:p>
        </w:tc>
      </w:tr>
      <w:tr>
        <w:trPr/>
        <w:tc>
          <w:tcPr>
            <w:tcW w:w="453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b/>
                <w:sz w:val="20"/>
                <w:szCs w:val="20"/>
              </w:rPr>
              <w:t xml:space="preserve">XGBoost</w:t>
            </w:r>
          </w:p>
        </w:tc>
        <w:tc>
          <w:tcPr>
            <w:tcW w:w="453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sz w:val="20"/>
                <w:szCs w:val="20"/>
              </w:rPr>
              <w:t xml:space="preserve">Extreme Gradient Boosting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0"/>
        <w:jc w:val="center"/>
        <w:rPr/>
      </w:pPr>
      <w:r>
        <w:rPr>
          <w:rFonts w:eastAsia="Times New Roman"/>
          <w:b/>
          <w:sz w:val="24"/>
        </w:rPr>
        <w:t>SUMÁRIO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071"/>
              <w:tab w:val="right" w:pos="9070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"1-3"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2157_3157870603">
            <w:r>
              <w:rPr>
                <w:webHidden/>
                <w:rStyle w:val="IndexLink"/>
              </w:rPr>
              <w:t>1 INTRODUÇÃO</w:t>
              <w:tab/>
              <w:t>1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2159_3157870603">
            <w:r>
              <w:rPr>
                <w:webHidden/>
                <w:rStyle w:val="IndexLink"/>
              </w:rPr>
              <w:t>1.1 Contextualização</w:t>
              <w:tab/>
              <w:t>1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2161_3157870603">
            <w:r>
              <w:rPr>
                <w:webHidden/>
                <w:rStyle w:val="IndexLink"/>
              </w:rPr>
              <w:t>1.2 Problema de pesquisa</w:t>
              <w:tab/>
              <w:t>2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2163_3157870603">
            <w:r>
              <w:rPr>
                <w:webHidden/>
                <w:rStyle w:val="IndexLink"/>
              </w:rPr>
              <w:t>1.3 Justificativa</w:t>
              <w:tab/>
              <w:t>3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2165_3157870603">
            <w:r>
              <w:rPr>
                <w:webHidden/>
                <w:rStyle w:val="IndexLink"/>
              </w:rPr>
              <w:t>1.4 Objetivos</w:t>
              <w:tab/>
              <w:t>4</w:t>
            </w:r>
          </w:hyperlink>
        </w:p>
        <w:p>
          <w:pPr>
            <w:pStyle w:val="TOC3"/>
            <w:tabs>
              <w:tab w:val="clear" w:pos="8504"/>
              <w:tab w:val="right" w:pos="9070" w:leader="dot"/>
            </w:tabs>
            <w:rPr/>
          </w:pPr>
          <w:hyperlink w:anchor="__RefHeading___Toc2167_3157870603">
            <w:r>
              <w:rPr>
                <w:webHidden/>
                <w:rStyle w:val="IndexLink"/>
              </w:rPr>
              <w:t>1.4.1 Objetivo geral</w:t>
              <w:tab/>
              <w:t>4</w:t>
            </w:r>
          </w:hyperlink>
        </w:p>
        <w:p>
          <w:pPr>
            <w:pStyle w:val="TOC3"/>
            <w:tabs>
              <w:tab w:val="clear" w:pos="8504"/>
              <w:tab w:val="right" w:pos="9070" w:leader="dot"/>
            </w:tabs>
            <w:rPr/>
          </w:pPr>
          <w:hyperlink w:anchor="__RefHeading___Toc2169_3157870603">
            <w:r>
              <w:rPr>
                <w:webHidden/>
                <w:rStyle w:val="IndexLink"/>
              </w:rPr>
              <w:t>1.4.2 Objetivos específicos</w:t>
              <w:tab/>
              <w:t>4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2171_3157870603">
            <w:r>
              <w:rPr>
                <w:webHidden/>
                <w:rStyle w:val="IndexLink"/>
              </w:rPr>
              <w:t>1.5 Estrutura do trabalho</w:t>
              <w:tab/>
              <w:t>5</w:t>
            </w:r>
          </w:hyperlink>
        </w:p>
        <w:p>
          <w:pPr>
            <w:pStyle w:val="TOC1"/>
            <w:tabs>
              <w:tab w:val="clear" w:pos="9071"/>
              <w:tab w:val="right" w:pos="9070" w:leader="dot"/>
            </w:tabs>
            <w:rPr/>
          </w:pPr>
          <w:hyperlink w:anchor="__RefHeading___Toc2173_3157870603">
            <w:r>
              <w:rPr>
                <w:webHidden/>
                <w:rStyle w:val="IndexLink"/>
              </w:rPr>
              <w:t>2 FUNDAMENTAÇÃO TEÓRICA</w:t>
              <w:tab/>
              <w:t>6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2175_3157870603">
            <w:r>
              <w:rPr>
                <w:webHidden/>
                <w:rStyle w:val="IndexLink"/>
              </w:rPr>
              <w:t>2.1 Pré-natal e saúde materna</w:t>
              <w:tab/>
              <w:t>6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2177_3157870603">
            <w:r>
              <w:rPr>
                <w:webHidden/>
                <w:rStyle w:val="IndexLink"/>
              </w:rPr>
              <w:t>2.2 Determinantes Sociais da Saúde</w:t>
              <w:tab/>
              <w:t>6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2179_3157870603">
            <w:r>
              <w:rPr>
                <w:webHidden/>
                <w:rStyle w:val="IndexLink"/>
              </w:rPr>
              <w:t>2.3 Vulnerabilidade e índices compostos</w:t>
              <w:tab/>
              <w:t>6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2181_3157870603">
            <w:r>
              <w:rPr>
                <w:webHidden/>
                <w:rStyle w:val="IndexLink"/>
              </w:rPr>
              <w:t>2.4 Aprendizado de máquina supervisionado</w:t>
              <w:tab/>
              <w:t>6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2183_3157870603">
            <w:r>
              <w:rPr>
                <w:webHidden/>
                <w:rStyle w:val="IndexLink"/>
              </w:rPr>
              <w:t>2.5 Trabalhos relacionados</w:t>
              <w:tab/>
              <w:t>6</w:t>
            </w:r>
          </w:hyperlink>
        </w:p>
        <w:p>
          <w:pPr>
            <w:pStyle w:val="TOC1"/>
            <w:tabs>
              <w:tab w:val="clear" w:pos="9071"/>
              <w:tab w:val="right" w:pos="9070" w:leader="dot"/>
            </w:tabs>
            <w:rPr/>
          </w:pPr>
          <w:hyperlink w:anchor="__RefHeading___Toc2185_3157870603">
            <w:r>
              <w:rPr>
                <w:webHidden/>
                <w:rStyle w:val="IndexLink"/>
              </w:rPr>
              <w:t>3 METODOLOGIA</w:t>
              <w:tab/>
              <w:t>7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2187_3157870603">
            <w:r>
              <w:rPr>
                <w:webHidden/>
                <w:rStyle w:val="IndexLink"/>
              </w:rPr>
              <w:t>3.1 Tipo de pesquisa</w:t>
              <w:tab/>
              <w:t>7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2189_3157870603">
            <w:r>
              <w:rPr>
                <w:webHidden/>
                <w:rStyle w:val="IndexLink"/>
              </w:rPr>
              <w:t>3.2 Determinantes Sociais da Saúde utilizados</w:t>
              <w:tab/>
              <w:t>7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2191_3157870603">
            <w:r>
              <w:rPr>
                <w:webHidden/>
                <w:rStyle w:val="IndexLink"/>
              </w:rPr>
              <w:t>3.3 Construção do Índice de Vulnerabilidade dos DSS (IV-DSS)</w:t>
              <w:tab/>
              <w:t>7</w:t>
            </w:r>
          </w:hyperlink>
        </w:p>
        <w:p>
          <w:pPr>
            <w:pStyle w:val="TOC3"/>
            <w:tabs>
              <w:tab w:val="clear" w:pos="8504"/>
              <w:tab w:val="right" w:pos="9070" w:leader="dot"/>
            </w:tabs>
            <w:rPr/>
          </w:pPr>
          <w:hyperlink w:anchor="__RefHeading___Toc2193_3157870603">
            <w:r>
              <w:rPr>
                <w:webHidden/>
                <w:rStyle w:val="IndexLink"/>
              </w:rPr>
              <w:t>3.3.1 Definição conceitual</w:t>
              <w:tab/>
              <w:t>7</w:t>
            </w:r>
          </w:hyperlink>
        </w:p>
        <w:p>
          <w:pPr>
            <w:pStyle w:val="TOC3"/>
            <w:tabs>
              <w:tab w:val="clear" w:pos="8504"/>
              <w:tab w:val="right" w:pos="9070" w:leader="dot"/>
            </w:tabs>
            <w:rPr/>
          </w:pPr>
          <w:hyperlink w:anchor="__RefHeading___Toc2195_3157870603">
            <w:r>
              <w:rPr>
                <w:webHidden/>
                <w:rStyle w:val="IndexLink"/>
              </w:rPr>
              <w:t>3.3.2 Estrutura (três níveis de agregação)</w:t>
              <w:tab/>
              <w:t>8</w:t>
            </w:r>
          </w:hyperlink>
        </w:p>
        <w:p>
          <w:pPr>
            <w:pStyle w:val="TOC3"/>
            <w:tabs>
              <w:tab w:val="clear" w:pos="8504"/>
              <w:tab w:val="right" w:pos="9070" w:leader="dot"/>
            </w:tabs>
            <w:rPr/>
          </w:pPr>
          <w:hyperlink w:anchor="__RefHeading___Toc2197_3157870603">
            <w:r>
              <w:rPr>
                <w:webHidden/>
                <w:rStyle w:val="IndexLink"/>
              </w:rPr>
              <w:t>3.3.3 Indicadores e escores por dimensão</w:t>
              <w:tab/>
              <w:t>8</w:t>
            </w:r>
          </w:hyperlink>
        </w:p>
        <w:p>
          <w:pPr>
            <w:pStyle w:val="TOC3"/>
            <w:tabs>
              <w:tab w:val="clear" w:pos="8504"/>
              <w:tab w:val="right" w:pos="9070" w:leader="dot"/>
            </w:tabs>
            <w:rPr/>
          </w:pPr>
          <w:hyperlink w:anchor="__RefHeading___Toc2199_3157870603">
            <w:r>
              <w:rPr>
                <w:webHidden/>
                <w:rStyle w:val="IndexLink"/>
              </w:rPr>
              <w:t>3.3.4 Pesos</w:t>
              <w:tab/>
              <w:t>10</w:t>
            </w:r>
          </w:hyperlink>
        </w:p>
        <w:p>
          <w:pPr>
            <w:pStyle w:val="TOC3"/>
            <w:tabs>
              <w:tab w:val="clear" w:pos="8504"/>
              <w:tab w:val="right" w:pos="9070" w:leader="dot"/>
            </w:tabs>
            <w:rPr/>
          </w:pPr>
          <w:hyperlink w:anchor="__RefHeading___Toc2201_3157870603">
            <w:r>
              <w:rPr>
                <w:webHidden/>
                <w:rStyle w:val="IndexLink"/>
              </w:rPr>
              <w:t>3.3.5 Escala e interpretação</w:t>
              <w:tab/>
              <w:t>10</w:t>
            </w:r>
          </w:hyperlink>
        </w:p>
        <w:p>
          <w:pPr>
            <w:pStyle w:val="TOC3"/>
            <w:tabs>
              <w:tab w:val="clear" w:pos="8504"/>
              <w:tab w:val="right" w:pos="9070" w:leader="dot"/>
            </w:tabs>
            <w:rPr/>
          </w:pPr>
          <w:hyperlink w:anchor="__RefHeading___Toc2203_3157870603">
            <w:r>
              <w:rPr>
                <w:webHidden/>
                <w:rStyle w:val="IndexLink"/>
              </w:rPr>
              <w:t>3.3.6 Política de missing e validade</w:t>
              <w:tab/>
              <w:t>10</w:t>
            </w:r>
          </w:hyperlink>
        </w:p>
        <w:p>
          <w:pPr>
            <w:pStyle w:val="TOC3"/>
            <w:tabs>
              <w:tab w:val="clear" w:pos="8504"/>
              <w:tab w:val="right" w:pos="9070" w:leader="dot"/>
            </w:tabs>
            <w:rPr/>
          </w:pPr>
          <w:hyperlink w:anchor="__RefHeading___Toc2205_3157870603">
            <w:r>
              <w:rPr>
                <w:webHidden/>
                <w:rStyle w:val="IndexLink"/>
              </w:rPr>
              <w:t>3.3.7 Análises de sensibilidade</w:t>
              <w:tab/>
              <w:t>10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2207_3157870603">
            <w:r>
              <w:rPr>
                <w:webHidden/>
                <w:rStyle w:val="IndexLink"/>
              </w:rPr>
              <w:t>3.4 Modelagem dos dados</w:t>
              <w:tab/>
              <w:t>11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2209_3157870603">
            <w:r>
              <w:rPr>
                <w:webHidden/>
                <w:rStyle w:val="IndexLink"/>
              </w:rPr>
              <w:t>3.5 População, T0 e variável-alvo</w:t>
              <w:tab/>
              <w:t>11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2211_3157870603">
            <w:r>
              <w:rPr>
                <w:webHidden/>
                <w:rStyle w:val="IndexLink"/>
              </w:rPr>
              <w:t>3.6 Geração do dataset sintético</w:t>
              <w:tab/>
              <w:t>12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2213_3157870603">
            <w:r>
              <w:rPr>
                <w:webHidden/>
                <w:rStyle w:val="IndexLink"/>
              </w:rPr>
              <w:t>3.7 Seleção de variáveis e controle de leakage</w:t>
              <w:tab/>
              <w:t>13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2215_3157870603">
            <w:r>
              <w:rPr>
                <w:webHidden/>
                <w:rStyle w:val="IndexLink"/>
              </w:rPr>
              <w:t>3.8 Modelos de aprendizado de máquina</w:t>
              <w:tab/>
              <w:t>14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2217_3157870603">
            <w:r>
              <w:rPr>
                <w:webHidden/>
                <w:rStyle w:val="IndexLink"/>
              </w:rPr>
              <w:t>3.9 Treinamento e validação</w:t>
              <w:tab/>
              <w:t>15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2219_3157870603">
            <w:r>
              <w:rPr>
                <w:webHidden/>
                <w:rStyle w:val="IndexLink"/>
              </w:rPr>
              <w:t>3.10 Métricas</w:t>
              <w:tab/>
              <w:t>15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2221_3157870603">
            <w:r>
              <w:rPr>
                <w:webHidden/>
                <w:rStyle w:val="IndexLink"/>
              </w:rPr>
              <w:t>3.11 Procedimento de validação da integração Flutter → API → ML</w:t>
              <w:tab/>
              <w:t>16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2223_3157870603">
            <w:r>
              <w:rPr>
                <w:webHidden/>
                <w:rStyle w:val="IndexLink"/>
              </w:rPr>
              <w:t>3.12 Aspectos éticos e limitações</w:t>
              <w:tab/>
              <w:t>16</w:t>
            </w:r>
          </w:hyperlink>
        </w:p>
        <w:p>
          <w:pPr>
            <w:pStyle w:val="TOC1"/>
            <w:tabs>
              <w:tab w:val="clear" w:pos="9071"/>
              <w:tab w:val="right" w:pos="9070" w:leader="dot"/>
            </w:tabs>
            <w:rPr/>
          </w:pPr>
          <w:hyperlink w:anchor="__RefHeading___Toc2225_3157870603">
            <w:r>
              <w:rPr>
                <w:webHidden/>
                <w:rStyle w:val="IndexLink"/>
              </w:rPr>
              <w:t>4 DESENVOLVIMENTO DA SOLUÇÃO</w:t>
              <w:tab/>
              <w:t>18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2227_3157870603">
            <w:r>
              <w:rPr>
                <w:webHidden/>
                <w:rStyle w:val="IndexLink"/>
              </w:rPr>
              <w:t>4.1 Arquitetura</w:t>
              <w:tab/>
              <w:t>18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2229_3157870603">
            <w:r>
              <w:rPr>
                <w:webHidden/>
                <w:rStyle w:val="IndexLink"/>
              </w:rPr>
              <w:t>4.2 Eixo 1 — Questionário dos DSS</w:t>
              <w:tab/>
              <w:t>18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2231_3157870603">
            <w:r>
              <w:rPr>
                <w:webHidden/>
                <w:rStyle w:val="IndexLink"/>
              </w:rPr>
              <w:t>4.3 Eixo 2 — Módulo de acompanhamento do pré-natal</w:t>
              <w:tab/>
              <w:t>18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2233_3157870603">
            <w:r>
              <w:rPr>
                <w:webHidden/>
                <w:rStyle w:val="IndexLink"/>
              </w:rPr>
              <w:t>4.4 Armazenamento local / offline</w:t>
              <w:tab/>
              <w:t>19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2235_3157870603">
            <w:r>
              <w:rPr>
                <w:webHidden/>
                <w:rStyle w:val="IndexLink"/>
              </w:rPr>
              <w:t>4.5 Autenticação e estado atual do DSS</w:t>
              <w:tab/>
              <w:t>19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2237_3157870603">
            <w:r>
              <w:rPr>
                <w:webHidden/>
                <w:rStyle w:val="IndexLink"/>
              </w:rPr>
              <w:t>4.6 Onde o IV-DSS é calculado</w:t>
              <w:tab/>
              <w:t>20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2239_3157870603">
            <w:r>
              <w:rPr>
                <w:webHidden/>
                <w:rStyle w:val="IndexLink"/>
              </w:rPr>
              <w:t>4.7 Arquitetura futura proposta (evolução)</w:t>
              <w:tab/>
              <w:t>20</w:t>
            </w:r>
          </w:hyperlink>
        </w:p>
        <w:p>
          <w:pPr>
            <w:pStyle w:val="TOC1"/>
            <w:tabs>
              <w:tab w:val="clear" w:pos="9071"/>
              <w:tab w:val="right" w:pos="9070" w:leader="dot"/>
            </w:tabs>
            <w:rPr/>
          </w:pPr>
          <w:hyperlink w:anchor="__RefHeading___Toc2241_3157870603">
            <w:r>
              <w:rPr>
                <w:webHidden/>
                <w:rStyle w:val="IndexLink"/>
              </w:rPr>
              <w:t>5 RESULTADOS E DISCUSSÃO</w:t>
              <w:tab/>
              <w:t>22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2243_3157870603">
            <w:r>
              <w:rPr>
                <w:webHidden/>
                <w:rStyle w:val="IndexLink"/>
              </w:rPr>
              <w:t>5.1 Conjunto sintético e protocolo</w:t>
              <w:tab/>
              <w:t>22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2245_3157870603">
            <w:r>
              <w:rPr>
                <w:webHidden/>
                <w:rStyle w:val="IndexLink"/>
              </w:rPr>
              <w:t>5.2 Comparação e seleção de modelos</w:t>
              <w:tab/>
              <w:t>22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2247_3157870603">
            <w:r>
              <w:rPr>
                <w:webHidden/>
                <w:rStyle w:val="IndexLink"/>
              </w:rPr>
              <w:t>5.3 Desempenho do modelo selecionado (hold-out)</w:t>
              <w:tab/>
              <w:t>22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2249_3157870603">
            <w:r>
              <w:rPr>
                <w:webHidden/>
                <w:rStyle w:val="IndexLink"/>
              </w:rPr>
              <w:t>5.4 Análise de threshold</w:t>
              <w:tab/>
              <w:t>23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2251_3157870603">
            <w:r>
              <w:rPr>
                <w:webHidden/>
                <w:rStyle w:val="IndexLink"/>
              </w:rPr>
              <w:t>5.5 Calibração e estabilidade</w:t>
              <w:tab/>
              <w:t>23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2253_3157870603">
            <w:r>
              <w:rPr>
                <w:webHidden/>
                <w:rStyle w:val="IndexLink"/>
              </w:rPr>
              <w:t>5.6 Sensibilidade metodológica</w:t>
              <w:tab/>
              <w:t>24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2255_3157870603">
            <w:r>
              <w:rPr>
                <w:webHidden/>
                <w:rStyle w:val="IndexLink"/>
              </w:rPr>
              <w:t>5.7 Interpretabilidade</w:t>
              <w:tab/>
              <w:t>24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2257_3157870603">
            <w:r>
              <w:rPr>
                <w:webHidden/>
                <w:rStyle w:val="IndexLink"/>
              </w:rPr>
              <w:t>5.8 IV-DSS</w:t>
              <w:tab/>
              <w:t>24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2259_3157870603">
            <w:r>
              <w:rPr>
                <w:webHidden/>
                <w:rStyle w:val="IndexLink"/>
              </w:rPr>
              <w:t>5.9 Validação da implementação de software</w:t>
              <w:tab/>
              <w:t>25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2261_3157870603">
            <w:r>
              <w:rPr>
                <w:webHidden/>
                <w:rStyle w:val="IndexLink"/>
              </w:rPr>
              <w:t>5.10 Discussão</w:t>
              <w:tab/>
              <w:t>25</w:t>
            </w:r>
          </w:hyperlink>
        </w:p>
        <w:p>
          <w:pPr>
            <w:pStyle w:val="TOC1"/>
            <w:tabs>
              <w:tab w:val="clear" w:pos="9071"/>
              <w:tab w:val="right" w:pos="9070" w:leader="dot"/>
            </w:tabs>
            <w:rPr/>
          </w:pPr>
          <w:hyperlink w:anchor="__RefHeading___Toc2263_3157870603">
            <w:r>
              <w:rPr>
                <w:webHidden/>
                <w:rStyle w:val="IndexLink"/>
              </w:rPr>
              <w:t>6 CONCLUSÃO</w:t>
              <w:tab/>
              <w:t>26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2265_3157870603">
            <w:r>
              <w:rPr>
                <w:webHidden/>
                <w:rStyle w:val="IndexLink"/>
              </w:rPr>
              <w:t>6.1 Síntese dos resultados</w:t>
              <w:tab/>
              <w:t>26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2267_3157870603">
            <w:r>
              <w:rPr>
                <w:webHidden/>
                <w:rStyle w:val="IndexLink"/>
              </w:rPr>
              <w:t>6.2 Limitações do estudo</w:t>
              <w:tab/>
              <w:t>26</w:t>
            </w:r>
          </w:hyperlink>
        </w:p>
        <w:p>
          <w:pPr>
            <w:pStyle w:val="TOC2"/>
            <w:tabs>
              <w:tab w:val="clear" w:pos="8788"/>
              <w:tab w:val="right" w:pos="9070" w:leader="dot"/>
            </w:tabs>
            <w:rPr/>
          </w:pPr>
          <w:hyperlink w:anchor="__RefHeading___Toc2269_3157870603">
            <w:r>
              <w:rPr>
                <w:webHidden/>
                <w:rStyle w:val="IndexLink"/>
              </w:rPr>
              <w:t>6.3 Trabalhos futuros</w:t>
              <w:tab/>
              <w:t>26</w:t>
            </w:r>
          </w:hyperlink>
        </w:p>
        <w:p>
          <w:pPr>
            <w:pStyle w:val="TOC1"/>
            <w:tabs>
              <w:tab w:val="clear" w:pos="9071"/>
              <w:tab w:val="right" w:pos="9070" w:leader="dot"/>
            </w:tabs>
            <w:rPr/>
          </w:pPr>
          <w:hyperlink w:anchor="__RefHeading___Toc2271_3157870603">
            <w:r>
              <w:rPr>
                <w:webHidden/>
                <w:rStyle w:val="IndexLink"/>
              </w:rPr>
              <w:t>REFERÊNCIAS</w:t>
              <w:tab/>
              <w:t>27</w:t>
            </w:r>
          </w:hyperlink>
        </w:p>
        <w:p>
          <w:pPr>
            <w:pStyle w:val="TOC1"/>
            <w:tabs>
              <w:tab w:val="clear" w:pos="9071"/>
              <w:tab w:val="right" w:pos="9070" w:leader="dot"/>
            </w:tabs>
            <w:rPr/>
          </w:pPr>
          <w:hyperlink w:anchor="__RefHeading___Toc2273_3157870603">
            <w:r>
              <w:rPr>
                <w:webHidden/>
                <w:rStyle w:val="IndexLink"/>
              </w:rPr>
              <w:t>APÊNDICE A — DECISÕES METODOLÓGICAS CONSOLIDADAS E EM ABERTO</w:t>
              <w:tab/>
              <w:t>29</w:t>
            </w:r>
          </w:hyperlink>
        </w:p>
        <w:p>
          <w:pPr>
            <w:pStyle w:val="TOC1"/>
            <w:tabs>
              <w:tab w:val="clear" w:pos="9071"/>
              <w:tab w:val="right" w:pos="9070" w:leader="dot"/>
            </w:tabs>
            <w:rPr/>
          </w:pPr>
          <w:hyperlink w:anchor="__RefHeading___Toc2275_3157870603">
            <w:r>
              <w:rPr>
                <w:webHidden/>
                <w:rStyle w:val="IndexLink"/>
              </w:rPr>
              <w:t>APÊNDICE B — FUNDAMENTAÇÃO DA ESCOLHA DO TÍTULO</w:t>
              <w:tab/>
              <w:t>30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widowControl/>
        <w:bidi w:val="0"/>
        <w:spacing w:lineRule="auto" w:line="276" w:before="0" w:after="200"/>
        <w:jc w:val="start"/>
        <w:rPr>
          <w:rFonts w:ascii="Times New Roman" w:hAnsi="Times New Roman"/>
          <w:sz w:val="24"/>
        </w:rPr>
      </w:pPr>
      <w:r>
        <w:rPr>
          <w:sz w:val="24"/>
        </w:rPr>
      </w:r>
      <w:r>
        <w:br w:type="page"/>
      </w:r>
    </w:p>
    <w:p>
      <w:pPr>
        <w:pStyle w:val="Normal"/>
        <w:spacing w:before="0" w:after="0"/>
        <w:jc w:val="center"/>
        <w:rPr/>
      </w:pPr>
      <w:r>
        <w:rPr>
          <w:rFonts w:eastAsia="Times New Roman"/>
          <w:b/>
          <w:sz w:val="24"/>
        </w:rPr>
        <w:t>CONTROLE EDITORIAL — REMOVER ANTES DA ENTREGA</w:t>
      </w:r>
    </w:p>
    <w:p>
      <w:pPr>
        <w:pStyle w:val="EditorialStatus"/>
        <w:rPr/>
      </w:pPr>
      <w:r>
        <w:rPr>
          <w:rFonts w:eastAsia="Times New Roman"/>
          <w:b w:val="false"/>
          <w:i/>
          <w:sz w:val="20"/>
        </w:rPr>
        <w:t>Esta página existe somente no documento mestre de trabalho. Ela organiza a evolução sincronizada entre software e monografia.</w:t>
      </w:r>
    </w:p>
    <w:tbl>
      <w:tblPr>
        <w:tblStyle w:val="TableGrid"/>
        <w:tblW w:w="9072" w:type="dxa"/>
        <w:jc w:val="center"/>
        <w:tblInd w:w="0" w:type="dxa"/>
        <w:tblLayout w:type="fixed"/>
        <w:tblCellMar>
          <w:top w:w="80" w:type="dxa"/>
          <w:start w:w="80" w:type="dxa"/>
          <w:bottom w:w="80" w:type="dxa"/>
          <w:end w:w="80" w:type="dxa"/>
        </w:tblCellMar>
        <w:tblLook w:val="04a0" w:noHBand="0" w:noVBand="1" w:firstColumn="1" w:lastRow="0" w:lastColumn="0" w:firstRow="1"/>
      </w:tblPr>
      <w:tblGrid>
        <w:gridCol w:w="3024"/>
        <w:gridCol w:w="3024"/>
        <w:gridCol w:w="3024"/>
      </w:tblGrid>
      <w:tr>
        <w:trPr>
          <w:tblHeader/>
        </w:trPr>
        <w:tc>
          <w:tcPr>
            <w:tcW w:w="3024" w:type="dxa"/>
            <w:tcBorders/>
            <w:shd w:fill="E7E6E6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Parte</w:t>
            </w:r>
          </w:p>
        </w:tc>
        <w:tc>
          <w:tcPr>
            <w:tcW w:w="3024" w:type="dxa"/>
            <w:tcBorders/>
            <w:shd w:fill="E7E6E6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Estado em 25/08/2026</w:t>
            </w:r>
          </w:p>
        </w:tc>
        <w:tc>
          <w:tcPr>
            <w:tcW w:w="3024" w:type="dxa"/>
            <w:tcBorders/>
            <w:shd w:fill="E7E6E6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Regra de atualização</w:t>
            </w:r>
          </w:p>
        </w:tc>
      </w:tr>
      <w:tr>
        <w:trPr/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Capítulo 1 – Introdução</w:t>
            </w:r>
          </w:p>
        </w:tc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CONGELADO</w:t>
            </w:r>
          </w:p>
        </w:tc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Alterar apenas mediante decisão metodológica/documental explícita.</w:t>
            </w:r>
          </w:p>
        </w:tc>
      </w:tr>
      <w:tr>
        <w:trPr/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Capítulo 2 – Fundamentação Teórica</w:t>
            </w:r>
          </w:p>
        </w:tc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ESTRUTURA PRONTA</w:t>
            </w:r>
          </w:p>
        </w:tc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Redação acadêmica ainda será desenvolvida a partir da matriz bibliográfica validada.</w:t>
            </w:r>
          </w:p>
        </w:tc>
      </w:tr>
      <w:tr>
        <w:trPr/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Capítulo 3 – Metodologia</w:t>
            </w:r>
          </w:p>
        </w:tc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RASCUNHO TÉCNICO CONSOLIDADO</w:t>
            </w:r>
          </w:p>
        </w:tc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Revisar academicamente e citar literatura metodológica; atualizar se o método científico mudar.</w:t>
            </w:r>
          </w:p>
        </w:tc>
      </w:tr>
      <w:tr>
        <w:trPr/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Capítulo 4 – Desenvolvimento da Solução</w:t>
            </w:r>
          </w:p>
        </w:tc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RASCUNHO TÉCNICO ATUAL</w:t>
            </w:r>
          </w:p>
        </w:tc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Atualizar a cada marco de Flutter/API; a API do acompanhamento pré-natal ainda não está implementada.</w:t>
            </w:r>
          </w:p>
        </w:tc>
      </w:tr>
      <w:tr>
        <w:trPr/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Capítulo 5 – Resultados e Discussão</w:t>
            </w:r>
          </w:p>
        </w:tc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RESULTADOS TÉCNICOS ATUAIS</w:t>
            </w:r>
          </w:p>
        </w:tc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Resultados de IA/API/DSS já incorporados; discussão bibliográfica será aprofundada.</w:t>
            </w:r>
          </w:p>
        </w:tc>
      </w:tr>
      <w:tr>
        <w:trPr/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Capítulo 6 – Conclusão</w:t>
            </w:r>
          </w:p>
        </w:tc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PROVISÓRIA</w:t>
            </w:r>
          </w:p>
        </w:tc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Reescrever após concluir a evolução do acompanhamento pré-natal e consolidar resultados finais.</w:t>
            </w:r>
          </w:p>
        </w:tc>
      </w:tr>
    </w:tbl>
    <w:p>
      <w:pPr>
        <w:pStyle w:val="Normal"/>
        <w:spacing w:before="40" w:after="120"/>
        <w:rPr/>
      </w:pPr>
      <w:r>
        <w:rPr>
          <w:rFonts w:eastAsia="Times New Roman"/>
          <w:sz w:val="18"/>
        </w:rPr>
        <w:t>Fonte: controle interno do projeto (2026).</w:t>
      </w:r>
    </w:p>
    <w:p>
      <w:pPr>
        <w:sectPr>
          <w:type w:val="nextPage"/>
          <w:pgSz w:w="11906" w:h="16838"/>
          <w:pgMar w:left="1701" w:right="1134" w:gutter="0" w:header="0" w:top="1701" w:footer="0" w:bottom="1134"/>
          <w:pgNumType w:fmt="decimal"/>
          <w:formProt w:val="false"/>
          <w:textDirection w:val="lrTb"/>
          <w:docGrid w:type="default" w:linePitch="360" w:charSpace="0"/>
        </w:sectPr>
        <w:pStyle w:val="Normal"/>
        <w:spacing w:lineRule="auto" w:line="360" w:before="0" w:after="0"/>
        <w:ind w:hanging="0"/>
        <w:jc w:val="both"/>
        <w:rPr/>
      </w:pPr>
      <w:r>
        <w:rPr>
          <w:rFonts w:eastAsia="Times New Roman"/>
          <w:b w:val="false"/>
          <w:i w:val="false"/>
          <w:sz w:val="24"/>
        </w:rPr>
        <w:t>Regra de sincronização: marco técnico concluído e testado → documentação técnica atualizada → impacto acadêmico revisado → documento mestre atualizado.</w:t>
      </w:r>
    </w:p>
    <w:p>
      <w:pPr>
        <w:pStyle w:val="Heading1"/>
        <w:ind w:hanging="0"/>
        <w:jc w:val="start"/>
        <w:rPr/>
      </w:pPr>
      <w:bookmarkStart w:id="0" w:name="__RefHeading___Toc2157_3157870603"/>
      <w:bookmarkEnd w:id="0"/>
      <w:r>
        <w:rPr>
          <w:rFonts w:eastAsia="Times New Roman" w:ascii="Times New Roman" w:hAnsi="Times New Roman"/>
          <w:b/>
          <w:sz w:val="24"/>
        </w:rPr>
        <w:t>1 INTRODUÇÃO</w:t>
      </w:r>
    </w:p>
    <w:p>
      <w:pPr>
        <w:pStyle w:val="Heading2"/>
        <w:ind w:hanging="0"/>
        <w:jc w:val="start"/>
        <w:rPr/>
      </w:pPr>
      <w:bookmarkStart w:id="1" w:name="__RefHeading___Toc2159_3157870603"/>
      <w:bookmarkEnd w:id="1"/>
      <w:r>
        <w:rPr>
          <w:rFonts w:eastAsia="Times New Roman" w:ascii="Times New Roman" w:hAnsi="Times New Roman"/>
          <w:b/>
          <w:sz w:val="24"/>
        </w:rPr>
        <w:t>1.1 Contextualização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>O acompanhamento pré-natal constitui um componente central da atenção à gestação e da promoção da saúde materno-infantil, sendo objeto de diretrizes internacionais que recomendam uma atenção organizada, periódica e centrada na gestante (WORLD HEALTH ORGANIZATION, 2016). No Brasil, essa atenção integra a política de saúde materno-infantil do Sistema Único de Saúde (SUS) e foi reafirmada, em sua configuração mais recente, pela Rede Alyne, instituída pela Portaria GM/MS nº 5.350, de 2024, que prevê a captação oportuna da gestante e a realização de um conjunto mínimo de consultas intercaladas entre diferentes profissionais (Brasil, 2024). A mortalidade materna permanece, todavia, um problema relevante em escala global (WORLD HEALTH ORGANIZATION, 2019, 2024), o que reforça a importância de estratégias que favoreçam a continuidade do acompanhamento.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>Apesar da expansão da cobertura, a adequação e a continuidade do pré-natal permanecem desiguais no Brasil. Desigualdades socioeconômicas e barreiras de acesso estão associadas à menor adequação, à não realização, ao início tardio ou à descontinuidade do acompanhamento pré-natal, conforme a definição operacional adotada em cada estudo (Rosa; Silveira; Costa, 2014; Viellas et al., 2014; Degli Esposti et al., 2020; Santorio et al., 2024). Estudos conduzidos em diferentes contextos brasileiros evidenciam a associação entre condições sociais e a não realização do pré-natal (Rosa; Silveira; Costa, 2014), bem como o papel de determinantes sociais na realização do acompanhamento, em análises de base populacional (Santorio et al., 2024). As desigualdades observadas assumem, ademais, recortes sociais e geográficos, refletindo-se no desempenho da assistência (Degli Esposti et al., 2020).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>Os Determinantes Sociais da Saúde (DSS) constituem o conjunto de condições sociais, econômicas e ambientais em que as pessoas nascem, vivem e trabalham e que moldam as oportunidades de saúde, gerando iniquidades evitáveis quando distribuídos de forma desigual (Buss; Pellegrini Filho, 2007; CNDSS, 2008; Solar; Irwin, 2010; WORLD HEALTH ORGANIZATION, 2025). No escopo deste trabalho, esses determinantes são operacionalizados em seis dimensões — educação, trabalho e renda, saneamento, acesso aos serviços de saúde, habitação e alimentação — que orientam a coleta estruturada de informações e a caracterização de perfis de vulnerabilidade social.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>Em paralelo, o avanço das tecnologias digitais em saúde tem ampliado as possibilidades de coleta, registro e acompanhamento dessas informações. Iniciativas de saúde móvel (mHealth) têm sido investigadas como apoio ao pré-natal e ao pós-parto (Feroz; Perveen; Aftab, 2017), e aplicativos voltados à gestação vêm sendo estudados como recurso de apoio ao autocuidado e à gestão da gravidez (Iyawa; Dansharif; Khan, 2021). No contexto brasileiro, a Estratégia de Saúde Digital para o Brasil 2020–2028 estabelece diretrizes para o uso de tecnologias digitais no sistema de saúde (Brasil, 2020). É nessa confluência entre os DSS, a saúde digital e o aprendizado de máquina que se insere a proposta deste trabalho.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>O emprego de inteligência artificial na saúde pública tem sido objeto de crescente discussão (Alves; Terazima; Lima, 2025). Nesse contexto, este trabalho investiga experimentalmente o emprego de aprendizado de máquina supervisionado sobre variáveis estruturadas dos DSS para estimar a propensão à descontinuidade do acompanhamento pré-natal, materializando-se no aplicativo "Meu Bebê", que integra, em uma mesma aplicação, a coleta estruturada dos DSS e um módulo de acompanhamento do pré-natal.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>O estudo é conduzido sobre um dataset sintético, com finalidade de avaliação técnica e controlada da metodologia: os dados não representam prevalências reais e os resultados não autorizam inferência clínica ou populacional sobre gestantes reais. A estimativa produzida não constitui diagnóstico, classificação clínica ou certeza de descontinuidade, e nenhuma associação estatística é apresentada como relação causal. De modo complementar e separado do aplicativo, o estudo calcula, em seu componente analítico, o Índice de Vulnerabilidade dos Determinantes Sociais da Saúde (IV-DSS), de caráter descritivo e experimental, destinado a caracterizar a vulnerabilidade social dos perfis representados no dataset sintético — distinto da probabilidade estimada pelo modelo.</w:t>
      </w:r>
    </w:p>
    <w:p>
      <w:pPr>
        <w:pStyle w:val="Heading2"/>
        <w:ind w:hanging="0"/>
        <w:jc w:val="start"/>
        <w:rPr/>
      </w:pPr>
      <w:bookmarkStart w:id="2" w:name="__RefHeading___Toc2161_3157870603"/>
      <w:bookmarkEnd w:id="2"/>
      <w:r>
        <w:rPr>
          <w:rFonts w:eastAsia="Times New Roman" w:ascii="Times New Roman" w:hAnsi="Times New Roman"/>
          <w:b/>
          <w:sz w:val="24"/>
        </w:rPr>
        <w:t>1.2 Problema de pesquisa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>Apesar da existência de diretrizes nacionais e da expansão do acesso, persistem desigualdades na adequação e na continuidade do acompanhamento pré-natal, associadas a condições sociais e a barreiras de acesso (Rosa; Silveira; Costa, 2014; Viellas et al., 2014; Degli Esposti et al., 2020; Santorio et al., 2024). A disponibilidade de informações estruturadas sobre os DSS abre espaço para investigar se técnicas de aprendizado de máquina podem, a partir dessas variáveis, produzir estimativas experimentais de propensão à descontinuidade.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 xml:space="preserve">É necessário, contudo, distinguir o fenômeno real — a descontinuidade do acompanhamento pré-natal, cuja operacionalização longitudinal com dados reais ainda exige fundamentação específica — da variável-alvo experimental adotada neste estudo, definida sobre dados sintéticos. O problema investigado, portanto, pode ser enunciado nos seguintes termos: </w:t>
      </w:r>
      <w:r>
        <w:rPr>
          <w:rFonts w:eastAsia="Times New Roman"/>
          <w:b/>
          <w:i w:val="false"/>
          <w:sz w:val="24"/>
        </w:rPr>
        <w:t>em que medida uma abordagem experimental de aprendizado de máquina baseada nos DSS, inicialmente avaliada com dados sintéticos, é capaz de produzir estimativas de propensão à descontinuidade do acompanhamento pré-natal?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>Não se pretende, com este trabalho, estabelecer causalidade nem produzir diagnóstico ou classificação clínica. Trata-se de avaliar, de forma controlada e reproduzível, a viabilidade técnica de um pipeline computacional que relacione os DSS a um desfecho experimental.</w:t>
      </w:r>
    </w:p>
    <w:p>
      <w:pPr>
        <w:pStyle w:val="Heading2"/>
        <w:ind w:hanging="0"/>
        <w:jc w:val="start"/>
        <w:rPr/>
      </w:pPr>
      <w:bookmarkStart w:id="3" w:name="__RefHeading___Toc2163_3157870603"/>
      <w:bookmarkEnd w:id="3"/>
      <w:r>
        <w:rPr>
          <w:rFonts w:eastAsia="Times New Roman" w:ascii="Times New Roman" w:hAnsi="Times New Roman"/>
          <w:b/>
          <w:sz w:val="24"/>
        </w:rPr>
        <w:t>1.3 Justificativa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>A relevância social deste trabalho reside na centralidade do pré-natal para a saúde materna e na persistência de desigualdades de acesso e de continuidade, documentadas para o contexto brasileiro (Rosa; Silveira; Costa, 2014; Viellas et al., 2014; Degli Esposti et al., 2020). A mortalidade materna permanece um problema relevante em escala global (WORLD HEALTH ORGANIZATION, 2019, 2024), e o acompanhamento pré-natal adequado figura entre as estratégias de prevenção recomendadas (WORLD HEALTH ORGANIZATION, 2016). Compreender como condições relacionadas aos DSS se associam às desigualdades observadas na adequação e na continuidade desse acompanhamento pode subsidiar o planejamento da atenção, ainda que este trabalho não se proponha a intervir diretamente sobre esse fenômeno nem a estabelecer relações de causalidade.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>Do ponto de vista científico e tecnológico, justifica-se investigar se uma abordagem de aprendizado de máquina, aplicada a dados estruturados dos DSS, é capaz de produzir estimativas de propensão passíveis de avaliação segundo o protocolo experimental adotado. A opção por um dataset sintético permite a avaliação controlada e reproduzível do pipeline, ao mesmo tempo em que afasta qualquer leitura de validade clínica ou de representatividade populacional: os dados não representam prevalências reais nem autorizam inferência sobre gestantes reais.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>A solução tecnológica proposta reúne, no aplicativo, a coleta estruturada dos DSS, o módulo de acompanhamento do pré-natal e o consumo da estimativa experimental produzida pelo pipeline de aprendizado de máquina. Paralelamente, no componente analítico do estudo, é calculado o Índice de Vulnerabilidade dos Determinantes Sociais da Saúde (IV-DSS), de caráter descritivo e experimental, distinto da probabilidade produzida pelo modelo e sem configurar classificação clínica. Prevê-se, para o módulo de acompanhamento, a integração a uma API para persistência e gerenciamento dos dados. Essa integração — questionário, estimativa e acompanhamento em uma mesma solução — constitui um resultado de engenharia relevante, independentemente do desempenho preditivo alcançado pelo modelo.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>Acrescenta-se a relevância acadêmica: o trabalho consolida um pipeline experimental reproduzível — contrato de dados, geração controlada de dados sintéticos, protocolo de treinamento e validação, métricas adequadas a classes desbalanceadas e integração de software — que poderá ser reutilizado em etapas futuras com dados reais, sob os devidos requisitos éticos e de consentimento.</w:t>
      </w:r>
    </w:p>
    <w:p>
      <w:pPr>
        <w:pStyle w:val="Heading2"/>
        <w:ind w:hanging="0"/>
        <w:jc w:val="start"/>
        <w:rPr/>
      </w:pPr>
      <w:bookmarkStart w:id="4" w:name="__RefHeading___Toc2165_3157870603"/>
      <w:bookmarkEnd w:id="4"/>
      <w:r>
        <w:rPr>
          <w:rFonts w:eastAsia="Times New Roman" w:ascii="Times New Roman" w:hAnsi="Times New Roman"/>
          <w:b/>
          <w:sz w:val="24"/>
        </w:rPr>
        <w:t>1.4 Objetivos</w:t>
      </w:r>
    </w:p>
    <w:p>
      <w:pPr>
        <w:pStyle w:val="Heading3"/>
        <w:ind w:hanging="0"/>
        <w:jc w:val="start"/>
        <w:rPr/>
      </w:pPr>
      <w:bookmarkStart w:id="5" w:name="__RefHeading___Toc2167_3157870603"/>
      <w:bookmarkEnd w:id="5"/>
      <w:r>
        <w:rPr>
          <w:rFonts w:eastAsia="Times New Roman" w:ascii="Times New Roman" w:hAnsi="Times New Roman"/>
          <w:b/>
          <w:sz w:val="24"/>
        </w:rPr>
        <w:t>1.4.1 Objetivo geral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>Desenvolver um aplicativo móvel para coleta estruturada dos Determinantes Sociais da Saúde e acompanhamento do pré-natal, construir um Índice de Vulnerabilidade dos DSS (IV-DSS) para caracterização dos perfis representados no dataset sintético, e desenvolver um modelo de aprendizado de máquina — treinado e avaliado sobre um dataset sintético — capaz de estimar a propensão à descontinuidade do acompanhamento pré-natal.</w:t>
      </w:r>
    </w:p>
    <w:p>
      <w:pPr>
        <w:pStyle w:val="Heading3"/>
        <w:ind w:hanging="0"/>
        <w:jc w:val="start"/>
        <w:rPr/>
      </w:pPr>
      <w:bookmarkStart w:id="6" w:name="__RefHeading___Toc2169_3157870603"/>
      <w:bookmarkEnd w:id="6"/>
      <w:r>
        <w:rPr>
          <w:rFonts w:eastAsia="Times New Roman" w:ascii="Times New Roman" w:hAnsi="Times New Roman"/>
          <w:b/>
          <w:sz w:val="24"/>
        </w:rPr>
        <w:t>1.4.2 Objetivos específicos</w:t>
      </w:r>
    </w:p>
    <w:p>
      <w:pPr>
        <w:pStyle w:val="Normal"/>
        <w:spacing w:lineRule="auto" w:line="360"/>
        <w:ind w:hanging="340" w:start="454"/>
        <w:rPr/>
      </w:pPr>
      <w:r>
        <w:rPr>
          <w:rFonts w:eastAsia="Times New Roman"/>
          <w:sz w:val="24"/>
        </w:rPr>
        <w:t xml:space="preserve">1. </w:t>
      </w:r>
      <w:r>
        <w:rPr>
          <w:rFonts w:eastAsia="Times New Roman"/>
          <w:b w:val="false"/>
          <w:i w:val="false"/>
          <w:sz w:val="24"/>
        </w:rPr>
        <w:t>Modelar os DSS em um contrato de dados canônico, versionado e reproduzível.</w:t>
      </w:r>
    </w:p>
    <w:p>
      <w:pPr>
        <w:pStyle w:val="Normal"/>
        <w:spacing w:lineRule="auto" w:line="360"/>
        <w:ind w:hanging="340" w:start="454"/>
        <w:rPr/>
      </w:pPr>
      <w:r>
        <w:rPr>
          <w:rFonts w:eastAsia="Times New Roman"/>
          <w:sz w:val="24"/>
        </w:rPr>
        <w:t xml:space="preserve">2. </w:t>
      </w:r>
      <w:r>
        <w:rPr>
          <w:rFonts w:eastAsia="Times New Roman"/>
          <w:b w:val="false"/>
          <w:i w:val="false"/>
          <w:sz w:val="24"/>
        </w:rPr>
        <w:t>Construir um Índice de Vulnerabilidade dos DSS (IV-DSS), baseado nas dimensões investigadas, para caracterizar o nível de vulnerabilidade social dos perfis representados no dataset sintético.</w:t>
      </w:r>
    </w:p>
    <w:p>
      <w:pPr>
        <w:pStyle w:val="Normal"/>
        <w:spacing w:lineRule="auto" w:line="360"/>
        <w:ind w:hanging="340" w:start="454"/>
        <w:rPr/>
      </w:pPr>
      <w:r>
        <w:rPr>
          <w:rFonts w:eastAsia="Times New Roman"/>
          <w:sz w:val="24"/>
        </w:rPr>
        <w:t xml:space="preserve">3. </w:t>
      </w:r>
      <w:r>
        <w:rPr>
          <w:rFonts w:eastAsia="Times New Roman"/>
          <w:b w:val="false"/>
          <w:i w:val="false"/>
          <w:sz w:val="24"/>
        </w:rPr>
        <w:t>Desenvolver o aplicativo Flutter com o questionário dos Determinantes Sociais da Saúde e o módulo de acompanhamento do pré-natal, integrando este último a uma API para persistência e gerenciamento dos dados.</w:t>
      </w:r>
    </w:p>
    <w:p>
      <w:pPr>
        <w:pStyle w:val="Normal"/>
        <w:spacing w:lineRule="auto" w:line="360"/>
        <w:ind w:hanging="340" w:start="454"/>
        <w:rPr/>
      </w:pPr>
      <w:r>
        <w:rPr>
          <w:rFonts w:eastAsia="Times New Roman"/>
          <w:sz w:val="24"/>
        </w:rPr>
        <w:t xml:space="preserve">4. </w:t>
      </w:r>
      <w:r>
        <w:rPr>
          <w:rFonts w:eastAsia="Times New Roman"/>
          <w:b w:val="false"/>
          <w:i w:val="false"/>
          <w:sz w:val="24"/>
        </w:rPr>
        <w:t>Definir a variável-alvo experimental utilizada no estudo sintético, distinguindo-a da futura operacionalização longitudinal com dados reais.</w:t>
      </w:r>
    </w:p>
    <w:p>
      <w:pPr>
        <w:pStyle w:val="Normal"/>
        <w:spacing w:lineRule="auto" w:line="360"/>
        <w:ind w:hanging="340" w:start="454"/>
        <w:rPr/>
      </w:pPr>
      <w:r>
        <w:rPr>
          <w:rFonts w:eastAsia="Times New Roman"/>
          <w:sz w:val="24"/>
        </w:rPr>
        <w:t xml:space="preserve">5. </w:t>
      </w:r>
      <w:r>
        <w:rPr>
          <w:rFonts w:eastAsia="Times New Roman"/>
          <w:b w:val="false"/>
          <w:i w:val="false"/>
          <w:sz w:val="24"/>
        </w:rPr>
        <w:t>Gerar um dataset sintético reproduzível (seed fixa), com dependências probabilísticas controladas e explicitamente definidas entre os DSS e o desfecho sintético.</w:t>
      </w:r>
    </w:p>
    <w:p>
      <w:pPr>
        <w:pStyle w:val="Normal"/>
        <w:spacing w:lineRule="auto" w:line="360"/>
        <w:ind w:hanging="340" w:start="454"/>
        <w:rPr/>
      </w:pPr>
      <w:r>
        <w:rPr>
          <w:rFonts w:eastAsia="Times New Roman"/>
          <w:sz w:val="24"/>
        </w:rPr>
        <w:t xml:space="preserve">6. </w:t>
      </w:r>
      <w:r>
        <w:rPr>
          <w:rFonts w:eastAsia="Times New Roman"/>
          <w:b w:val="false"/>
          <w:i w:val="false"/>
          <w:sz w:val="24"/>
        </w:rPr>
        <w:t>Aplicar e avaliar técnicas de aprendizado de máquina para estimar a propensão à descontinuidade do acompanhamento pré-natal.</w:t>
      </w:r>
    </w:p>
    <w:p>
      <w:pPr>
        <w:pStyle w:val="Normal"/>
        <w:spacing w:lineRule="auto" w:line="360"/>
        <w:ind w:hanging="340" w:start="454"/>
        <w:rPr/>
      </w:pPr>
      <w:r>
        <w:rPr>
          <w:rFonts w:eastAsia="Times New Roman"/>
          <w:sz w:val="24"/>
        </w:rPr>
        <w:t xml:space="preserve">7. </w:t>
      </w:r>
      <w:r>
        <w:rPr>
          <w:rFonts w:eastAsia="Times New Roman"/>
          <w:b w:val="false"/>
          <w:i w:val="false"/>
          <w:sz w:val="24"/>
        </w:rPr>
        <w:t>Avaliar os modelos por métricas adequadas a classes desbalanceadas.</w:t>
      </w:r>
    </w:p>
    <w:p>
      <w:pPr>
        <w:pStyle w:val="Normal"/>
        <w:spacing w:lineRule="auto" w:line="360"/>
        <w:ind w:hanging="340" w:start="454"/>
        <w:rPr/>
      </w:pPr>
      <w:r>
        <w:rPr>
          <w:rFonts w:eastAsia="Times New Roman"/>
          <w:sz w:val="24"/>
        </w:rPr>
        <w:t xml:space="preserve">8. </w:t>
      </w:r>
      <w:r>
        <w:rPr>
          <w:rFonts w:eastAsia="Times New Roman"/>
          <w:b w:val="false"/>
          <w:i w:val="false"/>
          <w:sz w:val="24"/>
        </w:rPr>
        <w:t>Integrar o questionário dos Determinantes Sociais da Saúde ao serviço de API e ao modelo de aprendizado de máquina, estabelecendo o fluxo Flutter → API → ML para obtenção da estimativa experimental de propensão à descontinuidade do acompanhamento pré-natal.</w:t>
      </w:r>
    </w:p>
    <w:p>
      <w:pPr>
        <w:pStyle w:val="Heading2"/>
        <w:ind w:hanging="0"/>
        <w:jc w:val="start"/>
        <w:rPr/>
      </w:pPr>
      <w:bookmarkStart w:id="7" w:name="__RefHeading___Toc2171_3157870603"/>
      <w:bookmarkEnd w:id="7"/>
      <w:r>
        <w:rPr>
          <w:rFonts w:eastAsia="Times New Roman" w:ascii="Times New Roman" w:hAnsi="Times New Roman"/>
          <w:b/>
          <w:sz w:val="24"/>
        </w:rPr>
        <w:t>1.5 Estrutura do trabalho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>Além desta introdução, o trabalho organiza-se em cinco capítulos. O Capítulo 2 apresenta a fundamentação teórica, abordando o pré-natal e a saúde materna, os Determinantes Sociais da Saúde, a vulnerabilidade e os índices compostos, o aprendizado de máquina supervisionado e os trabalhos relacionados. O Capítulo 3 descreve a metodologia, abrangendo o tipo de pesquisa, as dimensões dos DSS adotadas, a construção do IV-DSS, a modelagem dos dados, a população e a variável-alvo, a geração do dataset sintético, a seleção de variáveis, os modelos, o treinamento e a validação, as métricas, o procedimento de validação da integração entre aplicativo, API e modelo, e os aspectos éticos e limitações. O Capítulo 4 detalha o desenvolvimento da solução, com a arquitetura e os eixos funcionais do aplicativo e a integração com a API e o modelo. O Capítulo 5 apresenta e discute os resultados experimentais e a validação da implementação de software. O Capítulo 6 conclui o trabalho, retomando os objetivos, sintetizando contribuições e limitações e indicando trabalhos futuros.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240"/>
        <w:ind w:hanging="0"/>
        <w:jc w:val="start"/>
        <w:rPr/>
      </w:pPr>
      <w:bookmarkStart w:id="8" w:name="__RefHeading___Toc2173_3157870603"/>
      <w:bookmarkEnd w:id="8"/>
      <w:r>
        <w:rPr>
          <w:rFonts w:eastAsia="Times New Roman" w:ascii="Times New Roman" w:hAnsi="Times New Roman"/>
          <w:b/>
          <w:sz w:val="24"/>
        </w:rPr>
        <w:t>2 FUNDAMENTAÇÃO TEÓRICA</w:t>
      </w:r>
    </w:p>
    <w:p>
      <w:pPr>
        <w:pStyle w:val="EditorialStatus"/>
        <w:rPr/>
      </w:pPr>
      <w:r>
        <w:rPr>
          <w:rFonts w:eastAsia="Times New Roman"/>
          <w:b w:val="false"/>
          <w:i/>
          <w:sz w:val="20"/>
        </w:rPr>
        <w:t>STATUS EDITORIAL — estrutura definida e cobertura bibliográfica validada; redação acadêmica detalhada será produzida após esta montagem inicial do DOCX.</w:t>
      </w:r>
    </w:p>
    <w:p>
      <w:pPr>
        <w:pStyle w:val="Heading2"/>
        <w:ind w:hanging="0"/>
        <w:jc w:val="start"/>
        <w:rPr/>
      </w:pPr>
      <w:bookmarkStart w:id="9" w:name="__RefHeading___Toc2175_3157870603"/>
      <w:bookmarkEnd w:id="9"/>
      <w:r>
        <w:rPr>
          <w:rFonts w:eastAsia="Times New Roman" w:ascii="Times New Roman" w:hAnsi="Times New Roman"/>
          <w:b/>
          <w:sz w:val="24"/>
        </w:rPr>
        <w:t>2.1 Pré-natal e saúde materna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>Esta subseção abordará organização do cuidado pré-natal, continuidade/adequação, saúde materna e contexto brasileiro, preservando as definições operacionais específicas de cada estudo.</w:t>
      </w:r>
    </w:p>
    <w:p>
      <w:pPr>
        <w:pStyle w:val="Heading2"/>
        <w:ind w:hanging="0"/>
        <w:jc w:val="start"/>
        <w:rPr/>
      </w:pPr>
      <w:bookmarkStart w:id="10" w:name="__RefHeading___Toc2177_3157870603"/>
      <w:bookmarkEnd w:id="10"/>
      <w:r>
        <w:rPr>
          <w:rFonts w:eastAsia="Times New Roman" w:ascii="Times New Roman" w:hAnsi="Times New Roman"/>
          <w:b/>
          <w:sz w:val="24"/>
        </w:rPr>
        <w:t>2.2 Determinantes Sociais da Saúde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>Esta subseção desenvolverá os referenciais de DSS, incluindo modelos conceituais, desigualdades e sua relação com o acompanhamento pré-natal.</w:t>
      </w:r>
    </w:p>
    <w:p>
      <w:pPr>
        <w:pStyle w:val="Heading2"/>
        <w:ind w:hanging="0"/>
        <w:jc w:val="start"/>
        <w:rPr/>
      </w:pPr>
      <w:bookmarkStart w:id="11" w:name="__RefHeading___Toc2179_3157870603"/>
      <w:bookmarkEnd w:id="11"/>
      <w:r>
        <w:rPr>
          <w:rFonts w:eastAsia="Times New Roman" w:ascii="Times New Roman" w:hAnsi="Times New Roman"/>
          <w:b/>
          <w:sz w:val="24"/>
        </w:rPr>
        <w:t>2.3 Vulnerabilidade e índices compostos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>Esta subseção diferenciará vulnerabilidade de risco e fundamentará a construção de índices compostos, com Ayres et al. e OECD/JRC entre as referências centrais.</w:t>
      </w:r>
    </w:p>
    <w:p>
      <w:pPr>
        <w:pStyle w:val="Heading2"/>
        <w:ind w:hanging="0"/>
        <w:jc w:val="start"/>
        <w:rPr/>
      </w:pPr>
      <w:bookmarkStart w:id="12" w:name="__RefHeading___Toc2181_3157870603"/>
      <w:bookmarkEnd w:id="12"/>
      <w:r>
        <w:rPr>
          <w:rFonts w:eastAsia="Times New Roman" w:ascii="Times New Roman" w:hAnsi="Times New Roman"/>
          <w:b/>
          <w:sz w:val="24"/>
        </w:rPr>
        <w:t>2.4 Aprendizado de máquina supervisionado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>Esta subseção apresentará classificação supervisionada, regressão logística, Random Forest, XGBoost, métricas para desbalanceamento, calibração e limites de uso em saúde.</w:t>
      </w:r>
    </w:p>
    <w:p>
      <w:pPr>
        <w:pStyle w:val="Heading2"/>
        <w:ind w:hanging="0"/>
        <w:jc w:val="start"/>
        <w:rPr/>
      </w:pPr>
      <w:bookmarkStart w:id="13" w:name="__RefHeading___Toc2183_3157870603"/>
      <w:bookmarkEnd w:id="13"/>
      <w:r>
        <w:rPr>
          <w:rFonts w:eastAsia="Times New Roman" w:ascii="Times New Roman" w:hAnsi="Times New Roman"/>
          <w:b/>
          <w:sz w:val="24"/>
        </w:rPr>
        <w:t>2.5 Trabalhos relacionados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>Esta subseção comparará o corpus selecionado de trabalhos relacionados a ML e pré-natal, sem alegação universal de ineditismo.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240"/>
        <w:ind w:hanging="0"/>
        <w:jc w:val="start"/>
        <w:rPr/>
      </w:pPr>
      <w:bookmarkStart w:id="14" w:name="__RefHeading___Toc2185_3157870603"/>
      <w:bookmarkEnd w:id="14"/>
      <w:r>
        <w:rPr>
          <w:rFonts w:eastAsia="Times New Roman" w:ascii="Times New Roman" w:hAnsi="Times New Roman"/>
          <w:b/>
          <w:sz w:val="24"/>
        </w:rPr>
        <w:t>3 METODOLOGIA</w:t>
      </w:r>
    </w:p>
    <w:p>
      <w:pPr>
        <w:pStyle w:val="EditorialStatus"/>
        <w:rPr/>
      </w:pPr>
      <w:r>
        <w:rPr>
          <w:rFonts w:eastAsia="Times New Roman"/>
          <w:b w:val="false"/>
          <w:i/>
          <w:sz w:val="20"/>
        </w:rPr>
        <w:t>STATUS EDITORIAL — conteúdo técnico consolidado incorporado do documento principal do projeto. A redação e as citações metodológicas ainda serão lapidadas antes do congelamento deste capítulo.</w:t>
      </w:r>
    </w:p>
    <w:p>
      <w:pPr>
        <w:pStyle w:val="Heading2"/>
        <w:ind w:hanging="0"/>
        <w:jc w:val="start"/>
        <w:rPr/>
      </w:pPr>
      <w:bookmarkStart w:id="15" w:name="__RefHeading___Toc2187_3157870603"/>
      <w:bookmarkEnd w:id="15"/>
      <w:r>
        <w:rPr>
          <w:rFonts w:eastAsia="Times New Roman" w:ascii="Times New Roman" w:hAnsi="Times New Roman"/>
          <w:b/>
          <w:sz w:val="24"/>
        </w:rPr>
        <w:t>3.1 Tipo de pesquisa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 xml:space="preserve">Pesquisa aplicada, de natureza experimental/quantitativa, com dados sintéticos (fase de validação técnica da metodologia). </w:t>
      </w:r>
      <w:r>
        <w:rPr>
          <w:rFonts w:eastAsia="Times New Roman"/>
          <w:b/>
          <w:i w:val="false"/>
          <w:sz w:val="24"/>
        </w:rPr>
        <w:t>[DECISÃO DO AUTOR]</w:t>
      </w:r>
      <w:r>
        <w:rPr>
          <w:rFonts w:eastAsia="Times New Roman"/>
          <w:b w:val="false"/>
          <w:i w:val="false"/>
          <w:sz w:val="24"/>
        </w:rPr>
        <w:t xml:space="preserve"> — refinamento do enquadramento no texto final.</w:t>
      </w:r>
    </w:p>
    <w:p>
      <w:pPr>
        <w:pStyle w:val="Heading2"/>
        <w:ind w:hanging="0"/>
        <w:jc w:val="start"/>
        <w:rPr/>
      </w:pPr>
      <w:bookmarkStart w:id="16" w:name="__RefHeading___Toc2189_3157870603"/>
      <w:bookmarkEnd w:id="16"/>
      <w:r>
        <w:rPr>
          <w:rFonts w:eastAsia="Times New Roman" w:ascii="Times New Roman" w:hAnsi="Times New Roman"/>
          <w:b/>
          <w:sz w:val="24"/>
        </w:rPr>
        <w:t>3.2 Determinantes Sociais da Saúde utilizados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 xml:space="preserve">O instrumento coleta </w:t>
      </w:r>
      <w:r>
        <w:rPr>
          <w:rFonts w:eastAsia="Times New Roman"/>
          <w:b/>
          <w:i w:val="false"/>
          <w:sz w:val="24"/>
        </w:rPr>
        <w:t>seis dimensões</w:t>
      </w:r>
      <w:r>
        <w:rPr>
          <w:rFonts w:eastAsia="Times New Roman"/>
          <w:b w:val="false"/>
          <w:i w:val="false"/>
          <w:sz w:val="24"/>
        </w:rPr>
        <w:t xml:space="preserve"> e </w:t>
      </w:r>
      <w:r>
        <w:rPr>
          <w:rFonts w:eastAsia="Times New Roman"/>
          <w:b/>
          <w:i w:val="false"/>
          <w:sz w:val="24"/>
        </w:rPr>
        <w:t>48 variáveis</w:t>
      </w:r>
      <w:r>
        <w:rPr>
          <w:rFonts w:eastAsia="Times New Roman"/>
          <w:b w:val="false"/>
          <w:i w:val="false"/>
          <w:sz w:val="24"/>
        </w:rPr>
        <w:t>:</w:t>
      </w:r>
    </w:p>
    <w:p>
      <w:pPr>
        <w:pStyle w:val="Normal"/>
        <w:spacing w:lineRule="auto" w:line="360"/>
        <w:ind w:hanging="340" w:start="454"/>
        <w:rPr/>
      </w:pPr>
      <w:r>
        <w:rPr>
          <w:rFonts w:eastAsia="Times New Roman"/>
          <w:sz w:val="24"/>
        </w:rPr>
        <w:t xml:space="preserve">1. </w:t>
      </w:r>
      <w:r>
        <w:rPr>
          <w:rFonts w:eastAsia="Times New Roman"/>
          <w:b/>
          <w:i w:val="false"/>
          <w:sz w:val="24"/>
        </w:rPr>
        <w:t>Educação</w:t>
      </w:r>
    </w:p>
    <w:p>
      <w:pPr>
        <w:pStyle w:val="Normal"/>
        <w:spacing w:lineRule="auto" w:line="360"/>
        <w:ind w:hanging="340" w:start="454"/>
        <w:rPr/>
      </w:pPr>
      <w:r>
        <w:rPr>
          <w:rFonts w:eastAsia="Times New Roman"/>
          <w:sz w:val="24"/>
        </w:rPr>
        <w:t xml:space="preserve">2. </w:t>
      </w:r>
      <w:r>
        <w:rPr>
          <w:rFonts w:eastAsia="Times New Roman"/>
          <w:b/>
          <w:i w:val="false"/>
          <w:sz w:val="24"/>
        </w:rPr>
        <w:t>Trabalho e renda</w:t>
      </w:r>
    </w:p>
    <w:p>
      <w:pPr>
        <w:pStyle w:val="Normal"/>
        <w:spacing w:lineRule="auto" w:line="360"/>
        <w:ind w:hanging="340" w:start="454"/>
        <w:rPr/>
      </w:pPr>
      <w:r>
        <w:rPr>
          <w:rFonts w:eastAsia="Times New Roman"/>
          <w:sz w:val="24"/>
        </w:rPr>
        <w:t xml:space="preserve">3. </w:t>
      </w:r>
      <w:r>
        <w:rPr>
          <w:rFonts w:eastAsia="Times New Roman"/>
          <w:b/>
          <w:i w:val="false"/>
          <w:sz w:val="24"/>
        </w:rPr>
        <w:t>Saneamento</w:t>
      </w:r>
    </w:p>
    <w:p>
      <w:pPr>
        <w:pStyle w:val="Normal"/>
        <w:spacing w:lineRule="auto" w:line="360"/>
        <w:ind w:hanging="340" w:start="454"/>
        <w:rPr/>
      </w:pPr>
      <w:r>
        <w:rPr>
          <w:rFonts w:eastAsia="Times New Roman"/>
          <w:sz w:val="24"/>
        </w:rPr>
        <w:t xml:space="preserve">4. </w:t>
      </w:r>
      <w:r>
        <w:rPr>
          <w:rFonts w:eastAsia="Times New Roman"/>
          <w:b/>
          <w:i w:val="false"/>
          <w:sz w:val="24"/>
        </w:rPr>
        <w:t>Acesso aos serviços de saúde</w:t>
      </w:r>
    </w:p>
    <w:p>
      <w:pPr>
        <w:pStyle w:val="Normal"/>
        <w:spacing w:lineRule="auto" w:line="360"/>
        <w:ind w:hanging="340" w:start="454"/>
        <w:rPr/>
      </w:pPr>
      <w:r>
        <w:rPr>
          <w:rFonts w:eastAsia="Times New Roman"/>
          <w:sz w:val="24"/>
        </w:rPr>
        <w:t xml:space="preserve">5. </w:t>
      </w:r>
      <w:r>
        <w:rPr>
          <w:rFonts w:eastAsia="Times New Roman"/>
          <w:b/>
          <w:i w:val="false"/>
          <w:sz w:val="24"/>
        </w:rPr>
        <w:t>Habitação</w:t>
      </w:r>
    </w:p>
    <w:p>
      <w:pPr>
        <w:pStyle w:val="Normal"/>
        <w:spacing w:lineRule="auto" w:line="360"/>
        <w:ind w:hanging="340" w:start="454"/>
        <w:rPr/>
      </w:pPr>
      <w:r>
        <w:rPr>
          <w:rFonts w:eastAsia="Times New Roman"/>
          <w:sz w:val="24"/>
        </w:rPr>
        <w:t xml:space="preserve">6. </w:t>
      </w:r>
      <w:r>
        <w:rPr>
          <w:rFonts w:eastAsia="Times New Roman"/>
          <w:b/>
          <w:i w:val="false"/>
          <w:sz w:val="24"/>
        </w:rPr>
        <w:t>Alimentação</w:t>
      </w:r>
    </w:p>
    <w:p>
      <w:pPr>
        <w:pStyle w:val="EditorialStatus"/>
        <w:rPr/>
      </w:pPr>
      <w:r>
        <w:rPr>
          <w:rFonts w:eastAsia="Times New Roman"/>
          <w:b/>
          <w:i/>
          <w:sz w:val="20"/>
        </w:rPr>
        <w:t>Observação de nomenclatura:</w:t>
      </w:r>
      <w:r>
        <w:rPr>
          <w:rFonts w:eastAsia="Times New Roman"/>
          <w:b w:val="false"/>
          <w:i/>
          <w:sz w:val="20"/>
        </w:rPr>
        <w:t xml:space="preserve"> o formulário possui uma dimensão denominada</w:t>
      </w:r>
    </w:p>
    <w:p>
      <w:pPr>
        <w:pStyle w:val="EditorialStatus"/>
        <w:rPr/>
      </w:pPr>
      <w:r>
        <w:rPr>
          <w:rFonts w:eastAsia="Times New Roman"/>
          <w:b w:val="false"/>
          <w:i/>
          <w:sz w:val="20"/>
        </w:rPr>
        <w:t>"Saúde", porém, após a exclusão das variáveis relacionadas à adesão/desfecho</w:t>
      </w:r>
    </w:p>
    <w:p>
      <w:pPr>
        <w:pStyle w:val="EditorialStatus"/>
        <w:rPr/>
      </w:pPr>
      <w:r>
        <w:rPr>
          <w:rFonts w:eastAsia="Times New Roman"/>
          <w:b w:val="false"/>
          <w:i/>
          <w:sz w:val="20"/>
        </w:rPr>
        <w:t>(ver 4.7), o IV-DSS e o modelo utilizam apenas os indicadores relacionados ao</w:t>
      </w:r>
    </w:p>
    <w:p>
      <w:pPr>
        <w:pStyle w:val="EditorialStatus"/>
        <w:rPr/>
      </w:pPr>
      <w:r>
        <w:rPr>
          <w:rFonts w:eastAsia="Times New Roman"/>
          <w:b/>
          <w:i/>
          <w:sz w:val="20"/>
        </w:rPr>
        <w:t>acesso</w:t>
      </w:r>
      <w:r>
        <w:rPr>
          <w:rFonts w:eastAsia="Times New Roman"/>
          <w:b w:val="false"/>
          <w:i/>
          <w:sz w:val="20"/>
        </w:rPr>
        <w:t xml:space="preserve"> aos serviços de saúde. Isso evita a interpretação de que o índice</w:t>
      </w:r>
    </w:p>
    <w:p>
      <w:pPr>
        <w:pStyle w:val="EditorialStatus"/>
        <w:rPr/>
      </w:pPr>
      <w:r>
        <w:rPr>
          <w:rFonts w:eastAsia="Times New Roman"/>
          <w:b w:val="false"/>
          <w:i/>
          <w:sz w:val="20"/>
        </w:rPr>
        <w:t xml:space="preserve">mede qualidade ou adesão ao pré-natal — ele mede </w:t>
      </w:r>
      <w:r>
        <w:rPr>
          <w:rFonts w:eastAsia="Times New Roman"/>
          <w:b/>
          <w:i/>
          <w:sz w:val="20"/>
        </w:rPr>
        <w:t>vulnerabilidade de acesso</w:t>
      </w:r>
      <w:r>
        <w:rPr>
          <w:rFonts w:eastAsia="Times New Roman"/>
          <w:b w:val="false"/>
          <w:i/>
          <w:sz w:val="20"/>
        </w:rPr>
        <w:t>.</w:t>
      </w:r>
    </w:p>
    <w:p>
      <w:pPr>
        <w:pStyle w:val="Heading2"/>
        <w:ind w:hanging="0"/>
        <w:jc w:val="start"/>
        <w:rPr/>
      </w:pPr>
      <w:bookmarkStart w:id="17" w:name="__RefHeading___Toc2191_3157870603"/>
      <w:bookmarkEnd w:id="17"/>
      <w:r>
        <w:rPr>
          <w:rFonts w:eastAsia="Times New Roman" w:ascii="Times New Roman" w:hAnsi="Times New Roman"/>
          <w:b/>
          <w:sz w:val="24"/>
        </w:rPr>
        <w:t>3.3 Construção do Índice de Vulnerabilidade dos DSS (IV-DSS)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 xml:space="preserve">O </w:t>
      </w:r>
      <w:r>
        <w:rPr>
          <w:rFonts w:eastAsia="Times New Roman"/>
          <w:b/>
          <w:i w:val="false"/>
          <w:sz w:val="24"/>
        </w:rPr>
        <w:t>IV-DSS</w:t>
      </w:r>
      <w:r>
        <w:rPr>
          <w:rFonts w:eastAsia="Times New Roman"/>
          <w:b w:val="false"/>
          <w:i w:val="false"/>
          <w:sz w:val="24"/>
        </w:rPr>
        <w:t xml:space="preserve"> é uma </w:t>
      </w:r>
      <w:r>
        <w:rPr>
          <w:rFonts w:eastAsia="Times New Roman"/>
          <w:b/>
          <w:i w:val="false"/>
          <w:sz w:val="24"/>
        </w:rPr>
        <w:t>medida agregada de caracterização</w:t>
      </w:r>
      <w:r>
        <w:rPr>
          <w:rFonts w:eastAsia="Times New Roman"/>
          <w:b w:val="false"/>
          <w:i w:val="false"/>
          <w:sz w:val="24"/>
        </w:rPr>
        <w:t xml:space="preserve"> da vulnerabilidade social dos perfis representados no dataset sintético. É um </w:t>
      </w:r>
      <w:r>
        <w:rPr>
          <w:rFonts w:eastAsia="Times New Roman"/>
          <w:b/>
          <w:i w:val="false"/>
          <w:sz w:val="24"/>
        </w:rPr>
        <w:t>índice descritivo experimental</w:t>
      </w:r>
      <w:r>
        <w:rPr>
          <w:rFonts w:eastAsia="Times New Roman"/>
          <w:b w:val="false"/>
          <w:i w:val="false"/>
          <w:sz w:val="24"/>
        </w:rPr>
        <w:t xml:space="preserve">: não é um instrumento validado, nem escala diagnóstica, nem índice epidemiologicamente validado. </w:t>
      </w:r>
      <w:r>
        <w:rPr>
          <w:rFonts w:eastAsia="Times New Roman"/>
          <w:b/>
          <w:i w:val="false"/>
          <w:sz w:val="24"/>
        </w:rPr>
        <w:t>Não é</w:t>
      </w:r>
      <w:r>
        <w:rPr>
          <w:rFonts w:eastAsia="Times New Roman"/>
          <w:b w:val="false"/>
          <w:i w:val="false"/>
          <w:sz w:val="24"/>
        </w:rPr>
        <w:t xml:space="preserve"> variável-alvo e </w:t>
      </w:r>
      <w:r>
        <w:rPr>
          <w:rFonts w:eastAsia="Times New Roman"/>
          <w:b/>
          <w:i w:val="false"/>
          <w:sz w:val="24"/>
        </w:rPr>
        <w:t>não é</w:t>
      </w:r>
      <w:r>
        <w:rPr>
          <w:rFonts w:eastAsia="Times New Roman"/>
          <w:b w:val="false"/>
          <w:i w:val="false"/>
          <w:sz w:val="24"/>
        </w:rPr>
        <w:t xml:space="preserve"> sinônimo de risco de descontinuidade. A especificação técnica completa encontra-se em </w:t>
      </w:r>
      <w:r>
        <w:rPr>
          <w:rFonts w:eastAsia="Courier New" w:ascii="Courier New" w:hAnsi="Courier New"/>
          <w:b w:val="false"/>
          <w:i w:val="false"/>
          <w:sz w:val="22"/>
        </w:rPr>
        <w:t>docs/planejamento_dataset_sintetico.md</w:t>
      </w:r>
      <w:r>
        <w:rPr>
          <w:rFonts w:eastAsia="Times New Roman"/>
          <w:b w:val="false"/>
          <w:i w:val="false"/>
          <w:sz w:val="24"/>
        </w:rPr>
        <w:t>.</w:t>
      </w:r>
    </w:p>
    <w:p>
      <w:pPr>
        <w:pStyle w:val="Heading3"/>
        <w:ind w:hanging="0"/>
        <w:jc w:val="start"/>
        <w:rPr/>
      </w:pPr>
      <w:bookmarkStart w:id="18" w:name="__RefHeading___Toc2193_3157870603"/>
      <w:bookmarkEnd w:id="18"/>
      <w:r>
        <w:rPr>
          <w:rFonts w:eastAsia="Times New Roman" w:ascii="Times New Roman" w:hAnsi="Times New Roman"/>
          <w:b/>
          <w:sz w:val="24"/>
        </w:rPr>
        <w:t>3.3.1 Definição conceitual</w:t>
      </w:r>
    </w:p>
    <w:p>
      <w:pPr>
        <w:pStyle w:val="CodeBlock"/>
        <w:shd w:fill="F2F2F2"/>
        <w:rPr/>
      </w:pPr>
      <w:r>
        <w:rPr>
          <w:rFonts w:eastAsia="Courier New"/>
          <w:sz w:val="18"/>
        </w:rPr>
        <w:t xml:space="preserve">          </w:t>
      </w:r>
      <w:r>
        <w:rPr>
          <w:rFonts w:eastAsia="Courier New"/>
          <w:sz w:val="18"/>
        </w:rPr>
        <w:t>DSS</w:t>
        <w:br/>
        <w:t xml:space="preserve">           │</w:t>
        <w:br/>
        <w:t xml:space="preserve">           ├──→ IV-DSS</w:t>
        <w:br/>
        <w:t xml:space="preserve">           │        └── caracteriza o nível agregado de vulnerabilidade social</w:t>
        <w:br/>
        <w:t xml:space="preserve">           │</w:t>
        <w:br/>
        <w:t xml:space="preserve">           └──→ Modelo de ML</w:t>
        <w:br/>
        <w:t xml:space="preserve">                    └── estima a propensão à descontinuidade do pré-natal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/>
          <w:i w:val="false"/>
          <w:sz w:val="24"/>
        </w:rPr>
        <w:t>IV-DSS ≠ probabilidade de descontinuidade.</w:t>
      </w:r>
      <w:r>
        <w:rPr>
          <w:rFonts w:eastAsia="Times New Roman"/>
          <w:b w:val="false"/>
          <w:i w:val="false"/>
          <w:sz w:val="24"/>
        </w:rPr>
        <w:t xml:space="preserve"> O índice responde a _"qual o nível de vulnerabilidade social da gestante segundo os DSS?"_; o modelo responde a _"qual a propensão à descontinuidade do pré-natal?"_.</w:t>
      </w:r>
    </w:p>
    <w:p>
      <w:pPr>
        <w:pStyle w:val="Heading3"/>
        <w:ind w:hanging="0"/>
        <w:jc w:val="start"/>
        <w:rPr/>
      </w:pPr>
      <w:bookmarkStart w:id="19" w:name="__RefHeading___Toc2195_3157870603"/>
      <w:bookmarkEnd w:id="19"/>
      <w:r>
        <w:rPr>
          <w:rFonts w:eastAsia="Times New Roman" w:ascii="Times New Roman" w:hAnsi="Times New Roman"/>
          <w:b/>
          <w:sz w:val="24"/>
        </w:rPr>
        <w:t>3.3.2 Estrutura (três níveis de agregação)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Times New Roman"/>
          <w:b/>
          <w:i w:val="false"/>
          <w:sz w:val="24"/>
        </w:rPr>
        <w:t>Nível 1 — indicador → escore:</w:t>
      </w:r>
      <w:r>
        <w:rPr>
          <w:rFonts w:eastAsia="Times New Roman"/>
          <w:b w:val="false"/>
          <w:i w:val="false"/>
          <w:sz w:val="24"/>
        </w:rPr>
        <w:t xml:space="preserve"> cada indicador selecionado é transformado em um escore de vulnerabilidade </w:t>
      </w:r>
      <w:r>
        <w:rPr>
          <w:rFonts w:eastAsia="Courier New" w:ascii="Courier New" w:hAnsi="Courier New"/>
          <w:b w:val="false"/>
          <w:i w:val="false"/>
          <w:sz w:val="22"/>
        </w:rPr>
        <w:t>v_i ∈ [0,1]</w:t>
      </w:r>
      <w:r>
        <w:rPr>
          <w:rFonts w:eastAsia="Times New Roman"/>
          <w:b w:val="false"/>
          <w:i w:val="false"/>
          <w:sz w:val="24"/>
        </w:rPr>
        <w:t xml:space="preserve">, onde </w:t>
      </w:r>
      <w:r>
        <w:rPr>
          <w:rFonts w:eastAsia="Times New Roman"/>
          <w:b/>
          <w:i w:val="false"/>
          <w:sz w:val="24"/>
        </w:rPr>
        <w:t>0 = menor vulnerabilidade</w:t>
      </w:r>
      <w:r>
        <w:rPr>
          <w:rFonts w:eastAsia="Times New Roman"/>
          <w:b w:val="false"/>
          <w:i w:val="false"/>
          <w:sz w:val="24"/>
        </w:rPr>
        <w:t xml:space="preserve"> e </w:t>
      </w:r>
      <w:r>
        <w:rPr>
          <w:rFonts w:eastAsia="Times New Roman"/>
          <w:b/>
          <w:i w:val="false"/>
          <w:sz w:val="24"/>
        </w:rPr>
        <w:t>1 = maior vulnerabilidade</w:t>
      </w:r>
      <w:r>
        <w:rPr>
          <w:rFonts w:eastAsia="Times New Roman"/>
          <w:b w:val="false"/>
          <w:i w:val="false"/>
          <w:sz w:val="24"/>
        </w:rPr>
        <w:t>, segundo a operacionalização adotada.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Times New Roman"/>
          <w:b/>
          <w:i w:val="false"/>
          <w:sz w:val="24"/>
        </w:rPr>
        <w:t>Nível 2 — dimensão:</w:t>
      </w:r>
      <w:r>
        <w:rPr>
          <w:rFonts w:eastAsia="Times New Roman"/>
          <w:b w:val="false"/>
          <w:i w:val="false"/>
          <w:sz w:val="24"/>
        </w:rPr>
        <w:t xml:space="preserve"> </w:t>
      </w:r>
      <w:r>
        <w:rPr>
          <w:rFonts w:eastAsia="Courier New" w:ascii="Courier New" w:hAnsi="Courier New"/>
          <w:b w:val="false"/>
          <w:i w:val="false"/>
          <w:sz w:val="22"/>
        </w:rPr>
        <w:t>D_d</w:t>
      </w:r>
      <w:r>
        <w:rPr>
          <w:rFonts w:eastAsia="Times New Roman"/>
          <w:b w:val="false"/>
          <w:i w:val="false"/>
          <w:sz w:val="24"/>
        </w:rPr>
        <w:t xml:space="preserve"> agrega os escores dos indicadores </w:t>
      </w:r>
      <w:r>
        <w:rPr>
          <w:rFonts w:eastAsia="Times New Roman"/>
          <w:b/>
          <w:i w:val="false"/>
          <w:sz w:val="24"/>
        </w:rPr>
        <w:t>válidos</w:t>
      </w:r>
      <w:r>
        <w:rPr>
          <w:rFonts w:eastAsia="Times New Roman"/>
          <w:b w:val="false"/>
          <w:i w:val="false"/>
          <w:sz w:val="24"/>
        </w:rPr>
        <w:t xml:space="preserve"> da dimensão </w:t>
      </w:r>
      <w:r>
        <w:rPr>
          <w:rFonts w:eastAsia="Courier New" w:ascii="Courier New" w:hAnsi="Courier New"/>
          <w:b w:val="false"/>
          <w:i w:val="false"/>
          <w:sz w:val="22"/>
        </w:rPr>
        <w:t>d</w:t>
      </w:r>
      <w:r>
        <w:rPr>
          <w:rFonts w:eastAsia="Times New Roman"/>
          <w:b w:val="false"/>
          <w:i w:val="false"/>
          <w:sz w:val="24"/>
        </w:rPr>
        <w:t>.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Times New Roman"/>
          <w:b/>
          <w:i w:val="false"/>
          <w:sz w:val="24"/>
        </w:rPr>
        <w:t>Nível 3 — índice:</w:t>
      </w:r>
      <w:r>
        <w:rPr>
          <w:rFonts w:eastAsia="Times New Roman"/>
          <w:b w:val="false"/>
          <w:i w:val="false"/>
          <w:sz w:val="24"/>
        </w:rPr>
        <w:t xml:space="preserve"> média aritmética das seis dimensões, com </w:t>
      </w:r>
      <w:r>
        <w:rPr>
          <w:rFonts w:eastAsia="Times New Roman"/>
          <w:b/>
          <w:i w:val="false"/>
          <w:sz w:val="24"/>
        </w:rPr>
        <w:t>pesos iguais</w:t>
      </w:r>
      <w:r>
        <w:rPr>
          <w:rFonts w:eastAsia="Times New Roman"/>
          <w:b w:val="false"/>
          <w:i w:val="false"/>
          <w:sz w:val="24"/>
        </w:rPr>
        <w:t>.</w:t>
      </w:r>
    </w:p>
    <w:p>
      <w:pPr>
        <w:pStyle w:val="CodeBlock"/>
        <w:shd w:fill="F2F2F2"/>
        <w:rPr/>
      </w:pPr>
      <w:r>
        <w:rPr>
          <w:rFonts w:eastAsia="Courier New"/>
          <w:sz w:val="18"/>
        </w:rPr>
        <w:t>D_d     = agregação dos v_i válidos da dimensão d</w:t>
        <w:br/>
        <w:br/>
        <w:t>IV-DSS  = (1/6) · Σ_{d=1}^{6} D_d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>onde: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Courier New" w:ascii="Courier New" w:hAnsi="Courier New"/>
          <w:b w:val="false"/>
          <w:i w:val="false"/>
          <w:sz w:val="22"/>
        </w:rPr>
        <w:t>v_i</w:t>
      </w:r>
      <w:r>
        <w:rPr>
          <w:rFonts w:eastAsia="Times New Roman"/>
          <w:b w:val="false"/>
          <w:i w:val="false"/>
          <w:sz w:val="24"/>
        </w:rPr>
        <w:t xml:space="preserve"> = escore de vulnerabilidade do indicador </w:t>
      </w:r>
      <w:r>
        <w:rPr>
          <w:rFonts w:eastAsia="Courier New" w:ascii="Courier New" w:hAnsi="Courier New"/>
          <w:b w:val="false"/>
          <w:i w:val="false"/>
          <w:sz w:val="22"/>
        </w:rPr>
        <w:t>i</w:t>
      </w:r>
      <w:r>
        <w:rPr>
          <w:rFonts w:eastAsia="Times New Roman"/>
          <w:b w:val="false"/>
          <w:i w:val="false"/>
          <w:sz w:val="24"/>
        </w:rPr>
        <w:t>;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Courier New" w:ascii="Courier New" w:hAnsi="Courier New"/>
          <w:b w:val="false"/>
          <w:i w:val="false"/>
          <w:sz w:val="22"/>
        </w:rPr>
        <w:t>D_d</w:t>
      </w:r>
      <w:r>
        <w:rPr>
          <w:rFonts w:eastAsia="Times New Roman"/>
          <w:b w:val="false"/>
          <w:i w:val="false"/>
          <w:sz w:val="24"/>
        </w:rPr>
        <w:t xml:space="preserve"> = escore da dimensão </w:t>
      </w:r>
      <w:r>
        <w:rPr>
          <w:rFonts w:eastAsia="Courier New" w:ascii="Courier New" w:hAnsi="Courier New"/>
          <w:b w:val="false"/>
          <w:i w:val="false"/>
          <w:sz w:val="22"/>
        </w:rPr>
        <w:t>d</w:t>
      </w:r>
      <w:r>
        <w:rPr>
          <w:rFonts w:eastAsia="Times New Roman"/>
          <w:b w:val="false"/>
          <w:i w:val="false"/>
          <w:sz w:val="24"/>
        </w:rPr>
        <w:t>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/>
          <w:i w:val="false"/>
          <w:sz w:val="24"/>
        </w:rPr>
        <w:t>Regras de separação entre ML e IV-DSS: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Times New Roman"/>
          <w:b/>
          <w:i w:val="false"/>
          <w:sz w:val="24"/>
        </w:rPr>
        <w:t>NÃO</w:t>
      </w:r>
      <w:r>
        <w:rPr>
          <w:rFonts w:eastAsia="Times New Roman"/>
          <w:b w:val="false"/>
          <w:i w:val="false"/>
          <w:sz w:val="24"/>
        </w:rPr>
        <w:t xml:space="preserve"> usar IV-DSS como target;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Times New Roman"/>
          <w:b/>
          <w:i w:val="false"/>
          <w:sz w:val="24"/>
        </w:rPr>
        <w:t>NÃO</w:t>
      </w:r>
      <w:r>
        <w:rPr>
          <w:rFonts w:eastAsia="Times New Roman"/>
          <w:b w:val="false"/>
          <w:i w:val="false"/>
          <w:sz w:val="24"/>
        </w:rPr>
        <w:t xml:space="preserve"> usar IV-DSS para gerar Y;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Times New Roman"/>
          <w:b/>
          <w:i w:val="false"/>
          <w:sz w:val="24"/>
        </w:rPr>
        <w:t>NÃO</w:t>
      </w:r>
      <w:r>
        <w:rPr>
          <w:rFonts w:eastAsia="Times New Roman"/>
          <w:b w:val="false"/>
          <w:i w:val="false"/>
          <w:sz w:val="24"/>
        </w:rPr>
        <w:t xml:space="preserve"> usar IV-DSS como feature principal do ML;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Times New Roman"/>
          <w:b w:val="false"/>
          <w:i w:val="false"/>
          <w:sz w:val="24"/>
        </w:rPr>
        <w:t xml:space="preserve">o IV-DSS poderá ser analisado em relação às previsões e ao Y, mas é calculado de forma </w:t>
      </w:r>
      <w:r>
        <w:rPr>
          <w:rFonts w:eastAsia="Times New Roman"/>
          <w:b/>
          <w:i w:val="false"/>
          <w:sz w:val="24"/>
        </w:rPr>
        <w:t>independente</w:t>
      </w:r>
      <w:r>
        <w:rPr>
          <w:rFonts w:eastAsia="Times New Roman"/>
          <w:b w:val="false"/>
          <w:i w:val="false"/>
          <w:sz w:val="24"/>
        </w:rPr>
        <w:t>.</w:t>
      </w:r>
    </w:p>
    <w:p>
      <w:pPr>
        <w:pStyle w:val="Heading3"/>
        <w:ind w:hanging="0"/>
        <w:jc w:val="start"/>
        <w:rPr/>
      </w:pPr>
      <w:bookmarkStart w:id="20" w:name="__RefHeading___Toc2197_3157870603"/>
      <w:bookmarkEnd w:id="20"/>
      <w:r>
        <w:rPr>
          <w:rFonts w:eastAsia="Times New Roman" w:ascii="Times New Roman" w:hAnsi="Times New Roman"/>
          <w:b/>
          <w:sz w:val="24"/>
        </w:rPr>
        <w:t>3.3.3 Indicadores e escores por dimensão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/>
          <w:i w:val="false"/>
          <w:sz w:val="24"/>
        </w:rPr>
        <w:t>D_educacao</w:t>
      </w:r>
      <w:r>
        <w:rPr>
          <w:rFonts w:eastAsia="Times New Roman"/>
          <w:b w:val="false"/>
          <w:i w:val="false"/>
          <w:sz w:val="24"/>
        </w:rPr>
        <w:t xml:space="preserve"> — indicador </w:t>
      </w:r>
      <w:r>
        <w:rPr>
          <w:rFonts w:eastAsia="Courier New" w:ascii="Courier New" w:hAnsi="Courier New"/>
          <w:b w:val="false"/>
          <w:i w:val="false"/>
          <w:sz w:val="22"/>
        </w:rPr>
        <w:t>escolaridade</w:t>
      </w:r>
      <w:r>
        <w:rPr>
          <w:rFonts w:eastAsia="Times New Roman"/>
          <w:b w:val="false"/>
          <w:i w:val="false"/>
          <w:sz w:val="24"/>
        </w:rPr>
        <w:t xml:space="preserve"> (normalização ordinal, intervalos iguais operacionais):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Courier New" w:ascii="Courier New" w:hAnsi="Courier New"/>
          <w:b w:val="false"/>
          <w:i w:val="false"/>
          <w:sz w:val="22"/>
        </w:rPr>
        <w:t>sem_instrucao</w:t>
      </w:r>
      <w:r>
        <w:rPr>
          <w:rFonts w:eastAsia="Times New Roman"/>
          <w:b w:val="false"/>
          <w:i w:val="false"/>
          <w:sz w:val="24"/>
        </w:rPr>
        <w:t xml:space="preserve"> = 1.00 · </w:t>
      </w:r>
      <w:r>
        <w:rPr>
          <w:rFonts w:eastAsia="Courier New" w:ascii="Courier New" w:hAnsi="Courier New"/>
          <w:b w:val="false"/>
          <w:i w:val="false"/>
          <w:sz w:val="22"/>
        </w:rPr>
        <w:t>fundamental_incompleto</w:t>
      </w:r>
      <w:r>
        <w:rPr>
          <w:rFonts w:eastAsia="Times New Roman"/>
          <w:b w:val="false"/>
          <w:i w:val="false"/>
          <w:sz w:val="24"/>
        </w:rPr>
        <w:t xml:space="preserve"> = 0.83 · </w:t>
      </w:r>
      <w:r>
        <w:rPr>
          <w:rFonts w:eastAsia="Courier New" w:ascii="Courier New" w:hAnsi="Courier New"/>
          <w:b w:val="false"/>
          <w:i w:val="false"/>
          <w:sz w:val="22"/>
        </w:rPr>
        <w:t>fundamental_completo</w:t>
      </w:r>
      <w:r>
        <w:rPr>
          <w:rFonts w:eastAsia="Times New Roman"/>
          <w:b w:val="false"/>
          <w:i w:val="false"/>
          <w:sz w:val="24"/>
        </w:rPr>
        <w:t xml:space="preserve"> = 0.67 · </w:t>
      </w:r>
      <w:r>
        <w:rPr>
          <w:rFonts w:eastAsia="Courier New" w:ascii="Courier New" w:hAnsi="Courier New"/>
          <w:b w:val="false"/>
          <w:i w:val="false"/>
          <w:sz w:val="22"/>
        </w:rPr>
        <w:t>medio_incompleto</w:t>
      </w:r>
      <w:r>
        <w:rPr>
          <w:rFonts w:eastAsia="Times New Roman"/>
          <w:b w:val="false"/>
          <w:i w:val="false"/>
          <w:sz w:val="24"/>
        </w:rPr>
        <w:t xml:space="preserve"> = 0.50 · </w:t>
      </w:r>
      <w:r>
        <w:rPr>
          <w:rFonts w:eastAsia="Courier New" w:ascii="Courier New" w:hAnsi="Courier New"/>
          <w:b w:val="false"/>
          <w:i w:val="false"/>
          <w:sz w:val="22"/>
        </w:rPr>
        <w:t>medio_completo</w:t>
      </w:r>
      <w:r>
        <w:rPr>
          <w:rFonts w:eastAsia="Times New Roman"/>
          <w:b w:val="false"/>
          <w:i w:val="false"/>
          <w:sz w:val="24"/>
        </w:rPr>
        <w:t xml:space="preserve"> = 0.33 · </w:t>
      </w:r>
      <w:r>
        <w:rPr>
          <w:rFonts w:eastAsia="Courier New" w:ascii="Courier New" w:hAnsi="Courier New"/>
          <w:b w:val="false"/>
          <w:i w:val="false"/>
          <w:sz w:val="22"/>
        </w:rPr>
        <w:t>superior_incompleto</w:t>
      </w:r>
      <w:r>
        <w:rPr>
          <w:rFonts w:eastAsia="Times New Roman"/>
          <w:b w:val="false"/>
          <w:i w:val="false"/>
          <w:sz w:val="24"/>
        </w:rPr>
        <w:t xml:space="preserve"> = 0.17 · </w:t>
      </w:r>
      <w:r>
        <w:rPr>
          <w:rFonts w:eastAsia="Courier New" w:ascii="Courier New" w:hAnsi="Courier New"/>
          <w:b w:val="false"/>
          <w:i w:val="false"/>
          <w:sz w:val="22"/>
        </w:rPr>
        <w:t>superior_completo</w:t>
      </w:r>
      <w:r>
        <w:rPr>
          <w:rFonts w:eastAsia="Times New Roman"/>
          <w:b w:val="false"/>
          <w:i w:val="false"/>
          <w:sz w:val="24"/>
        </w:rPr>
        <w:t xml:space="preserve"> = 0.00.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/>
          <w:i w:val="false"/>
          <w:sz w:val="24"/>
        </w:rPr>
        <w:t>D_trabalho_renda</w:t>
      </w:r>
      <w:r>
        <w:rPr>
          <w:rFonts w:eastAsia="Times New Roman"/>
          <w:b w:val="false"/>
          <w:i w:val="false"/>
          <w:sz w:val="24"/>
        </w:rPr>
        <w:t xml:space="preserve"> — indicador </w:t>
      </w:r>
      <w:r>
        <w:rPr>
          <w:rFonts w:eastAsia="Courier New" w:ascii="Courier New" w:hAnsi="Courier New"/>
          <w:b w:val="false"/>
          <w:i w:val="false"/>
          <w:sz w:val="22"/>
        </w:rPr>
        <w:t>faixa_renda</w:t>
      </w:r>
      <w:r>
        <w:rPr>
          <w:rFonts w:eastAsia="Times New Roman"/>
          <w:b w:val="false"/>
          <w:i w:val="false"/>
          <w:sz w:val="24"/>
        </w:rPr>
        <w:t xml:space="preserve"> (renda </w:t>
      </w:r>
      <w:r>
        <w:rPr>
          <w:rFonts w:eastAsia="Times New Roman"/>
          <w:b/>
          <w:i w:val="false"/>
          <w:sz w:val="24"/>
        </w:rPr>
        <w:t>familiar</w:t>
      </w:r>
      <w:r>
        <w:rPr>
          <w:rFonts w:eastAsia="Times New Roman"/>
          <w:b w:val="false"/>
          <w:i w:val="false"/>
          <w:sz w:val="24"/>
        </w:rPr>
        <w:t>, não per capita — limitação registrada):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Courier New" w:ascii="Courier New" w:hAnsi="Courier New"/>
          <w:b w:val="false"/>
          <w:i w:val="false"/>
          <w:sz w:val="22"/>
        </w:rPr>
        <w:t>ate_1_sm</w:t>
      </w:r>
      <w:r>
        <w:rPr>
          <w:rFonts w:eastAsia="Times New Roman"/>
          <w:b w:val="false"/>
          <w:i w:val="false"/>
          <w:sz w:val="24"/>
        </w:rPr>
        <w:t xml:space="preserve"> = 1.00 · </w:t>
      </w:r>
      <w:r>
        <w:rPr>
          <w:rFonts w:eastAsia="Courier New" w:ascii="Courier New" w:hAnsi="Courier New"/>
          <w:b w:val="false"/>
          <w:i w:val="false"/>
          <w:sz w:val="22"/>
        </w:rPr>
        <w:t>entre_1_2_sm</w:t>
      </w:r>
      <w:r>
        <w:rPr>
          <w:rFonts w:eastAsia="Times New Roman"/>
          <w:b w:val="false"/>
          <w:i w:val="false"/>
          <w:sz w:val="24"/>
        </w:rPr>
        <w:t xml:space="preserve"> = 0.67 · </w:t>
      </w:r>
      <w:r>
        <w:rPr>
          <w:rFonts w:eastAsia="Courier New" w:ascii="Courier New" w:hAnsi="Courier New"/>
          <w:b w:val="false"/>
          <w:i w:val="false"/>
          <w:sz w:val="22"/>
        </w:rPr>
        <w:t>entre_2_3_sm</w:t>
      </w:r>
      <w:r>
        <w:rPr>
          <w:rFonts w:eastAsia="Times New Roman"/>
          <w:b w:val="false"/>
          <w:i w:val="false"/>
          <w:sz w:val="24"/>
        </w:rPr>
        <w:t xml:space="preserve"> = 0.33 · </w:t>
      </w:r>
      <w:r>
        <w:rPr>
          <w:rFonts w:eastAsia="Courier New" w:ascii="Courier New" w:hAnsi="Courier New"/>
          <w:b w:val="false"/>
          <w:i w:val="false"/>
          <w:sz w:val="22"/>
        </w:rPr>
        <w:t>mais_3_sm</w:t>
      </w:r>
      <w:r>
        <w:rPr>
          <w:rFonts w:eastAsia="Times New Roman"/>
          <w:b w:val="false"/>
          <w:i w:val="false"/>
          <w:sz w:val="24"/>
        </w:rPr>
        <w:t xml:space="preserve"> = 0.00 · </w:t>
      </w:r>
      <w:r>
        <w:rPr>
          <w:rFonts w:eastAsia="Courier New" w:ascii="Courier New" w:hAnsi="Courier New"/>
          <w:b w:val="false"/>
          <w:i w:val="false"/>
          <w:sz w:val="22"/>
        </w:rPr>
        <w:t>nao_informar</w:t>
      </w:r>
      <w:r>
        <w:rPr>
          <w:rFonts w:eastAsia="Times New Roman"/>
          <w:b w:val="false"/>
          <w:i w:val="false"/>
          <w:sz w:val="24"/>
        </w:rPr>
        <w:t xml:space="preserve"> = missing (não pontua).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/>
          <w:i w:val="false"/>
          <w:sz w:val="24"/>
        </w:rPr>
        <w:t>D_saneamento</w:t>
      </w:r>
      <w:r>
        <w:rPr>
          <w:rFonts w:eastAsia="Times New Roman"/>
          <w:b w:val="false"/>
          <w:i w:val="false"/>
          <w:sz w:val="24"/>
        </w:rPr>
        <w:t xml:space="preserve"> — média de três componentes (</w:t>
      </w:r>
      <w:r>
        <w:rPr>
          <w:rFonts w:eastAsia="Courier New" w:ascii="Courier New" w:hAnsi="Courier New"/>
          <w:b w:val="false"/>
          <w:i w:val="false"/>
          <w:sz w:val="22"/>
        </w:rPr>
        <w:t>C_agua</w:t>
      </w:r>
      <w:r>
        <w:rPr>
          <w:rFonts w:eastAsia="Times New Roman"/>
          <w:b w:val="false"/>
          <w:i w:val="false"/>
          <w:sz w:val="24"/>
        </w:rPr>
        <w:t xml:space="preserve">, </w:t>
      </w:r>
      <w:r>
        <w:rPr>
          <w:rFonts w:eastAsia="Courier New" w:ascii="Courier New" w:hAnsi="Courier New"/>
          <w:b w:val="false"/>
          <w:i w:val="false"/>
          <w:sz w:val="22"/>
        </w:rPr>
        <w:t>C_esgotamento</w:t>
      </w:r>
      <w:r>
        <w:rPr>
          <w:rFonts w:eastAsia="Times New Roman"/>
          <w:b w:val="false"/>
          <w:i w:val="false"/>
          <w:sz w:val="24"/>
        </w:rPr>
        <w:t xml:space="preserve">, </w:t>
      </w:r>
      <w:r>
        <w:rPr>
          <w:rFonts w:eastAsia="Courier New" w:ascii="Courier New" w:hAnsi="Courier New"/>
          <w:b w:val="false"/>
          <w:i w:val="false"/>
          <w:sz w:val="22"/>
        </w:rPr>
        <w:t>C_residuos</w:t>
      </w:r>
      <w:r>
        <w:rPr>
          <w:rFonts w:eastAsia="Times New Roman"/>
          <w:b w:val="false"/>
          <w:i w:val="false"/>
          <w:sz w:val="24"/>
        </w:rPr>
        <w:t>), exigindo pelo menos 2/3 válidos: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Courier New" w:ascii="Courier New" w:hAnsi="Courier New"/>
          <w:b w:val="false"/>
          <w:i w:val="false"/>
          <w:sz w:val="22"/>
        </w:rPr>
        <w:t>C_agua</w:t>
      </w:r>
      <w:r>
        <w:rPr>
          <w:rFonts w:eastAsia="Times New Roman"/>
          <w:b w:val="false"/>
          <w:i w:val="false"/>
          <w:sz w:val="24"/>
        </w:rPr>
        <w:t xml:space="preserve"> = média de </w:t>
      </w:r>
      <w:r>
        <w:rPr>
          <w:rFonts w:eastAsia="Courier New" w:ascii="Courier New" w:hAnsi="Courier New"/>
          <w:b w:val="false"/>
          <w:i w:val="false"/>
          <w:sz w:val="22"/>
        </w:rPr>
        <w:t>fonte_agua</w:t>
      </w:r>
      <w:r>
        <w:rPr>
          <w:rFonts w:eastAsia="Times New Roman"/>
          <w:b w:val="false"/>
          <w:i w:val="false"/>
          <w:sz w:val="24"/>
        </w:rPr>
        <w:t xml:space="preserve"> (</w:t>
      </w:r>
      <w:r>
        <w:rPr>
          <w:rFonts w:eastAsia="Courier New" w:ascii="Courier New" w:hAnsi="Courier New"/>
          <w:b w:val="false"/>
          <w:i w:val="false"/>
          <w:sz w:val="22"/>
        </w:rPr>
        <w:t>rede_publica</w:t>
      </w:r>
      <w:r>
        <w:rPr>
          <w:rFonts w:eastAsia="Times New Roman"/>
          <w:b w:val="false"/>
          <w:i w:val="false"/>
          <w:sz w:val="24"/>
        </w:rPr>
        <w:t>/</w:t>
      </w:r>
      <w:r>
        <w:rPr>
          <w:rFonts w:eastAsia="Courier New" w:ascii="Courier New" w:hAnsi="Courier New"/>
          <w:b w:val="false"/>
          <w:i w:val="false"/>
          <w:sz w:val="22"/>
        </w:rPr>
        <w:t>poco_nascente</w:t>
      </w:r>
      <w:r>
        <w:rPr>
          <w:rFonts w:eastAsia="Times New Roman"/>
          <w:b w:val="false"/>
          <w:i w:val="false"/>
          <w:sz w:val="24"/>
        </w:rPr>
        <w:t xml:space="preserve"> = 0; </w:t>
      </w:r>
      <w:r>
        <w:rPr>
          <w:rFonts w:eastAsia="Courier New" w:ascii="Courier New" w:hAnsi="Courier New"/>
          <w:b w:val="false"/>
          <w:i w:val="false"/>
          <w:sz w:val="22"/>
        </w:rPr>
        <w:t>carro_pipa</w:t>
      </w:r>
      <w:r>
        <w:rPr>
          <w:rFonts w:eastAsia="Times New Roman"/>
          <w:b w:val="false"/>
          <w:i w:val="false"/>
          <w:sz w:val="24"/>
        </w:rPr>
        <w:t xml:space="preserve"> = 1; </w:t>
      </w:r>
      <w:r>
        <w:rPr>
          <w:rFonts w:eastAsia="Courier New" w:ascii="Courier New" w:hAnsi="Courier New"/>
          <w:b w:val="false"/>
          <w:i w:val="false"/>
          <w:sz w:val="22"/>
        </w:rPr>
        <w:t>cisterna</w:t>
      </w:r>
      <w:r>
        <w:rPr>
          <w:rFonts w:eastAsia="Times New Roman"/>
          <w:b w:val="false"/>
          <w:i w:val="false"/>
          <w:sz w:val="24"/>
        </w:rPr>
        <w:t>/</w:t>
      </w:r>
      <w:r>
        <w:rPr>
          <w:rFonts w:eastAsia="Courier New" w:ascii="Courier New" w:hAnsi="Courier New"/>
          <w:b w:val="false"/>
          <w:i w:val="false"/>
          <w:sz w:val="22"/>
        </w:rPr>
        <w:t>outra</w:t>
      </w:r>
      <w:r>
        <w:rPr>
          <w:rFonts w:eastAsia="Times New Roman"/>
          <w:b w:val="false"/>
          <w:i w:val="false"/>
          <w:sz w:val="24"/>
        </w:rPr>
        <w:t xml:space="preserve"> = missing analítico), </w:t>
      </w:r>
      <w:r>
        <w:rPr>
          <w:rFonts w:eastAsia="Courier New" w:ascii="Courier New" w:hAnsi="Courier New"/>
          <w:b w:val="false"/>
          <w:i w:val="false"/>
          <w:sz w:val="22"/>
        </w:rPr>
        <w:t>itens_residencia.agua_encanada</w:t>
      </w:r>
      <w:r>
        <w:rPr>
          <w:rFonts w:eastAsia="Times New Roman"/>
          <w:b w:val="false"/>
          <w:i w:val="false"/>
          <w:sz w:val="24"/>
        </w:rPr>
        <w:t xml:space="preserve"> (presente = 0; ausente = 1) e </w:t>
      </w:r>
      <w:r>
        <w:rPr>
          <w:rFonts w:eastAsia="Courier New" w:ascii="Courier New" w:hAnsi="Courier New"/>
          <w:b w:val="false"/>
          <w:i w:val="false"/>
          <w:sz w:val="22"/>
        </w:rPr>
        <w:t>interrupcoes_agua</w:t>
      </w:r>
      <w:r>
        <w:rPr>
          <w:rFonts w:eastAsia="Times New Roman"/>
          <w:b w:val="false"/>
          <w:i w:val="false"/>
          <w:sz w:val="24"/>
        </w:rPr>
        <w:t xml:space="preserve"> (false = 0; true = 1), exigindo pelo menos 2/3 válidos.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Courier New" w:ascii="Courier New" w:hAnsi="Courier New"/>
          <w:b w:val="false"/>
          <w:i w:val="false"/>
          <w:sz w:val="22"/>
        </w:rPr>
        <w:t>C_esgotamento</w:t>
      </w:r>
      <w:r>
        <w:rPr>
          <w:rFonts w:eastAsia="Times New Roman"/>
          <w:b w:val="false"/>
          <w:i w:val="false"/>
          <w:sz w:val="24"/>
        </w:rPr>
        <w:t xml:space="preserve"> = </w:t>
      </w:r>
      <w:r>
        <w:rPr>
          <w:rFonts w:eastAsia="Courier New" w:ascii="Courier New" w:hAnsi="Courier New"/>
          <w:b w:val="false"/>
          <w:i w:val="false"/>
          <w:sz w:val="22"/>
        </w:rPr>
        <w:t>rede_coletora</w:t>
      </w:r>
      <w:r>
        <w:rPr>
          <w:rFonts w:eastAsia="Times New Roman"/>
          <w:b w:val="false"/>
          <w:i w:val="false"/>
          <w:sz w:val="24"/>
        </w:rPr>
        <w:t>/</w:t>
      </w:r>
      <w:r>
        <w:rPr>
          <w:rFonts w:eastAsia="Courier New" w:ascii="Courier New" w:hAnsi="Courier New"/>
          <w:b w:val="false"/>
          <w:i w:val="false"/>
          <w:sz w:val="22"/>
        </w:rPr>
        <w:t>fossa_septica</w:t>
      </w:r>
      <w:r>
        <w:rPr>
          <w:rFonts w:eastAsia="Times New Roman"/>
          <w:b w:val="false"/>
          <w:i w:val="false"/>
          <w:sz w:val="24"/>
        </w:rPr>
        <w:t xml:space="preserve"> = 0; </w:t>
      </w:r>
      <w:r>
        <w:rPr>
          <w:rFonts w:eastAsia="Courier New" w:ascii="Courier New" w:hAnsi="Courier New"/>
          <w:b w:val="false"/>
          <w:i w:val="false"/>
          <w:sz w:val="22"/>
        </w:rPr>
        <w:t>ceu_aberto</w:t>
      </w:r>
      <w:r>
        <w:rPr>
          <w:rFonts w:eastAsia="Times New Roman"/>
          <w:b w:val="false"/>
          <w:i w:val="false"/>
          <w:sz w:val="24"/>
        </w:rPr>
        <w:t xml:space="preserve"> = 1; </w:t>
      </w:r>
      <w:r>
        <w:rPr>
          <w:rFonts w:eastAsia="Courier New" w:ascii="Courier New" w:hAnsi="Courier New"/>
          <w:b w:val="false"/>
          <w:i w:val="false"/>
          <w:sz w:val="22"/>
        </w:rPr>
        <w:t>outro</w:t>
      </w:r>
      <w:r>
        <w:rPr>
          <w:rFonts w:eastAsia="Times New Roman"/>
          <w:b w:val="false"/>
          <w:i w:val="false"/>
          <w:sz w:val="24"/>
        </w:rPr>
        <w:t xml:space="preserve"> = missing analítico.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Courier New" w:ascii="Courier New" w:hAnsi="Courier New"/>
          <w:b w:val="false"/>
          <w:i w:val="false"/>
          <w:sz w:val="22"/>
        </w:rPr>
        <w:t>C_residuos</w:t>
      </w:r>
      <w:r>
        <w:rPr>
          <w:rFonts w:eastAsia="Times New Roman"/>
          <w:b w:val="false"/>
          <w:i w:val="false"/>
          <w:sz w:val="24"/>
        </w:rPr>
        <w:t xml:space="preserve"> = </w:t>
      </w:r>
      <w:r>
        <w:rPr>
          <w:rFonts w:eastAsia="Courier New" w:ascii="Courier New" w:hAnsi="Courier New"/>
          <w:b w:val="false"/>
          <w:i w:val="false"/>
          <w:sz w:val="22"/>
        </w:rPr>
        <w:t>frequencia_coleta_lixo</w:t>
      </w:r>
      <w:r>
        <w:rPr>
          <w:rFonts w:eastAsia="Times New Roman"/>
          <w:b w:val="false"/>
          <w:i w:val="false"/>
          <w:sz w:val="24"/>
        </w:rPr>
        <w:t xml:space="preserve"> (</w:t>
      </w:r>
      <w:r>
        <w:rPr>
          <w:rFonts w:eastAsia="Courier New" w:ascii="Courier New" w:hAnsi="Courier New"/>
          <w:b w:val="false"/>
          <w:i w:val="false"/>
          <w:sz w:val="22"/>
        </w:rPr>
        <w:t>regular</w:t>
      </w:r>
      <w:r>
        <w:rPr>
          <w:rFonts w:eastAsia="Times New Roman"/>
          <w:b w:val="false"/>
          <w:i w:val="false"/>
          <w:sz w:val="24"/>
        </w:rPr>
        <w:t xml:space="preserve"> = 0; </w:t>
      </w:r>
      <w:r>
        <w:rPr>
          <w:rFonts w:eastAsia="Courier New" w:ascii="Courier New" w:hAnsi="Courier New"/>
          <w:b w:val="false"/>
          <w:i w:val="false"/>
          <w:sz w:val="22"/>
        </w:rPr>
        <w:t>irregular</w:t>
      </w:r>
      <w:r>
        <w:rPr>
          <w:rFonts w:eastAsia="Times New Roman"/>
          <w:b w:val="false"/>
          <w:i w:val="false"/>
          <w:sz w:val="24"/>
        </w:rPr>
        <w:t xml:space="preserve"> = 0.5; </w:t>
      </w:r>
      <w:r>
        <w:rPr>
          <w:rFonts w:eastAsia="Courier New" w:ascii="Courier New" w:hAnsi="Courier New"/>
          <w:b w:val="false"/>
          <w:i w:val="false"/>
          <w:sz w:val="22"/>
        </w:rPr>
        <w:t>nao_possui</w:t>
      </w:r>
      <w:r>
        <w:rPr>
          <w:rFonts w:eastAsia="Times New Roman"/>
          <w:b w:val="false"/>
          <w:i w:val="false"/>
          <w:sz w:val="24"/>
        </w:rPr>
        <w:t xml:space="preserve"> = 1) combinada com </w:t>
      </w:r>
      <w:r>
        <w:rPr>
          <w:rFonts w:eastAsia="Courier New" w:ascii="Courier New" w:hAnsi="Courier New"/>
          <w:b w:val="false"/>
          <w:i w:val="false"/>
          <w:sz w:val="22"/>
        </w:rPr>
        <w:t>destino_lixo_sem_coleta</w:t>
      </w:r>
      <w:r>
        <w:rPr>
          <w:rFonts w:eastAsia="Times New Roman"/>
          <w:b w:val="false"/>
          <w:i w:val="false"/>
          <w:sz w:val="24"/>
        </w:rPr>
        <w:t xml:space="preserve"> (</w:t>
      </w:r>
      <w:r>
        <w:rPr>
          <w:rFonts w:eastAsia="Courier New" w:ascii="Courier New" w:hAnsi="Courier New"/>
          <w:b w:val="false"/>
          <w:i w:val="false"/>
          <w:sz w:val="22"/>
        </w:rPr>
        <w:t>aguarda_proxima_coleta</w:t>
      </w:r>
      <w:r>
        <w:rPr>
          <w:rFonts w:eastAsia="Times New Roman"/>
          <w:b w:val="false"/>
          <w:i w:val="false"/>
          <w:sz w:val="24"/>
        </w:rPr>
        <w:t xml:space="preserve"> = 0; </w:t>
      </w:r>
      <w:r>
        <w:rPr>
          <w:rFonts w:eastAsia="Courier New" w:ascii="Courier New" w:hAnsi="Courier New"/>
          <w:b w:val="false"/>
          <w:i w:val="false"/>
          <w:sz w:val="22"/>
        </w:rPr>
        <w:t>queima</w:t>
      </w:r>
      <w:r>
        <w:rPr>
          <w:rFonts w:eastAsia="Times New Roman"/>
          <w:b w:val="false"/>
          <w:i w:val="false"/>
          <w:sz w:val="24"/>
        </w:rPr>
        <w:t>/</w:t>
      </w:r>
      <w:r>
        <w:rPr>
          <w:rFonts w:eastAsia="Courier New" w:ascii="Courier New" w:hAnsi="Courier New"/>
          <w:b w:val="false"/>
          <w:i w:val="false"/>
          <w:sz w:val="22"/>
        </w:rPr>
        <w:t>enterra</w:t>
      </w:r>
      <w:r>
        <w:rPr>
          <w:rFonts w:eastAsia="Times New Roman"/>
          <w:b w:val="false"/>
          <w:i w:val="false"/>
          <w:sz w:val="24"/>
        </w:rPr>
        <w:t>/</w:t>
      </w:r>
      <w:r>
        <w:rPr>
          <w:rFonts w:eastAsia="Courier New" w:ascii="Courier New" w:hAnsi="Courier New"/>
          <w:b w:val="false"/>
          <w:i w:val="false"/>
          <w:sz w:val="22"/>
        </w:rPr>
        <w:t>terreno_baldio</w:t>
      </w:r>
      <w:r>
        <w:rPr>
          <w:rFonts w:eastAsia="Times New Roman"/>
          <w:b w:val="false"/>
          <w:i w:val="false"/>
          <w:sz w:val="24"/>
        </w:rPr>
        <w:t xml:space="preserve"> = 1).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/>
          <w:i w:val="false"/>
          <w:sz w:val="24"/>
        </w:rPr>
        <w:t>D_acesso_saude</w:t>
      </w:r>
      <w:r>
        <w:rPr>
          <w:rFonts w:eastAsia="Times New Roman"/>
          <w:b w:val="false"/>
          <w:i w:val="false"/>
          <w:sz w:val="24"/>
        </w:rPr>
        <w:t xml:space="preserve"> — </w:t>
      </w:r>
      <w:r>
        <w:rPr>
          <w:rFonts w:eastAsia="Courier New" w:ascii="Courier New" w:hAnsi="Courier New"/>
          <w:b w:val="false"/>
          <w:i w:val="false"/>
          <w:sz w:val="22"/>
        </w:rPr>
        <w:t>(C_distancia + C_barreiras) / 2</w:t>
      </w:r>
      <w:r>
        <w:rPr>
          <w:rFonts w:eastAsia="Times New Roman"/>
          <w:b w:val="false"/>
          <w:i w:val="false"/>
          <w:sz w:val="24"/>
        </w:rPr>
        <w:t xml:space="preserve"> (exige 2/2):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Courier New" w:ascii="Courier New" w:hAnsi="Courier New"/>
          <w:b w:val="false"/>
          <w:i w:val="false"/>
          <w:sz w:val="22"/>
        </w:rPr>
        <w:t>C_distancia</w:t>
      </w:r>
      <w:r>
        <w:rPr>
          <w:rFonts w:eastAsia="Times New Roman"/>
          <w:b w:val="false"/>
          <w:i w:val="false"/>
          <w:sz w:val="24"/>
        </w:rPr>
        <w:t xml:space="preserve"> = </w:t>
      </w:r>
      <w:r>
        <w:rPr>
          <w:rFonts w:eastAsia="Courier New" w:ascii="Courier New" w:hAnsi="Courier New"/>
          <w:b w:val="false"/>
          <w:i w:val="false"/>
          <w:sz w:val="22"/>
        </w:rPr>
        <w:t>muito_proxima</w:t>
      </w:r>
      <w:r>
        <w:rPr>
          <w:rFonts w:eastAsia="Times New Roman"/>
          <w:b w:val="false"/>
          <w:i w:val="false"/>
          <w:sz w:val="24"/>
        </w:rPr>
        <w:t xml:space="preserve"> = 0; </w:t>
      </w:r>
      <w:r>
        <w:rPr>
          <w:rFonts w:eastAsia="Courier New" w:ascii="Courier New" w:hAnsi="Courier New"/>
          <w:b w:val="false"/>
          <w:i w:val="false"/>
          <w:sz w:val="22"/>
        </w:rPr>
        <w:t>razoavelmente_proxima</w:t>
      </w:r>
      <w:r>
        <w:rPr>
          <w:rFonts w:eastAsia="Times New Roman"/>
          <w:b w:val="false"/>
          <w:i w:val="false"/>
          <w:sz w:val="24"/>
        </w:rPr>
        <w:t xml:space="preserve"> = 0.5; </w:t>
      </w:r>
      <w:r>
        <w:rPr>
          <w:rFonts w:eastAsia="Courier New" w:ascii="Courier New" w:hAnsi="Courier New"/>
          <w:b w:val="false"/>
          <w:i w:val="false"/>
          <w:sz w:val="22"/>
        </w:rPr>
        <w:t>distante</w:t>
      </w:r>
      <w:r>
        <w:rPr>
          <w:rFonts w:eastAsia="Times New Roman"/>
          <w:b w:val="false"/>
          <w:i w:val="false"/>
          <w:sz w:val="24"/>
        </w:rPr>
        <w:t xml:space="preserve"> = 1.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Courier New" w:ascii="Courier New" w:hAnsi="Courier New"/>
          <w:b w:val="false"/>
          <w:i w:val="false"/>
          <w:sz w:val="22"/>
        </w:rPr>
        <w:t>C_barreiras</w:t>
      </w:r>
      <w:r>
        <w:rPr>
          <w:rFonts w:eastAsia="Times New Roman"/>
          <w:b w:val="false"/>
          <w:i w:val="false"/>
          <w:sz w:val="24"/>
        </w:rPr>
        <w:t xml:space="preserve"> = </w:t>
      </w:r>
      <w:r>
        <w:rPr>
          <w:rFonts w:eastAsia="Courier New" w:ascii="Courier New" w:hAnsi="Courier New"/>
          <w:b w:val="false"/>
          <w:i w:val="false"/>
          <w:sz w:val="22"/>
        </w:rPr>
        <w:t>(transporte + organizacao + disponibilidade) / 3</w:t>
      </w:r>
      <w:r>
        <w:rPr>
          <w:rFonts w:eastAsia="Times New Roman"/>
          <w:b w:val="false"/>
          <w:i w:val="false"/>
          <w:sz w:val="24"/>
        </w:rPr>
        <w:t xml:space="preserve">, onde os domínios de </w:t>
      </w:r>
      <w:r>
        <w:rPr>
          <w:rFonts w:eastAsia="Courier New" w:ascii="Courier New" w:hAnsi="Courier New"/>
          <w:b w:val="false"/>
          <w:i w:val="false"/>
          <w:sz w:val="22"/>
        </w:rPr>
        <w:t>dificuldades_saude</w:t>
      </w:r>
      <w:r>
        <w:rPr>
          <w:rFonts w:eastAsia="Times New Roman"/>
          <w:b w:val="false"/>
          <w:i w:val="false"/>
          <w:sz w:val="24"/>
        </w:rPr>
        <w:t xml:space="preserve"> são: </w:t>
      </w:r>
      <w:r>
        <w:rPr>
          <w:rFonts w:eastAsia="Times New Roman"/>
          <w:b/>
          <w:i w:val="false"/>
          <w:sz w:val="24"/>
        </w:rPr>
        <w:t>transporte</w:t>
      </w:r>
      <w:r>
        <w:rPr>
          <w:rFonts w:eastAsia="Times New Roman"/>
          <w:b w:val="false"/>
          <w:i w:val="false"/>
          <w:sz w:val="24"/>
        </w:rPr>
        <w:t xml:space="preserve"> (</w:t>
      </w:r>
      <w:r>
        <w:rPr>
          <w:rFonts w:eastAsia="Courier New" w:ascii="Courier New" w:hAnsi="Courier New"/>
          <w:b w:val="false"/>
          <w:i w:val="false"/>
          <w:sz w:val="22"/>
        </w:rPr>
        <w:t>falta_transporte</w:t>
      </w:r>
      <w:r>
        <w:rPr>
          <w:rFonts w:eastAsia="Times New Roman"/>
          <w:b w:val="false"/>
          <w:i w:val="false"/>
          <w:sz w:val="24"/>
        </w:rPr>
        <w:t xml:space="preserve">), </w:t>
      </w:r>
      <w:r>
        <w:rPr>
          <w:rFonts w:eastAsia="Times New Roman"/>
          <w:b/>
          <w:i w:val="false"/>
          <w:sz w:val="24"/>
        </w:rPr>
        <w:t>organização</w:t>
      </w:r>
      <w:r>
        <w:rPr>
          <w:rFonts w:eastAsia="Times New Roman"/>
          <w:b w:val="false"/>
          <w:i w:val="false"/>
          <w:sz w:val="24"/>
        </w:rPr>
        <w:t xml:space="preserve"> (</w:t>
      </w:r>
      <w:r>
        <w:rPr>
          <w:rFonts w:eastAsia="Courier New" w:ascii="Courier New" w:hAnsi="Courier New"/>
          <w:b w:val="false"/>
          <w:i w:val="false"/>
          <w:sz w:val="22"/>
        </w:rPr>
        <w:t>dificuldade_agendamento</w:t>
      </w:r>
      <w:r>
        <w:rPr>
          <w:rFonts w:eastAsia="Times New Roman"/>
          <w:b w:val="false"/>
          <w:i w:val="false"/>
          <w:sz w:val="24"/>
        </w:rPr>
        <w:t xml:space="preserve">, </w:t>
      </w:r>
      <w:r>
        <w:rPr>
          <w:rFonts w:eastAsia="Courier New" w:ascii="Courier New" w:hAnsi="Courier New"/>
          <w:b w:val="false"/>
          <w:i w:val="false"/>
          <w:sz w:val="22"/>
        </w:rPr>
        <w:t>demora_atendimento</w:t>
      </w:r>
      <w:r>
        <w:rPr>
          <w:rFonts w:eastAsia="Times New Roman"/>
          <w:b w:val="false"/>
          <w:i w:val="false"/>
          <w:sz w:val="24"/>
        </w:rPr>
        <w:t xml:space="preserve">, </w:t>
      </w:r>
      <w:r>
        <w:rPr>
          <w:rFonts w:eastAsia="Courier New" w:ascii="Courier New" w:hAnsi="Courier New"/>
          <w:b w:val="false"/>
          <w:i w:val="false"/>
          <w:sz w:val="22"/>
        </w:rPr>
        <w:t>horario_incompativel</w:t>
      </w:r>
      <w:r>
        <w:rPr>
          <w:rFonts w:eastAsia="Times New Roman"/>
          <w:b w:val="false"/>
          <w:i w:val="false"/>
          <w:sz w:val="24"/>
        </w:rPr>
        <w:t xml:space="preserve">), </w:t>
      </w:r>
      <w:r>
        <w:rPr>
          <w:rFonts w:eastAsia="Times New Roman"/>
          <w:b/>
          <w:i w:val="false"/>
          <w:sz w:val="24"/>
        </w:rPr>
        <w:t>disponibilidade</w:t>
      </w:r>
      <w:r>
        <w:rPr>
          <w:rFonts w:eastAsia="Times New Roman"/>
          <w:b w:val="false"/>
          <w:i w:val="false"/>
          <w:sz w:val="24"/>
        </w:rPr>
        <w:t xml:space="preserve"> (</w:t>
      </w:r>
      <w:r>
        <w:rPr>
          <w:rFonts w:eastAsia="Courier New" w:ascii="Courier New" w:hAnsi="Courier New"/>
          <w:b w:val="false"/>
          <w:i w:val="false"/>
          <w:sz w:val="22"/>
        </w:rPr>
        <w:t>falta_profissional</w:t>
      </w:r>
      <w:r>
        <w:rPr>
          <w:rFonts w:eastAsia="Times New Roman"/>
          <w:b w:val="false"/>
          <w:i w:val="false"/>
          <w:sz w:val="24"/>
        </w:rPr>
        <w:t xml:space="preserve">, </w:t>
      </w:r>
      <w:r>
        <w:rPr>
          <w:rFonts w:eastAsia="Courier New" w:ascii="Courier New" w:hAnsi="Courier New"/>
          <w:b w:val="false"/>
          <w:i w:val="false"/>
          <w:sz w:val="22"/>
        </w:rPr>
        <w:t>falta_exames</w:t>
      </w:r>
      <w:r>
        <w:rPr>
          <w:rFonts w:eastAsia="Times New Roman"/>
          <w:b w:val="false"/>
          <w:i w:val="false"/>
          <w:sz w:val="24"/>
        </w:rPr>
        <w:t xml:space="preserve">); cada domínio presente = 1, ausente = 0; </w:t>
      </w:r>
      <w:r>
        <w:rPr>
          <w:rFonts w:eastAsia="Courier New" w:ascii="Courier New" w:hAnsi="Courier New"/>
          <w:b w:val="false"/>
          <w:i w:val="false"/>
          <w:sz w:val="22"/>
        </w:rPr>
        <w:t>sem_dificuldades</w:t>
      </w:r>
      <w:r>
        <w:rPr>
          <w:rFonts w:eastAsia="Times New Roman"/>
          <w:b w:val="false"/>
          <w:i w:val="false"/>
          <w:sz w:val="24"/>
        </w:rPr>
        <w:t xml:space="preserve"> = 0.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/>
          <w:i w:val="false"/>
          <w:sz w:val="24"/>
        </w:rPr>
        <w:t>D_habitacao</w:t>
      </w:r>
      <w:r>
        <w:rPr>
          <w:rFonts w:eastAsia="Times New Roman"/>
          <w:b w:val="false"/>
          <w:i w:val="false"/>
          <w:sz w:val="24"/>
        </w:rPr>
        <w:t xml:space="preserve"> — indicador </w:t>
      </w:r>
      <w:r>
        <w:rPr>
          <w:rFonts w:eastAsia="Courier New" w:ascii="Courier New" w:hAnsi="Courier New"/>
          <w:b w:val="false"/>
          <w:i w:val="false"/>
          <w:sz w:val="22"/>
        </w:rPr>
        <w:t>adensamento_habitacional</w:t>
      </w:r>
      <w:r>
        <w:rPr>
          <w:rFonts w:eastAsia="Times New Roman"/>
          <w:b w:val="false"/>
          <w:i w:val="false"/>
          <w:sz w:val="24"/>
        </w:rPr>
        <w:t xml:space="preserve"> (derivado no pipeline Python, sem alterar o Flutter):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Courier New" w:ascii="Courier New" w:hAnsi="Courier New"/>
          <w:b w:val="false"/>
          <w:i w:val="false"/>
          <w:sz w:val="22"/>
        </w:rPr>
        <w:t>adensamento = numero_pessoas / numero_dormitorios</w:t>
      </w:r>
      <w:r>
        <w:rPr>
          <w:rFonts w:eastAsia="Times New Roman"/>
          <w:b w:val="false"/>
          <w:i w:val="false"/>
          <w:sz w:val="24"/>
        </w:rPr>
        <w:t xml:space="preserve"> — </w:t>
      </w:r>
      <w:r>
        <w:rPr>
          <w:rFonts w:eastAsia="Courier New" w:ascii="Courier New" w:hAnsi="Courier New"/>
          <w:b w:val="false"/>
          <w:i w:val="false"/>
          <w:sz w:val="22"/>
        </w:rPr>
        <w:t>≤ 2</w:t>
      </w:r>
      <w:r>
        <w:rPr>
          <w:rFonts w:eastAsia="Times New Roman"/>
          <w:b w:val="false"/>
          <w:i w:val="false"/>
          <w:sz w:val="24"/>
        </w:rPr>
        <w:t xml:space="preserve"> = 0.00 · </w:t>
      </w:r>
      <w:r>
        <w:rPr>
          <w:rFonts w:eastAsia="Courier New" w:ascii="Courier New" w:hAnsi="Courier New"/>
          <w:b w:val="false"/>
          <w:i w:val="false"/>
          <w:sz w:val="22"/>
        </w:rPr>
        <w:t>&gt; 2 e ≤ 3</w:t>
      </w:r>
      <w:r>
        <w:rPr>
          <w:rFonts w:eastAsia="Times New Roman"/>
          <w:b w:val="false"/>
          <w:i w:val="false"/>
          <w:sz w:val="24"/>
        </w:rPr>
        <w:t xml:space="preserve"> = 0.50 · </w:t>
      </w:r>
      <w:r>
        <w:rPr>
          <w:rFonts w:eastAsia="Courier New" w:ascii="Courier New" w:hAnsi="Courier New"/>
          <w:b w:val="false"/>
          <w:i w:val="false"/>
          <w:sz w:val="22"/>
        </w:rPr>
        <w:t>&gt; 3</w:t>
      </w:r>
      <w:r>
        <w:rPr>
          <w:rFonts w:eastAsia="Times New Roman"/>
          <w:b w:val="false"/>
          <w:i w:val="false"/>
          <w:sz w:val="24"/>
        </w:rPr>
        <w:t xml:space="preserve"> = 1.00. Em análise de sensibilidade já executada, comparou-se o critério binário </w:t>
      </w:r>
      <w:r>
        <w:rPr>
          <w:rFonts w:eastAsia="Courier New" w:ascii="Courier New" w:hAnsi="Courier New"/>
          <w:b w:val="false"/>
          <w:i w:val="false"/>
          <w:sz w:val="22"/>
        </w:rPr>
        <w:t>&gt; 3</w:t>
      </w:r>
      <w:r>
        <w:rPr>
          <w:rFonts w:eastAsia="Times New Roman"/>
          <w:b w:val="false"/>
          <w:i w:val="false"/>
          <w:sz w:val="24"/>
        </w:rPr>
        <w:t xml:space="preserve"> = 1; </w:t>
      </w:r>
      <w:r>
        <w:rPr>
          <w:rFonts w:eastAsia="Courier New" w:ascii="Courier New" w:hAnsi="Courier New"/>
          <w:b w:val="false"/>
          <w:i w:val="false"/>
          <w:sz w:val="22"/>
        </w:rPr>
        <w:t>≤ 3</w:t>
      </w:r>
      <w:r>
        <w:rPr>
          <w:rFonts w:eastAsia="Times New Roman"/>
          <w:b w:val="false"/>
          <w:i w:val="false"/>
          <w:sz w:val="24"/>
        </w:rPr>
        <w:t xml:space="preserve"> = 0.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/>
          <w:i w:val="false"/>
          <w:sz w:val="24"/>
        </w:rPr>
        <w:t>D_alimentacao</w:t>
      </w:r>
      <w:r>
        <w:rPr>
          <w:rFonts w:eastAsia="Times New Roman"/>
          <w:b w:val="false"/>
          <w:i w:val="false"/>
          <w:sz w:val="24"/>
        </w:rPr>
        <w:t xml:space="preserve"> — indicador </w:t>
      </w:r>
      <w:r>
        <w:rPr>
          <w:rFonts w:eastAsia="Courier New" w:ascii="Courier New" w:hAnsi="Courier New"/>
          <w:b w:val="false"/>
          <w:i w:val="false"/>
          <w:sz w:val="22"/>
        </w:rPr>
        <w:t>deixou_de_comer_falta_dinheiro</w:t>
      </w:r>
      <w:r>
        <w:rPr>
          <w:rFonts w:eastAsia="Times New Roman"/>
          <w:b w:val="false"/>
          <w:i w:val="false"/>
          <w:sz w:val="24"/>
        </w:rPr>
        <w:t xml:space="preserve"> (</w:t>
      </w:r>
      <w:r>
        <w:rPr>
          <w:rFonts w:eastAsia="Courier New" w:ascii="Courier New" w:hAnsi="Courier New"/>
          <w:b w:val="false"/>
          <w:i w:val="false"/>
          <w:sz w:val="22"/>
        </w:rPr>
        <w:t>false</w:t>
      </w:r>
      <w:r>
        <w:rPr>
          <w:rFonts w:eastAsia="Times New Roman"/>
          <w:b w:val="false"/>
          <w:i w:val="false"/>
          <w:sz w:val="24"/>
        </w:rPr>
        <w:t xml:space="preserve"> = 0; </w:t>
      </w:r>
      <w:r>
        <w:rPr>
          <w:rFonts w:eastAsia="Courier New" w:ascii="Courier New" w:hAnsi="Courier New"/>
          <w:b w:val="false"/>
          <w:i w:val="false"/>
          <w:sz w:val="22"/>
        </w:rPr>
        <w:t>true</w:t>
      </w:r>
      <w:r>
        <w:rPr>
          <w:rFonts w:eastAsia="Times New Roman"/>
          <w:b w:val="false"/>
          <w:i w:val="false"/>
          <w:sz w:val="24"/>
        </w:rPr>
        <w:t xml:space="preserve"> = 1; </w:t>
      </w:r>
      <w:r>
        <w:rPr>
          <w:rFonts w:eastAsia="Courier New" w:ascii="Courier New" w:hAnsi="Courier New"/>
          <w:b w:val="false"/>
          <w:i w:val="false"/>
          <w:sz w:val="22"/>
        </w:rPr>
        <w:t>null</w:t>
      </w:r>
      <w:r>
        <w:rPr>
          <w:rFonts w:eastAsia="Times New Roman"/>
          <w:b w:val="false"/>
          <w:i w:val="false"/>
          <w:sz w:val="24"/>
        </w:rPr>
        <w:t xml:space="preserve"> = missing). Descrição recomendada: </w:t>
      </w:r>
      <w:r>
        <w:rPr>
          <w:rFonts w:eastAsia="Times New Roman"/>
          <w:b w:val="false"/>
          <w:i/>
          <w:sz w:val="24"/>
        </w:rPr>
        <w:t>"indicador de experiência autorrelatada de privação alimentar associada à insuficiência de recursos financeiros nos três meses anteriores."</w:t>
      </w:r>
      <w:r>
        <w:rPr>
          <w:rFonts w:eastAsia="Times New Roman"/>
          <w:b w:val="false"/>
          <w:i w:val="false"/>
          <w:sz w:val="24"/>
        </w:rPr>
        <w:t xml:space="preserve"> </w:t>
      </w:r>
      <w:r>
        <w:rPr>
          <w:rFonts w:eastAsia="Times New Roman"/>
          <w:b/>
          <w:i w:val="false"/>
          <w:sz w:val="24"/>
        </w:rPr>
        <w:t>Não</w:t>
      </w:r>
      <w:r>
        <w:rPr>
          <w:rFonts w:eastAsia="Times New Roman"/>
          <w:b w:val="false"/>
          <w:i w:val="false"/>
          <w:sz w:val="24"/>
        </w:rPr>
        <w:t xml:space="preserve"> afirmar que constitui aplicação da EBIA ou da FIES.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/>
          <w:i w:val="false"/>
          <w:sz w:val="24"/>
        </w:rPr>
        <w:t>Fora do IV-DSS (e por quê):</w:t>
      </w:r>
      <w:r>
        <w:rPr>
          <w:rFonts w:eastAsia="Times New Roman"/>
          <w:b w:val="false"/>
          <w:i w:val="false"/>
          <w:sz w:val="24"/>
        </w:rPr>
        <w:t xml:space="preserve"> as 5 variáveis de leakage (4.7), as 5 temporais (4.7), as 2 descritivas (</w:t>
      </w:r>
      <w:r>
        <w:rPr>
          <w:rFonts w:eastAsia="Courier New" w:ascii="Courier New" w:hAnsi="Courier New"/>
          <w:b w:val="false"/>
          <w:i w:val="false"/>
          <w:sz w:val="22"/>
        </w:rPr>
        <w:t>cuidados_vetores</w:t>
      </w:r>
      <w:r>
        <w:rPr>
          <w:rFonts w:eastAsia="Times New Roman"/>
          <w:b w:val="false"/>
          <w:i w:val="false"/>
          <w:sz w:val="24"/>
        </w:rPr>
        <w:t xml:space="preserve">, </w:t>
      </w:r>
      <w:r>
        <w:rPr>
          <w:rFonts w:eastAsia="Courier New" w:ascii="Courier New" w:hAnsi="Courier New"/>
          <w:b w:val="false"/>
          <w:i w:val="false"/>
          <w:sz w:val="22"/>
        </w:rPr>
        <w:t>melhorias_desejadas</w:t>
      </w:r>
      <w:r>
        <w:rPr>
          <w:rFonts w:eastAsia="Times New Roman"/>
          <w:b w:val="false"/>
          <w:i w:val="false"/>
          <w:sz w:val="24"/>
        </w:rPr>
        <w:t>) e as 2 de sensibilidade (</w:t>
      </w:r>
      <w:r>
        <w:rPr>
          <w:rFonts w:eastAsia="Courier New" w:ascii="Courier New" w:hAnsi="Courier New"/>
          <w:b w:val="false"/>
          <w:i w:val="false"/>
          <w:sz w:val="22"/>
        </w:rPr>
        <w:t>problema_saude_agua</w:t>
      </w:r>
      <w:r>
        <w:rPr>
          <w:rFonts w:eastAsia="Times New Roman"/>
          <w:b w:val="false"/>
          <w:i w:val="false"/>
          <w:sz w:val="24"/>
        </w:rPr>
        <w:t xml:space="preserve">, </w:t>
      </w:r>
      <w:r>
        <w:rPr>
          <w:rFonts w:eastAsia="Courier New" w:ascii="Courier New" w:hAnsi="Courier New"/>
          <w:b w:val="false"/>
          <w:i w:val="false"/>
          <w:sz w:val="22"/>
        </w:rPr>
        <w:t>facil_acesso_saude</w:t>
      </w:r>
      <w:r>
        <w:rPr>
          <w:rFonts w:eastAsia="Times New Roman"/>
          <w:b w:val="false"/>
          <w:i w:val="false"/>
          <w:sz w:val="24"/>
        </w:rPr>
        <w:t xml:space="preserve">). </w:t>
      </w:r>
      <w:r>
        <w:rPr>
          <w:rFonts w:eastAsia="Courier New" w:ascii="Courier New" w:hAnsi="Courier New"/>
          <w:b w:val="false"/>
          <w:i w:val="false"/>
          <w:sz w:val="22"/>
        </w:rPr>
        <w:t>acesso_ubs</w:t>
      </w:r>
      <w:r>
        <w:rPr>
          <w:rFonts w:eastAsia="Times New Roman"/>
          <w:b w:val="false"/>
          <w:i w:val="false"/>
          <w:sz w:val="24"/>
        </w:rPr>
        <w:t xml:space="preserve"> e </w:t>
      </w:r>
      <w:r>
        <w:rPr>
          <w:rFonts w:eastAsia="Courier New" w:ascii="Courier New" w:hAnsi="Courier New"/>
          <w:b w:val="false"/>
          <w:i w:val="false"/>
          <w:sz w:val="22"/>
        </w:rPr>
        <w:t>cadastrada_ubs</w:t>
      </w:r>
      <w:r>
        <w:rPr>
          <w:rFonts w:eastAsia="Times New Roman"/>
          <w:b w:val="false"/>
          <w:i w:val="false"/>
          <w:sz w:val="24"/>
        </w:rPr>
        <w:t xml:space="preserve"> permanecem disponíveis ao ML como variáveis nominais, mas </w:t>
      </w:r>
      <w:r>
        <w:rPr>
          <w:rFonts w:eastAsia="Times New Roman"/>
          <w:b/>
          <w:i w:val="false"/>
          <w:sz w:val="24"/>
        </w:rPr>
        <w:t>não</w:t>
      </w:r>
      <w:r>
        <w:rPr>
          <w:rFonts w:eastAsia="Times New Roman"/>
          <w:b w:val="false"/>
          <w:i w:val="false"/>
          <w:sz w:val="24"/>
        </w:rPr>
        <w:t xml:space="preserve"> pontuam no IV-DSS.</w:t>
      </w:r>
    </w:p>
    <w:p>
      <w:pPr>
        <w:pStyle w:val="Heading3"/>
        <w:ind w:hanging="0"/>
        <w:jc w:val="start"/>
        <w:rPr/>
      </w:pPr>
      <w:bookmarkStart w:id="21" w:name="__RefHeading___Toc2199_3157870603"/>
      <w:bookmarkEnd w:id="21"/>
      <w:r>
        <w:rPr>
          <w:rFonts w:eastAsia="Times New Roman" w:ascii="Times New Roman" w:hAnsi="Times New Roman"/>
          <w:b/>
          <w:sz w:val="24"/>
        </w:rPr>
        <w:t>3.3.4 Pesos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 xml:space="preserve">Na ausência de evidência empírica que sustente pesos diferenciados entre as dimensões, este estudo adota </w:t>
      </w:r>
      <w:r>
        <w:rPr>
          <w:rFonts w:eastAsia="Times New Roman"/>
          <w:b/>
          <w:i w:val="false"/>
          <w:sz w:val="24"/>
        </w:rPr>
        <w:t>pesos iguais (1/6)</w:t>
      </w:r>
      <w:r>
        <w:rPr>
          <w:rFonts w:eastAsia="Times New Roman"/>
          <w:b w:val="false"/>
          <w:i w:val="false"/>
          <w:sz w:val="24"/>
        </w:rPr>
        <w:t xml:space="preserve"> como opção metodológica transparente e parcimoniosa. Essa escolha é </w:t>
      </w:r>
      <w:r>
        <w:rPr>
          <w:rFonts w:eastAsia="Times New Roman"/>
          <w:b/>
          <w:i w:val="false"/>
          <w:sz w:val="24"/>
        </w:rPr>
        <w:t>explícita</w:t>
      </w:r>
      <w:r>
        <w:rPr>
          <w:rFonts w:eastAsia="Times New Roman"/>
          <w:b w:val="false"/>
          <w:i w:val="false"/>
          <w:sz w:val="24"/>
        </w:rPr>
        <w:t xml:space="preserve"> e será submetida à análise de sensibilidade. O OECD/JRC é citado como referência geral para construção de indicadores compostos (normalização, ponderação, agregação e análise de sensibilidade), sem que o peso igual seja tratado como regra universal por ele determinada.</w:t>
      </w:r>
    </w:p>
    <w:p>
      <w:pPr>
        <w:pStyle w:val="Heading3"/>
        <w:ind w:hanging="0"/>
        <w:jc w:val="start"/>
        <w:rPr/>
      </w:pPr>
      <w:bookmarkStart w:id="22" w:name="__RefHeading___Toc2201_3157870603"/>
      <w:bookmarkEnd w:id="22"/>
      <w:r>
        <w:rPr>
          <w:rFonts w:eastAsia="Times New Roman" w:ascii="Times New Roman" w:hAnsi="Times New Roman"/>
          <w:b/>
          <w:sz w:val="24"/>
        </w:rPr>
        <w:t>3.3.5 Escala e interpretação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Times New Roman"/>
          <w:b/>
          <w:i w:val="false"/>
          <w:sz w:val="24"/>
        </w:rPr>
        <w:t>Saída principal:</w:t>
      </w:r>
      <w:r>
        <w:rPr>
          <w:rFonts w:eastAsia="Times New Roman"/>
          <w:b w:val="false"/>
          <w:i w:val="false"/>
          <w:sz w:val="24"/>
        </w:rPr>
        <w:t xml:space="preserve"> IV-DSS contínuo no intervalo </w:t>
      </w:r>
      <w:r>
        <w:rPr>
          <w:rFonts w:eastAsia="Courier New" w:ascii="Courier New" w:hAnsi="Courier New"/>
          <w:b w:val="false"/>
          <w:i w:val="false"/>
          <w:sz w:val="22"/>
        </w:rPr>
        <w:t>[0,1]</w:t>
      </w:r>
      <w:r>
        <w:rPr>
          <w:rFonts w:eastAsia="Times New Roman"/>
          <w:b w:val="false"/>
          <w:i w:val="false"/>
          <w:sz w:val="24"/>
        </w:rPr>
        <w:t>.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Times New Roman"/>
          <w:b/>
          <w:i w:val="false"/>
          <w:sz w:val="24"/>
        </w:rPr>
        <w:t>Não</w:t>
      </w:r>
      <w:r>
        <w:rPr>
          <w:rFonts w:eastAsia="Times New Roman"/>
          <w:b w:val="false"/>
          <w:i w:val="false"/>
          <w:sz w:val="24"/>
        </w:rPr>
        <w:t xml:space="preserve"> criar pontos de corte absolutos de baixa/média/alta vulnerabilidade.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Times New Roman"/>
          <w:b w:val="false"/>
          <w:i w:val="false"/>
          <w:sz w:val="24"/>
        </w:rPr>
        <w:t xml:space="preserve">Caso seja necessária categorização apenas para </w:t>
      </w:r>
      <w:r>
        <w:rPr>
          <w:rFonts w:eastAsia="Times New Roman"/>
          <w:b/>
          <w:i w:val="false"/>
          <w:sz w:val="24"/>
        </w:rPr>
        <w:t>visualização/descrição</w:t>
      </w:r>
      <w:r>
        <w:rPr>
          <w:rFonts w:eastAsia="Times New Roman"/>
          <w:b w:val="false"/>
          <w:i w:val="false"/>
          <w:sz w:val="24"/>
        </w:rPr>
        <w:t xml:space="preserve">, utilizar </w:t>
      </w:r>
      <w:r>
        <w:rPr>
          <w:rFonts w:eastAsia="Times New Roman"/>
          <w:b/>
          <w:i w:val="false"/>
          <w:sz w:val="24"/>
        </w:rPr>
        <w:t>quantis relativos à amostra</w:t>
      </w:r>
      <w:r>
        <w:rPr>
          <w:rFonts w:eastAsia="Times New Roman"/>
          <w:b w:val="false"/>
          <w:i w:val="false"/>
          <w:sz w:val="24"/>
        </w:rPr>
        <w:t>.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Times New Roman"/>
          <w:b w:val="false"/>
          <w:i w:val="false"/>
          <w:sz w:val="24"/>
        </w:rPr>
        <w:t xml:space="preserve">Essas categorias por quantis são </w:t>
      </w:r>
      <w:r>
        <w:rPr>
          <w:rFonts w:eastAsia="Times New Roman"/>
          <w:b/>
          <w:i w:val="false"/>
          <w:sz w:val="24"/>
        </w:rPr>
        <w:t>amostrais</w:t>
      </w:r>
      <w:r>
        <w:rPr>
          <w:rFonts w:eastAsia="Times New Roman"/>
          <w:b w:val="false"/>
          <w:i w:val="false"/>
          <w:sz w:val="24"/>
        </w:rPr>
        <w:t xml:space="preserve"> e </w:t>
      </w:r>
      <w:r>
        <w:rPr>
          <w:rFonts w:eastAsia="Times New Roman"/>
          <w:b/>
          <w:i w:val="false"/>
          <w:sz w:val="24"/>
        </w:rPr>
        <w:t>não</w:t>
      </w:r>
      <w:r>
        <w:rPr>
          <w:rFonts w:eastAsia="Times New Roman"/>
          <w:b w:val="false"/>
          <w:i w:val="false"/>
          <w:sz w:val="24"/>
        </w:rPr>
        <w:t xml:space="preserve"> representam pontos de corte clínicos, epidemiológicos ou validados.</w:t>
      </w:r>
    </w:p>
    <w:p>
      <w:pPr>
        <w:pStyle w:val="Heading3"/>
        <w:ind w:hanging="0"/>
        <w:jc w:val="start"/>
        <w:rPr/>
      </w:pPr>
      <w:bookmarkStart w:id="23" w:name="__RefHeading___Toc2203_3157870603"/>
      <w:bookmarkEnd w:id="23"/>
      <w:r>
        <w:rPr>
          <w:rFonts w:eastAsia="Times New Roman" w:ascii="Times New Roman" w:hAnsi="Times New Roman"/>
          <w:b/>
          <w:sz w:val="24"/>
        </w:rPr>
        <w:t>3.3.6 Política de missing e validade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Courier New" w:ascii="Courier New" w:hAnsi="Courier New"/>
          <w:b w:val="false"/>
          <w:i w:val="false"/>
          <w:sz w:val="22"/>
        </w:rPr>
        <w:t>missing ≠ 0</w:t>
      </w:r>
      <w:r>
        <w:rPr>
          <w:rFonts w:eastAsia="Times New Roman"/>
          <w:b w:val="false"/>
          <w:i w:val="false"/>
          <w:sz w:val="24"/>
        </w:rPr>
        <w:t xml:space="preserve">, </w:t>
      </w:r>
      <w:r>
        <w:rPr>
          <w:rFonts w:eastAsia="Courier New" w:ascii="Courier New" w:hAnsi="Courier New"/>
          <w:b w:val="false"/>
          <w:i w:val="false"/>
          <w:sz w:val="22"/>
        </w:rPr>
        <w:t>missing ≠ 0.5</w:t>
      </w:r>
      <w:r>
        <w:rPr>
          <w:rFonts w:eastAsia="Times New Roman"/>
          <w:b w:val="false"/>
          <w:i w:val="false"/>
          <w:sz w:val="24"/>
        </w:rPr>
        <w:t xml:space="preserve">, </w:t>
      </w:r>
      <w:r>
        <w:rPr>
          <w:rFonts w:eastAsia="Courier New" w:ascii="Courier New" w:hAnsi="Courier New"/>
          <w:b w:val="false"/>
          <w:i w:val="false"/>
          <w:sz w:val="22"/>
        </w:rPr>
        <w:t>missing ≠ vulnerabilidade intermediária</w:t>
      </w:r>
      <w:r>
        <w:rPr>
          <w:rFonts w:eastAsia="Times New Roman"/>
          <w:b w:val="false"/>
          <w:i w:val="false"/>
          <w:sz w:val="24"/>
        </w:rPr>
        <w:t xml:space="preserve">. Distinguir resposta ausente, não aplicável estrutural (condicional do schema) e categoria válida porém analiticamente indeterminada. </w:t>
      </w:r>
      <w:r>
        <w:rPr>
          <w:rFonts w:eastAsia="Times New Roman"/>
          <w:b/>
          <w:i w:val="false"/>
          <w:sz w:val="24"/>
        </w:rPr>
        <w:t>Não</w:t>
      </w:r>
      <w:r>
        <w:rPr>
          <w:rFonts w:eastAsia="Times New Roman"/>
          <w:b w:val="false"/>
          <w:i w:val="false"/>
          <w:sz w:val="24"/>
        </w:rPr>
        <w:t xml:space="preserve"> imputar automaticamente. O </w:t>
      </w:r>
      <w:r>
        <w:rPr>
          <w:rFonts w:eastAsia="Times New Roman"/>
          <w:b/>
          <w:i w:val="false"/>
          <w:sz w:val="24"/>
        </w:rPr>
        <w:t>IV-DSS principal exige 6/6 dimensões válidas</w:t>
      </w:r>
      <w:r>
        <w:rPr>
          <w:rFonts w:eastAsia="Times New Roman"/>
          <w:b w:val="false"/>
          <w:i w:val="false"/>
          <w:sz w:val="24"/>
        </w:rPr>
        <w:t xml:space="preserve">; caso contrário, </w:t>
      </w:r>
      <w:r>
        <w:rPr>
          <w:rFonts w:eastAsia="Courier New" w:ascii="Courier New" w:hAnsi="Courier New"/>
          <w:b w:val="false"/>
          <w:i w:val="false"/>
          <w:sz w:val="22"/>
        </w:rPr>
        <w:t>IV-DSS = não calculável</w:t>
      </w:r>
      <w:r>
        <w:rPr>
          <w:rFonts w:eastAsia="Times New Roman"/>
          <w:b w:val="false"/>
          <w:i w:val="false"/>
          <w:sz w:val="24"/>
        </w:rPr>
        <w:t xml:space="preserve"> (não calcular silenciosamente a média das dimensões restantes). O </w:t>
      </w:r>
      <w:r>
        <w:rPr>
          <w:rFonts w:eastAsia="Courier New" w:ascii="Courier New" w:hAnsi="Courier New"/>
          <w:b w:val="false"/>
          <w:i w:val="false"/>
          <w:sz w:val="22"/>
        </w:rPr>
        <w:t>iv_dss_parcial</w:t>
      </w:r>
      <w:r>
        <w:rPr>
          <w:rFonts w:eastAsia="Times New Roman"/>
          <w:b w:val="false"/>
          <w:i w:val="false"/>
          <w:sz w:val="24"/>
        </w:rPr>
        <w:t xml:space="preserve"> com cobertura 5/6 é calculado como resultado auxiliar.</w:t>
      </w:r>
    </w:p>
    <w:p>
      <w:pPr>
        <w:pStyle w:val="Heading3"/>
        <w:ind w:hanging="0"/>
        <w:jc w:val="start"/>
        <w:rPr/>
      </w:pPr>
      <w:bookmarkStart w:id="24" w:name="__RefHeading___Toc2205_3157870603"/>
      <w:bookmarkEnd w:id="24"/>
      <w:r>
        <w:rPr>
          <w:rFonts w:eastAsia="Times New Roman" w:ascii="Times New Roman" w:hAnsi="Times New Roman"/>
          <w:b/>
          <w:sz w:val="24"/>
        </w:rPr>
        <w:t>3.3.7 Análises de sensibilidade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 xml:space="preserve">A agregação principal é </w:t>
      </w:r>
      <w:r>
        <w:rPr>
          <w:rFonts w:eastAsia="Times New Roman"/>
          <w:b/>
          <w:i w:val="false"/>
          <w:sz w:val="24"/>
        </w:rPr>
        <w:t>aritmética</w:t>
      </w:r>
      <w:r>
        <w:rPr>
          <w:rFonts w:eastAsia="Times New Roman"/>
          <w:b w:val="false"/>
          <w:i w:val="false"/>
          <w:sz w:val="24"/>
        </w:rPr>
        <w:t xml:space="preserve"> (não usar geométrica como primeira alternativa, pois dimensões podem assumir 0).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/>
          <w:i w:val="false"/>
          <w:sz w:val="24"/>
        </w:rPr>
        <w:t>Já executado:</w:t>
      </w:r>
      <w:r>
        <w:rPr>
          <w:rFonts w:eastAsia="Times New Roman"/>
          <w:b w:val="false"/>
          <w:i w:val="false"/>
          <w:sz w:val="24"/>
        </w:rPr>
        <w:t xml:space="preserve"> a análise de sensibilidade do </w:t>
      </w:r>
      <w:r>
        <w:rPr>
          <w:rFonts w:eastAsia="Times New Roman"/>
          <w:b/>
          <w:i w:val="false"/>
          <w:sz w:val="24"/>
        </w:rPr>
        <w:t>adensamento habitacional</w:t>
      </w:r>
      <w:r>
        <w:rPr>
          <w:rFonts w:eastAsia="Times New Roman"/>
          <w:b w:val="false"/>
          <w:i w:val="false"/>
          <w:sz w:val="24"/>
        </w:rPr>
        <w:t xml:space="preserve"> comparou o critério em três níveis (</w:t>
      </w:r>
      <w:r>
        <w:rPr>
          <w:rFonts w:eastAsia="Courier New" w:ascii="Courier New" w:hAnsi="Courier New"/>
          <w:b w:val="false"/>
          <w:i w:val="false"/>
          <w:sz w:val="22"/>
        </w:rPr>
        <w:t>≤ 2</w:t>
      </w:r>
      <w:r>
        <w:rPr>
          <w:rFonts w:eastAsia="Times New Roman"/>
          <w:b w:val="false"/>
          <w:i w:val="false"/>
          <w:sz w:val="24"/>
        </w:rPr>
        <w:t xml:space="preserve"> / </w:t>
      </w:r>
      <w:r>
        <w:rPr>
          <w:rFonts w:eastAsia="Courier New" w:ascii="Courier New" w:hAnsi="Courier New"/>
          <w:b w:val="false"/>
          <w:i w:val="false"/>
          <w:sz w:val="22"/>
        </w:rPr>
        <w:t>&gt; 2 e ≤ 3</w:t>
      </w:r>
      <w:r>
        <w:rPr>
          <w:rFonts w:eastAsia="Times New Roman"/>
          <w:b w:val="false"/>
          <w:i w:val="false"/>
          <w:sz w:val="24"/>
        </w:rPr>
        <w:t xml:space="preserve"> / </w:t>
      </w:r>
      <w:r>
        <w:rPr>
          <w:rFonts w:eastAsia="Courier New" w:ascii="Courier New" w:hAnsi="Courier New"/>
          <w:b w:val="false"/>
          <w:i w:val="false"/>
          <w:sz w:val="22"/>
        </w:rPr>
        <w:t>&gt; 3</w:t>
      </w:r>
      <w:r>
        <w:rPr>
          <w:rFonts w:eastAsia="Times New Roman"/>
          <w:b w:val="false"/>
          <w:i w:val="false"/>
          <w:sz w:val="24"/>
        </w:rPr>
        <w:t xml:space="preserve">), usado no índice principal, com o critério </w:t>
      </w:r>
      <w:r>
        <w:rPr>
          <w:rFonts w:eastAsia="Times New Roman"/>
          <w:b/>
          <w:i w:val="false"/>
          <w:sz w:val="24"/>
        </w:rPr>
        <w:t>binário</w:t>
      </w:r>
      <w:r>
        <w:rPr>
          <w:rFonts w:eastAsia="Times New Roman"/>
          <w:b w:val="false"/>
          <w:i w:val="false"/>
          <w:sz w:val="24"/>
        </w:rPr>
        <w:t xml:space="preserve"> (</w:t>
      </w:r>
      <w:r>
        <w:rPr>
          <w:rFonts w:eastAsia="Courier New" w:ascii="Courier New" w:hAnsi="Courier New"/>
          <w:b w:val="false"/>
          <w:i w:val="false"/>
          <w:sz w:val="22"/>
        </w:rPr>
        <w:t>&gt; 3</w:t>
      </w:r>
      <w:r>
        <w:rPr>
          <w:rFonts w:eastAsia="Times New Roman"/>
          <w:b w:val="false"/>
          <w:i w:val="false"/>
          <w:sz w:val="24"/>
        </w:rPr>
        <w:t>), como variante alternativa; ambas as versões foram calculadas sobre os registros sintéticos.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/>
          <w:i w:val="false"/>
          <w:sz w:val="24"/>
        </w:rPr>
        <w:t>Ainda planejado (não executado):</w:t>
      </w:r>
      <w:r>
        <w:rPr>
          <w:rFonts w:eastAsia="Times New Roman"/>
          <w:b w:val="false"/>
          <w:i w:val="false"/>
          <w:sz w:val="24"/>
        </w:rPr>
        <w:t xml:space="preserve"> normalização alternativa da </w:t>
      </w:r>
      <w:r>
        <w:rPr>
          <w:rFonts w:eastAsia="Courier New" w:ascii="Courier New" w:hAnsi="Courier New"/>
          <w:b w:val="false"/>
          <w:i w:val="false"/>
          <w:sz w:val="22"/>
        </w:rPr>
        <w:t>escolaridade</w:t>
      </w:r>
      <w:r>
        <w:rPr>
          <w:rFonts w:eastAsia="Times New Roman"/>
          <w:b w:val="false"/>
          <w:i w:val="false"/>
          <w:sz w:val="24"/>
        </w:rPr>
        <w:t xml:space="preserve">; perturbações nos pesos; possível componente ocupacional; e agregação menos compensatória justificável. O objetivo de toda análise de sensibilidade é testar </w:t>
      </w:r>
      <w:r>
        <w:rPr>
          <w:rFonts w:eastAsia="Times New Roman"/>
          <w:b/>
          <w:i w:val="false"/>
          <w:sz w:val="24"/>
        </w:rPr>
        <w:t>robustez</w:t>
      </w:r>
      <w:r>
        <w:rPr>
          <w:rFonts w:eastAsia="Times New Roman"/>
          <w:b w:val="false"/>
          <w:i w:val="false"/>
          <w:sz w:val="24"/>
        </w:rPr>
        <w:t xml:space="preserve"> — não escolher a posteriori a versão com "melhor resultado".</w:t>
      </w:r>
    </w:p>
    <w:p>
      <w:pPr>
        <w:pStyle w:val="Heading2"/>
        <w:ind w:hanging="0"/>
        <w:jc w:val="start"/>
        <w:rPr/>
      </w:pPr>
      <w:bookmarkStart w:id="25" w:name="__RefHeading___Toc2207_3157870603"/>
      <w:bookmarkEnd w:id="25"/>
      <w:r>
        <w:rPr>
          <w:rFonts w:eastAsia="Times New Roman" w:ascii="Times New Roman" w:hAnsi="Times New Roman"/>
          <w:b/>
          <w:sz w:val="24"/>
        </w:rPr>
        <w:t>3.4 Modelagem dos dados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>Contrato de dados canônico e versionado (</w:t>
      </w:r>
      <w:r>
        <w:rPr>
          <w:rFonts w:eastAsia="Courier New" w:ascii="Courier New" w:hAnsi="Courier New"/>
          <w:b w:val="false"/>
          <w:i w:val="false"/>
          <w:sz w:val="22"/>
        </w:rPr>
        <w:t>schema_version = '1.13'</w:t>
      </w:r>
      <w:r>
        <w:rPr>
          <w:rFonts w:eastAsia="Times New Roman"/>
          <w:b w:val="false"/>
          <w:i w:val="false"/>
          <w:sz w:val="24"/>
        </w:rPr>
        <w:t>), com códigos canônicos (</w:t>
      </w:r>
      <w:r>
        <w:rPr>
          <w:rFonts w:eastAsia="Courier New" w:ascii="Courier New" w:hAnsi="Courier New"/>
          <w:b w:val="false"/>
          <w:i w:val="false"/>
          <w:sz w:val="22"/>
        </w:rPr>
        <w:t>snake_case</w:t>
      </w:r>
      <w:r>
        <w:rPr>
          <w:rFonts w:eastAsia="Times New Roman"/>
          <w:b w:val="false"/>
          <w:i w:val="false"/>
          <w:sz w:val="24"/>
        </w:rPr>
        <w:t xml:space="preserve">) separados dos rótulos de UI. </w:t>
      </w:r>
      <w:r>
        <w:rPr>
          <w:rFonts w:eastAsia="Courier New" w:ascii="Courier New" w:hAnsi="Courier New"/>
          <w:b w:val="false"/>
          <w:i w:val="false"/>
          <w:sz w:val="22"/>
        </w:rPr>
        <w:t>FormularioData.toMap()</w:t>
      </w:r>
      <w:r>
        <w:rPr>
          <w:rFonts w:eastAsia="Times New Roman"/>
          <w:b w:val="false"/>
          <w:i w:val="false"/>
          <w:sz w:val="24"/>
        </w:rPr>
        <w:t xml:space="preserve"> (aninhado, versionado) e </w:t>
      </w:r>
      <w:r>
        <w:rPr>
          <w:rFonts w:eastAsia="Courier New" w:ascii="Courier New" w:hAnsi="Courier New"/>
          <w:b w:val="false"/>
          <w:i w:val="false"/>
          <w:sz w:val="22"/>
        </w:rPr>
        <w:t>toFlatMap()</w:t>
      </w:r>
      <w:r>
        <w:rPr>
          <w:rFonts w:eastAsia="Times New Roman"/>
          <w:b w:val="false"/>
          <w:i w:val="false"/>
          <w:sz w:val="24"/>
        </w:rPr>
        <w:t xml:space="preserve"> (</w:t>
      </w:r>
      <w:r>
        <w:rPr>
          <w:rFonts w:eastAsia="Courier New" w:ascii="Courier New" w:hAnsi="Courier New"/>
          <w:b w:val="false"/>
          <w:i w:val="false"/>
          <w:sz w:val="22"/>
        </w:rPr>
        <w:t>dimensao.campo</w:t>
      </w:r>
      <w:r>
        <w:rPr>
          <w:rFonts w:eastAsia="Times New Roman"/>
          <w:b w:val="false"/>
          <w:i w:val="false"/>
          <w:sz w:val="24"/>
        </w:rPr>
        <w:t xml:space="preserve">). O schema possui seis dimensões e 48 variáveis, todas estruturadas (booleanas, categóricas por código, múltipla escolha por código ou numéricas) — </w:t>
      </w:r>
      <w:r>
        <w:rPr>
          <w:rFonts w:eastAsia="Times New Roman"/>
          <w:b/>
          <w:i w:val="false"/>
          <w:sz w:val="24"/>
        </w:rPr>
        <w:t>sem campos de texto livre</w:t>
      </w:r>
      <w:r>
        <w:rPr>
          <w:rFonts w:eastAsia="Times New Roman"/>
          <w:b w:val="false"/>
          <w:i w:val="false"/>
          <w:sz w:val="24"/>
        </w:rPr>
        <w:t>.</w:t>
      </w:r>
    </w:p>
    <w:p>
      <w:pPr>
        <w:pStyle w:val="Heading2"/>
        <w:ind w:hanging="0"/>
        <w:jc w:val="start"/>
        <w:rPr/>
      </w:pPr>
      <w:bookmarkStart w:id="26" w:name="__RefHeading___Toc2209_3157870603"/>
      <w:bookmarkEnd w:id="26"/>
      <w:r>
        <w:rPr>
          <w:rFonts w:eastAsia="Times New Roman" w:ascii="Times New Roman" w:hAnsi="Times New Roman"/>
          <w:b/>
          <w:sz w:val="24"/>
        </w:rPr>
        <w:t>3.5 População, T0 e variável-alvo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/>
          <w:i w:val="false"/>
          <w:sz w:val="24"/>
        </w:rPr>
        <w:t>População-alvo do modelo:</w:t>
      </w:r>
      <w:r>
        <w:rPr>
          <w:rFonts w:eastAsia="Times New Roman"/>
          <w:b w:val="false"/>
          <w:i w:val="false"/>
          <w:sz w:val="24"/>
        </w:rPr>
        <w:t xml:space="preserve"> gestantes que </w:t>
      </w:r>
      <w:r>
        <w:rPr>
          <w:rFonts w:eastAsia="Times New Roman"/>
          <w:b/>
          <w:i w:val="false"/>
          <w:sz w:val="24"/>
        </w:rPr>
        <w:t>já iniciaram</w:t>
      </w:r>
      <w:r>
        <w:rPr>
          <w:rFonts w:eastAsia="Times New Roman"/>
          <w:b w:val="false"/>
          <w:i w:val="false"/>
          <w:sz w:val="24"/>
        </w:rPr>
        <w:t xml:space="preserve"> o acompanhamento pré-natal. O critério de inclusão "iniciou o pré-natal" é </w:t>
      </w:r>
      <w:r>
        <w:rPr>
          <w:rFonts w:eastAsia="Times New Roman"/>
          <w:b/>
          <w:i w:val="false"/>
          <w:sz w:val="24"/>
        </w:rPr>
        <w:t>parte da população</w:t>
      </w:r>
      <w:r>
        <w:rPr>
          <w:rFonts w:eastAsia="Times New Roman"/>
          <w:b w:val="false"/>
          <w:i w:val="false"/>
          <w:sz w:val="24"/>
        </w:rPr>
        <w:t>, não uma variável coletada pelo formulário.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/>
          <w:i w:val="false"/>
          <w:sz w:val="24"/>
        </w:rPr>
        <w:t>T0</w:t>
      </w:r>
      <w:r>
        <w:rPr>
          <w:rFonts w:eastAsia="Times New Roman"/>
          <w:b w:val="false"/>
          <w:i w:val="false"/>
          <w:sz w:val="24"/>
        </w:rPr>
        <w:t xml:space="preserve"> = instante em que a gestante conclui o questionário DSS e os dados são enviados à API para inferência. Somente informações </w:t>
      </w:r>
      <w:r>
        <w:rPr>
          <w:rFonts w:eastAsia="Times New Roman"/>
          <w:b/>
          <w:i w:val="false"/>
          <w:sz w:val="24"/>
        </w:rPr>
        <w:t>legitimamente disponíveis em ou antes de T0</w:t>
      </w:r>
      <w:r>
        <w:rPr>
          <w:rFonts w:eastAsia="Times New Roman"/>
          <w:b w:val="false"/>
          <w:i w:val="false"/>
          <w:sz w:val="24"/>
        </w:rPr>
        <w:t xml:space="preserve"> participam do modelo preditivo principal.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/>
          <w:i w:val="false"/>
          <w:sz w:val="24"/>
        </w:rPr>
        <w:t>Horizonte:</w:t>
      </w:r>
      <w:r>
        <w:rPr>
          <w:rFonts w:eastAsia="Times New Roman"/>
          <w:b w:val="false"/>
          <w:i w:val="false"/>
          <w:sz w:val="24"/>
        </w:rPr>
        <w:t xml:space="preserve"> de T0 até o término da gestação.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/>
          <w:i w:val="false"/>
          <w:sz w:val="24"/>
        </w:rPr>
        <w:t>Variável-alvo (externa ao formulário):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/>
          <w:i w:val="false"/>
          <w:sz w:val="24"/>
        </w:rPr>
        <w:t>Conceito:</w:t>
      </w:r>
      <w:r>
        <w:rPr>
          <w:rFonts w:eastAsia="Times New Roman"/>
          <w:b w:val="false"/>
          <w:i w:val="false"/>
          <w:sz w:val="24"/>
        </w:rPr>
        <w:t xml:space="preserve"> descontinuidade do acompanhamento pré-natal.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 xml:space="preserve">Há dois planos distintos que </w:t>
      </w:r>
      <w:r>
        <w:rPr>
          <w:rFonts w:eastAsia="Times New Roman"/>
          <w:b/>
          <w:i w:val="false"/>
          <w:sz w:val="24"/>
        </w:rPr>
        <w:t>não</w:t>
      </w:r>
      <w:r>
        <w:rPr>
          <w:rFonts w:eastAsia="Times New Roman"/>
          <w:b w:val="false"/>
          <w:i w:val="false"/>
          <w:sz w:val="24"/>
        </w:rPr>
        <w:t xml:space="preserve"> devem ser confundidos: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/>
          <w:i w:val="false"/>
          <w:sz w:val="24"/>
        </w:rPr>
        <w:t>A) Referência para futuro estudo com dados reais.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Times New Roman"/>
          <w:b w:val="false"/>
          <w:i w:val="false"/>
          <w:sz w:val="24"/>
        </w:rPr>
        <w:t xml:space="preserve">A Portaria GM/MS nº 5.350/2024 estabelece, no contexto da </w:t>
      </w:r>
      <w:r>
        <w:rPr>
          <w:rFonts w:eastAsia="Times New Roman"/>
          <w:b/>
          <w:i w:val="false"/>
          <w:sz w:val="24"/>
        </w:rPr>
        <w:t>Rede Alyne</w:t>
      </w:r>
      <w:r>
        <w:rPr>
          <w:rFonts w:eastAsia="Times New Roman"/>
          <w:b w:val="false"/>
          <w:i w:val="false"/>
          <w:sz w:val="24"/>
        </w:rPr>
        <w:t xml:space="preserve">, captação até 12 semanas e </w:t>
      </w:r>
      <w:r>
        <w:rPr>
          <w:rFonts w:eastAsia="Times New Roman"/>
          <w:b/>
          <w:i w:val="false"/>
          <w:sz w:val="24"/>
        </w:rPr>
        <w:t>no mínimo sete consultas</w:t>
      </w:r>
      <w:r>
        <w:rPr>
          <w:rFonts w:eastAsia="Times New Roman"/>
          <w:b w:val="false"/>
          <w:i w:val="false"/>
          <w:sz w:val="24"/>
        </w:rPr>
        <w:t xml:space="preserve"> (Art. 7º, §1º, I).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Times New Roman"/>
          <w:b w:val="false"/>
          <w:i w:val="false"/>
          <w:sz w:val="24"/>
        </w:rPr>
        <w:t xml:space="preserve">Essa referência normativa contextualiza a adequação </w:t>
      </w:r>
      <w:r>
        <w:rPr>
          <w:rFonts w:eastAsia="Times New Roman"/>
          <w:b/>
          <w:i w:val="false"/>
          <w:sz w:val="24"/>
        </w:rPr>
        <w:t>quantitativa</w:t>
      </w:r>
      <w:r>
        <w:rPr>
          <w:rFonts w:eastAsia="Times New Roman"/>
          <w:b w:val="false"/>
          <w:i w:val="false"/>
          <w:sz w:val="24"/>
        </w:rPr>
        <w:t xml:space="preserve"> do acompanhamento.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Times New Roman"/>
          <w:b w:val="false"/>
          <w:i w:val="false"/>
          <w:sz w:val="24"/>
        </w:rPr>
        <w:t xml:space="preserve">A Portaria </w:t>
      </w:r>
      <w:r>
        <w:rPr>
          <w:rFonts w:eastAsia="Times New Roman"/>
          <w:b/>
          <w:i w:val="false"/>
          <w:sz w:val="24"/>
        </w:rPr>
        <w:t>não</w:t>
      </w:r>
      <w:r>
        <w:rPr>
          <w:rFonts w:eastAsia="Times New Roman"/>
          <w:b w:val="false"/>
          <w:i w:val="false"/>
          <w:sz w:val="24"/>
        </w:rPr>
        <w:t xml:space="preserve"> define "menos de sete consultas" como critério clínico universal de abandono/descontinuidade.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Times New Roman"/>
          <w:b w:val="false"/>
          <w:i w:val="false"/>
          <w:sz w:val="24"/>
        </w:rPr>
        <w:t xml:space="preserve">A Portaria </w:t>
      </w:r>
      <w:r>
        <w:rPr>
          <w:rFonts w:eastAsia="Times New Roman"/>
          <w:b/>
          <w:i w:val="false"/>
          <w:sz w:val="24"/>
        </w:rPr>
        <w:t>não</w:t>
      </w:r>
      <w:r>
        <w:rPr>
          <w:rFonts w:eastAsia="Times New Roman"/>
          <w:b w:val="false"/>
          <w:i w:val="false"/>
          <w:sz w:val="24"/>
        </w:rPr>
        <w:t xml:space="preserve"> fornece, nesse dispositivo, tabela de número mínimo de consultas ajustada pela duração gestacional.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Times New Roman"/>
          <w:b w:val="false"/>
          <w:i w:val="false"/>
          <w:sz w:val="24"/>
        </w:rPr>
        <w:t xml:space="preserve">Em futura pesquisa com dados reais, a operacionalização </w:t>
      </w:r>
      <w:r>
        <w:rPr>
          <w:rFonts w:eastAsia="Times New Roman"/>
          <w:b/>
          <w:i w:val="false"/>
          <w:sz w:val="24"/>
        </w:rPr>
        <w:t>longitudinal</w:t>
      </w:r>
      <w:r>
        <w:rPr>
          <w:rFonts w:eastAsia="Times New Roman"/>
          <w:b w:val="false"/>
          <w:i w:val="false"/>
          <w:sz w:val="24"/>
        </w:rPr>
        <w:t xml:space="preserve"> do desfecho ainda deverá ser fundamentada especificamente e considerar adequadamente a duração da gestação.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/>
          <w:i w:val="false"/>
          <w:sz w:val="24"/>
        </w:rPr>
        <w:t>B) Experimento sintético atual.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Times New Roman"/>
          <w:b/>
          <w:i w:val="false"/>
          <w:sz w:val="24"/>
        </w:rPr>
        <w:t>Y</w:t>
      </w:r>
      <w:r>
        <w:rPr>
          <w:rFonts w:eastAsia="Times New Roman"/>
          <w:b w:val="false"/>
          <w:i w:val="false"/>
          <w:sz w:val="24"/>
        </w:rPr>
        <w:t xml:space="preserve"> é uma variável binária </w:t>
      </w:r>
      <w:r>
        <w:rPr>
          <w:rFonts w:eastAsia="Times New Roman"/>
          <w:b/>
          <w:i w:val="false"/>
          <w:sz w:val="24"/>
        </w:rPr>
        <w:t>experimental</w:t>
      </w:r>
      <w:r>
        <w:rPr>
          <w:rFonts w:eastAsia="Times New Roman"/>
          <w:b w:val="false"/>
          <w:i w:val="false"/>
          <w:sz w:val="24"/>
        </w:rPr>
        <w:t>, externa ao formulário (</w:t>
      </w:r>
      <w:r>
        <w:rPr>
          <w:rFonts w:eastAsia="Courier New" w:ascii="Courier New" w:hAnsi="Courier New"/>
          <w:b w:val="false"/>
          <w:i w:val="false"/>
          <w:sz w:val="22"/>
        </w:rPr>
        <w:t>descontinuou_pre_natal ∈ {0,1}</w:t>
      </w:r>
      <w:r>
        <w:rPr>
          <w:rFonts w:eastAsia="Times New Roman"/>
          <w:b w:val="false"/>
          <w:i w:val="false"/>
          <w:sz w:val="24"/>
        </w:rPr>
        <w:t>).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Times New Roman"/>
          <w:b w:val="false"/>
          <w:i w:val="false"/>
          <w:sz w:val="24"/>
        </w:rPr>
        <w:t xml:space="preserve">Y </w:t>
      </w:r>
      <w:r>
        <w:rPr>
          <w:rFonts w:eastAsia="Times New Roman"/>
          <w:b/>
          <w:i w:val="false"/>
          <w:sz w:val="24"/>
        </w:rPr>
        <w:t>não</w:t>
      </w:r>
      <w:r>
        <w:rPr>
          <w:rFonts w:eastAsia="Times New Roman"/>
          <w:b w:val="false"/>
          <w:i w:val="false"/>
          <w:sz w:val="24"/>
        </w:rPr>
        <w:t xml:space="preserve"> é calculado a partir de consultas simuladas.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Times New Roman"/>
          <w:b w:val="false"/>
          <w:i w:val="false"/>
          <w:sz w:val="24"/>
        </w:rPr>
        <w:t xml:space="preserve">Y </w:t>
      </w:r>
      <w:r>
        <w:rPr>
          <w:rFonts w:eastAsia="Times New Roman"/>
          <w:b/>
          <w:i w:val="false"/>
          <w:sz w:val="24"/>
        </w:rPr>
        <w:t>não</w:t>
      </w:r>
      <w:r>
        <w:rPr>
          <w:rFonts w:eastAsia="Times New Roman"/>
          <w:b w:val="false"/>
          <w:i w:val="false"/>
          <w:sz w:val="24"/>
        </w:rPr>
        <w:t xml:space="preserve"> é produzido pela aplicação da regra de sete consultas.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Times New Roman"/>
          <w:b w:val="false"/>
          <w:i w:val="false"/>
          <w:sz w:val="24"/>
        </w:rPr>
        <w:t xml:space="preserve">Y é gerado pelo </w:t>
      </w:r>
      <w:r>
        <w:rPr>
          <w:rFonts w:eastAsia="Times New Roman"/>
          <w:b/>
          <w:i w:val="false"/>
          <w:sz w:val="24"/>
        </w:rPr>
        <w:t>DGM probabilístico</w:t>
      </w:r>
      <w:r>
        <w:rPr>
          <w:rFonts w:eastAsia="Times New Roman"/>
          <w:b w:val="false"/>
          <w:i w:val="false"/>
          <w:sz w:val="24"/>
        </w:rPr>
        <w:t xml:space="preserve">: </w:t>
      </w:r>
      <w:r>
        <w:rPr>
          <w:rFonts w:eastAsia="Courier New" w:ascii="Courier New" w:hAnsi="Courier New"/>
          <w:b w:val="false"/>
          <w:i w:val="false"/>
          <w:sz w:val="22"/>
        </w:rPr>
        <w:t>g_* → eta → sigmoid → Bernoulli</w:t>
      </w:r>
      <w:r>
        <w:rPr>
          <w:rFonts w:eastAsia="Times New Roman"/>
          <w:b w:val="false"/>
          <w:i w:val="false"/>
          <w:sz w:val="24"/>
        </w:rPr>
        <w:t xml:space="preserve"> (ver 4.6).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Times New Roman"/>
          <w:b w:val="false"/>
          <w:i w:val="false"/>
          <w:sz w:val="24"/>
        </w:rPr>
        <w:t xml:space="preserve">O objetivo desse Y é testar </w:t>
      </w:r>
      <w:r>
        <w:rPr>
          <w:rFonts w:eastAsia="Times New Roman"/>
          <w:b/>
          <w:i w:val="false"/>
          <w:sz w:val="24"/>
        </w:rPr>
        <w:t>tecnicamente</w:t>
      </w:r>
      <w:r>
        <w:rPr>
          <w:rFonts w:eastAsia="Times New Roman"/>
          <w:b w:val="false"/>
          <w:i w:val="false"/>
          <w:sz w:val="24"/>
        </w:rPr>
        <w:t xml:space="preserve"> o pipeline de ML em cenário controlado.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/>
          <w:i w:val="false"/>
          <w:sz w:val="24"/>
        </w:rPr>
        <w:t>Nenhuma</w:t>
      </w:r>
      <w:r>
        <w:rPr>
          <w:rFonts w:eastAsia="Times New Roman"/>
          <w:b w:val="false"/>
          <w:i w:val="false"/>
          <w:sz w:val="24"/>
        </w:rPr>
        <w:t xml:space="preserve"> pergunta do formulário fabrica o rótulo. Em futura validação com dados reais, o critério longitudinal de desfecho deve ser definido e validado a partir dos registros reais de acompanhamento (prontuário/SISPRENATAL).</w:t>
      </w:r>
    </w:p>
    <w:p>
      <w:pPr>
        <w:pStyle w:val="Heading2"/>
        <w:ind w:hanging="0"/>
        <w:jc w:val="start"/>
        <w:rPr/>
      </w:pPr>
      <w:bookmarkStart w:id="27" w:name="__RefHeading___Toc2211_3157870603"/>
      <w:bookmarkEnd w:id="27"/>
      <w:r>
        <w:rPr>
          <w:rFonts w:eastAsia="Times New Roman" w:ascii="Times New Roman" w:hAnsi="Times New Roman"/>
          <w:b/>
          <w:sz w:val="24"/>
        </w:rPr>
        <w:t>3.6 Geração do dataset sintético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/>
          <w:i w:val="false"/>
          <w:sz w:val="24"/>
        </w:rPr>
        <w:t>Nomenclatura conceitual (usada em todo o documento):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Courier New" w:ascii="Courier New" w:hAnsi="Courier New"/>
          <w:b w:val="false"/>
          <w:i w:val="false"/>
          <w:sz w:val="22"/>
        </w:rPr>
        <w:t>Q_full</w:t>
      </w:r>
      <w:r>
        <w:rPr>
          <w:rFonts w:eastAsia="Times New Roman"/>
          <w:b w:val="false"/>
          <w:i w:val="false"/>
          <w:sz w:val="24"/>
        </w:rPr>
        <w:t xml:space="preserve"> = conjunto completo das </w:t>
      </w:r>
      <w:r>
        <w:rPr>
          <w:rFonts w:eastAsia="Times New Roman"/>
          <w:b/>
          <w:i w:val="false"/>
          <w:sz w:val="24"/>
        </w:rPr>
        <w:t>48 variáveis</w:t>
      </w:r>
      <w:r>
        <w:rPr>
          <w:rFonts w:eastAsia="Times New Roman"/>
          <w:b w:val="false"/>
          <w:i w:val="false"/>
          <w:sz w:val="24"/>
        </w:rPr>
        <w:t xml:space="preserve"> observadas do questionário DSS.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Courier New" w:ascii="Courier New" w:hAnsi="Courier New"/>
          <w:b w:val="false"/>
          <w:i w:val="false"/>
          <w:sz w:val="22"/>
        </w:rPr>
        <w:t>X_model</w:t>
      </w:r>
      <w:r>
        <w:rPr>
          <w:rFonts w:eastAsia="Times New Roman"/>
          <w:b w:val="false"/>
          <w:i w:val="false"/>
          <w:sz w:val="24"/>
        </w:rPr>
        <w:t xml:space="preserve"> = subconjunto das </w:t>
      </w:r>
      <w:r>
        <w:rPr>
          <w:rFonts w:eastAsia="Times New Roman"/>
          <w:b/>
          <w:i w:val="false"/>
          <w:sz w:val="24"/>
        </w:rPr>
        <w:t>34 variáveis ML-IN</w:t>
      </w:r>
      <w:r>
        <w:rPr>
          <w:rFonts w:eastAsia="Times New Roman"/>
          <w:b w:val="false"/>
          <w:i w:val="false"/>
          <w:sz w:val="24"/>
        </w:rPr>
        <w:t xml:space="preserve"> usadas como entrada do modelo principal.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Courier New" w:ascii="Courier New" w:hAnsi="Courier New"/>
          <w:b w:val="false"/>
          <w:i w:val="false"/>
          <w:sz w:val="22"/>
        </w:rPr>
        <w:t>X_sens</w:t>
      </w:r>
      <w:r>
        <w:rPr>
          <w:rFonts w:eastAsia="Times New Roman"/>
          <w:b w:val="false"/>
          <w:i w:val="false"/>
          <w:sz w:val="24"/>
        </w:rPr>
        <w:t xml:space="preserve"> = 34 ML-IN + 2 variáveis de sensibilidade (36), usado somente no experimento secundário 34 vs. 36.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Courier New" w:ascii="Courier New" w:hAnsi="Courier New"/>
          <w:b w:val="false"/>
          <w:i w:val="false"/>
          <w:sz w:val="22"/>
        </w:rPr>
        <w:t>Y</w:t>
      </w:r>
      <w:r>
        <w:rPr>
          <w:rFonts w:eastAsia="Times New Roman"/>
          <w:b w:val="false"/>
          <w:i w:val="false"/>
          <w:sz w:val="24"/>
        </w:rPr>
        <w:t xml:space="preserve"> = target binário sintético (externo ao formulário).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Courier New" w:ascii="Courier New" w:hAnsi="Courier New"/>
          <w:b w:val="false"/>
          <w:i w:val="false"/>
          <w:sz w:val="22"/>
        </w:rPr>
        <w:t>M_sim</w:t>
      </w:r>
      <w:r>
        <w:rPr>
          <w:rFonts w:eastAsia="Times New Roman"/>
          <w:b w:val="false"/>
          <w:i w:val="false"/>
          <w:sz w:val="24"/>
        </w:rPr>
        <w:t xml:space="preserve"> = metadados internos da simulação (</w:t>
      </w:r>
      <w:r>
        <w:rPr>
          <w:rFonts w:eastAsia="Courier New" w:ascii="Courier New" w:hAnsi="Courier New"/>
          <w:b w:val="false"/>
          <w:i w:val="false"/>
          <w:sz w:val="22"/>
        </w:rPr>
        <w:t>Z_*</w:t>
      </w:r>
      <w:r>
        <w:rPr>
          <w:rFonts w:eastAsia="Times New Roman"/>
          <w:b w:val="false"/>
          <w:i w:val="false"/>
          <w:sz w:val="24"/>
        </w:rPr>
        <w:t xml:space="preserve">, </w:t>
      </w:r>
      <w:r>
        <w:rPr>
          <w:rFonts w:eastAsia="Courier New" w:ascii="Courier New" w:hAnsi="Courier New"/>
          <w:b w:val="false"/>
          <w:i w:val="false"/>
          <w:sz w:val="22"/>
        </w:rPr>
        <w:t>g_*</w:t>
      </w:r>
      <w:r>
        <w:rPr>
          <w:rFonts w:eastAsia="Times New Roman"/>
          <w:b w:val="false"/>
          <w:i w:val="false"/>
          <w:sz w:val="24"/>
        </w:rPr>
        <w:t xml:space="preserve">, </w:t>
      </w:r>
      <w:r>
        <w:rPr>
          <w:rFonts w:eastAsia="Courier New" w:ascii="Courier New" w:hAnsi="Courier New"/>
          <w:b w:val="false"/>
          <w:i w:val="false"/>
          <w:sz w:val="22"/>
        </w:rPr>
        <w:t>eta</w:t>
      </w:r>
      <w:r>
        <w:rPr>
          <w:rFonts w:eastAsia="Times New Roman"/>
          <w:b w:val="false"/>
          <w:i w:val="false"/>
          <w:sz w:val="24"/>
        </w:rPr>
        <w:t xml:space="preserve">, </w:t>
      </w:r>
      <w:r>
        <w:rPr>
          <w:rFonts w:eastAsia="Courier New" w:ascii="Courier New" w:hAnsi="Courier New"/>
          <w:b w:val="false"/>
          <w:i w:val="false"/>
          <w:sz w:val="22"/>
        </w:rPr>
        <w:t>p_true</w:t>
      </w:r>
      <w:r>
        <w:rPr>
          <w:rFonts w:eastAsia="Times New Roman"/>
          <w:b w:val="false"/>
          <w:i w:val="false"/>
          <w:sz w:val="24"/>
        </w:rPr>
        <w:t>, condição/renda latente verdadeira etc.), nunca observados pelo modelo.</w:t>
      </w:r>
    </w:p>
    <w:p>
      <w:pPr>
        <w:pStyle w:val="CodeBlock"/>
        <w:shd w:fill="F2F2F2"/>
        <w:rPr/>
      </w:pPr>
      <w:r>
        <w:rPr>
          <w:rFonts w:eastAsia="Courier New"/>
          <w:sz w:val="18"/>
        </w:rPr>
        <w:t>Q_full (48)</w:t>
        <w:br/>
        <w:t xml:space="preserve">   |</w:t>
        <w:br/>
        <w:t xml:space="preserve">   |--&gt; seleção --&gt; X_model (34) --&gt; ML principal</w:t>
        <w:br/>
        <w:t xml:space="preserve">   |</w:t>
        <w:br/>
        <w:t xml:space="preserve">   |--&gt; seleção --&gt; X_sens (36)  --&gt; análise de sensibilidade</w:t>
        <w:br/>
        <w:t xml:space="preserve">   |</w:t>
        <w:br/>
        <w:t xml:space="preserve">   `--&gt; cálculo independente --&gt; IV-DSS</w:t>
        <w:br/>
        <w:br/>
        <w:t>M_sim  --&gt; auditoria do simulador somente</w:t>
        <w:br/>
        <w:t>Y      --&gt; variável-alvo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Times New Roman"/>
          <w:b w:val="false"/>
          <w:i w:val="false"/>
          <w:sz w:val="24"/>
        </w:rPr>
        <w:t xml:space="preserve">As 5 OUT-LEAKAGE e as 5 OUT-TEMPORAL pertencem a </w:t>
      </w:r>
      <w:r>
        <w:rPr>
          <w:rFonts w:eastAsia="Courier New" w:ascii="Courier New" w:hAnsi="Courier New"/>
          <w:b w:val="false"/>
          <w:i w:val="false"/>
          <w:sz w:val="22"/>
        </w:rPr>
        <w:t>Q_full</w:t>
      </w:r>
      <w:r>
        <w:rPr>
          <w:rFonts w:eastAsia="Times New Roman"/>
          <w:b w:val="false"/>
          <w:i w:val="false"/>
          <w:sz w:val="24"/>
        </w:rPr>
        <w:t xml:space="preserve">, mas </w:t>
      </w:r>
      <w:r>
        <w:rPr>
          <w:rFonts w:eastAsia="Times New Roman"/>
          <w:b/>
          <w:i w:val="false"/>
          <w:sz w:val="24"/>
        </w:rPr>
        <w:t>não</w:t>
      </w:r>
      <w:r>
        <w:rPr>
          <w:rFonts w:eastAsia="Times New Roman"/>
          <w:b w:val="false"/>
          <w:i w:val="false"/>
          <w:sz w:val="24"/>
        </w:rPr>
        <w:t xml:space="preserve"> a </w:t>
      </w:r>
      <w:r>
        <w:rPr>
          <w:rFonts w:eastAsia="Courier New" w:ascii="Courier New" w:hAnsi="Courier New"/>
          <w:b w:val="false"/>
          <w:i w:val="false"/>
          <w:sz w:val="22"/>
        </w:rPr>
        <w:t>X_model</w:t>
      </w:r>
      <w:r>
        <w:rPr>
          <w:rFonts w:eastAsia="Times New Roman"/>
          <w:b w:val="false"/>
          <w:i w:val="false"/>
          <w:sz w:val="24"/>
        </w:rPr>
        <w:t>.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Times New Roman"/>
          <w:b w:val="false"/>
          <w:i w:val="false"/>
          <w:sz w:val="24"/>
        </w:rPr>
        <w:t xml:space="preserve">As 2 DESCRITIVAS pertencem a </w:t>
      </w:r>
      <w:r>
        <w:rPr>
          <w:rFonts w:eastAsia="Courier New" w:ascii="Courier New" w:hAnsi="Courier New"/>
          <w:b w:val="false"/>
          <w:i w:val="false"/>
          <w:sz w:val="22"/>
        </w:rPr>
        <w:t>Q_full</w:t>
      </w:r>
      <w:r>
        <w:rPr>
          <w:rFonts w:eastAsia="Times New Roman"/>
          <w:b w:val="false"/>
          <w:i w:val="false"/>
          <w:sz w:val="24"/>
        </w:rPr>
        <w:t xml:space="preserve">, mas </w:t>
      </w:r>
      <w:r>
        <w:rPr>
          <w:rFonts w:eastAsia="Times New Roman"/>
          <w:b/>
          <w:i w:val="false"/>
          <w:sz w:val="24"/>
        </w:rPr>
        <w:t>não</w:t>
      </w:r>
      <w:r>
        <w:rPr>
          <w:rFonts w:eastAsia="Times New Roman"/>
          <w:b w:val="false"/>
          <w:i w:val="false"/>
          <w:sz w:val="24"/>
        </w:rPr>
        <w:t xml:space="preserve"> a </w:t>
      </w:r>
      <w:r>
        <w:rPr>
          <w:rFonts w:eastAsia="Courier New" w:ascii="Courier New" w:hAnsi="Courier New"/>
          <w:b w:val="false"/>
          <w:i w:val="false"/>
          <w:sz w:val="22"/>
        </w:rPr>
        <w:t>X_model</w:t>
      </w:r>
      <w:r>
        <w:rPr>
          <w:rFonts w:eastAsia="Times New Roman"/>
          <w:b w:val="false"/>
          <w:i w:val="false"/>
          <w:sz w:val="24"/>
        </w:rPr>
        <w:t>.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Times New Roman"/>
          <w:b w:val="false"/>
          <w:i w:val="false"/>
          <w:sz w:val="24"/>
        </w:rPr>
        <w:t xml:space="preserve">As 2 SENSIBILIDADE pertencem a </w:t>
      </w:r>
      <w:r>
        <w:rPr>
          <w:rFonts w:eastAsia="Courier New" w:ascii="Courier New" w:hAnsi="Courier New"/>
          <w:b w:val="false"/>
          <w:i w:val="false"/>
          <w:sz w:val="22"/>
        </w:rPr>
        <w:t>Q_full</w:t>
      </w:r>
      <w:r>
        <w:rPr>
          <w:rFonts w:eastAsia="Times New Roman"/>
          <w:b w:val="false"/>
          <w:i w:val="false"/>
          <w:sz w:val="24"/>
        </w:rPr>
        <w:t xml:space="preserve"> e somente entram em </w:t>
      </w:r>
      <w:r>
        <w:rPr>
          <w:rFonts w:eastAsia="Courier New" w:ascii="Courier New" w:hAnsi="Courier New"/>
          <w:b w:val="false"/>
          <w:i w:val="false"/>
          <w:sz w:val="22"/>
        </w:rPr>
        <w:t>X_sens</w:t>
      </w:r>
      <w:r>
        <w:rPr>
          <w:rFonts w:eastAsia="Times New Roman"/>
          <w:b w:val="false"/>
          <w:i w:val="false"/>
          <w:sz w:val="24"/>
        </w:rPr>
        <w:t>.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Courier New" w:ascii="Courier New" w:hAnsi="Courier New"/>
          <w:b w:val="false"/>
          <w:i w:val="false"/>
          <w:sz w:val="22"/>
        </w:rPr>
        <w:t>M_sim</w:t>
      </w:r>
      <w:r>
        <w:rPr>
          <w:rFonts w:eastAsia="Times New Roman"/>
          <w:b w:val="false"/>
          <w:i w:val="false"/>
          <w:sz w:val="24"/>
        </w:rPr>
        <w:t xml:space="preserve"> </w:t>
      </w:r>
      <w:r>
        <w:rPr>
          <w:rFonts w:eastAsia="Times New Roman"/>
          <w:b/>
          <w:i w:val="false"/>
          <w:sz w:val="24"/>
        </w:rPr>
        <w:t>nunca</w:t>
      </w:r>
      <w:r>
        <w:rPr>
          <w:rFonts w:eastAsia="Times New Roman"/>
          <w:b w:val="false"/>
          <w:i w:val="false"/>
          <w:sz w:val="24"/>
        </w:rPr>
        <w:t xml:space="preserve"> é entrada do treinamento.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>Fluxo de geração (seed fixa, gerador versionado):</w:t>
      </w:r>
    </w:p>
    <w:p>
      <w:pPr>
        <w:pStyle w:val="CodeBlock"/>
        <w:shd w:fill="F2F2F2"/>
        <w:rPr/>
      </w:pPr>
      <w:r>
        <w:rPr>
          <w:rFonts w:eastAsia="Courier New"/>
          <w:sz w:val="18"/>
        </w:rPr>
        <w:t>Geração de Q_full (48)</w:t>
        <w:br/>
        <w:t xml:space="preserve">      |</w:t>
        <w:br/>
        <w:t xml:space="preserve">      |--&gt; cálculo independente do IV-DSS   (função de Q_full)</w:t>
        <w:br/>
        <w:t xml:space="preserve">      |</w:t>
        <w:br/>
        <w:t xml:space="preserve">      `--&gt; fatores g_* → escore latente → probabilidade → Y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Times New Roman"/>
          <w:b/>
          <w:i w:val="false"/>
          <w:sz w:val="24"/>
        </w:rPr>
        <w:t>Q_full</w:t>
      </w:r>
      <w:r>
        <w:rPr>
          <w:rFonts w:eastAsia="Times New Roman"/>
          <w:b w:val="false"/>
          <w:i w:val="false"/>
          <w:sz w:val="24"/>
        </w:rPr>
        <w:t xml:space="preserve"> = variáveis dos DSS observadas (48, tabulares);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Times New Roman"/>
          <w:b/>
          <w:i w:val="false"/>
          <w:sz w:val="24"/>
        </w:rPr>
        <w:t>IV-DSS</w:t>
      </w:r>
      <w:r>
        <w:rPr>
          <w:rFonts w:eastAsia="Times New Roman"/>
          <w:b w:val="false"/>
          <w:i w:val="false"/>
          <w:sz w:val="24"/>
        </w:rPr>
        <w:t xml:space="preserve"> = variável </w:t>
      </w:r>
      <w:r>
        <w:rPr>
          <w:rFonts w:eastAsia="Times New Roman"/>
          <w:b/>
          <w:i w:val="false"/>
          <w:sz w:val="24"/>
        </w:rPr>
        <w:t>derivada</w:t>
      </w:r>
      <w:r>
        <w:rPr>
          <w:rFonts w:eastAsia="Times New Roman"/>
          <w:b w:val="false"/>
          <w:i w:val="false"/>
          <w:sz w:val="24"/>
        </w:rPr>
        <w:t xml:space="preserve"> de </w:t>
      </w:r>
      <w:r>
        <w:rPr>
          <w:rFonts w:eastAsia="Courier New" w:ascii="Courier New" w:hAnsi="Courier New"/>
          <w:b w:val="false"/>
          <w:i w:val="false"/>
          <w:sz w:val="22"/>
        </w:rPr>
        <w:t>Q_full</w:t>
      </w:r>
      <w:r>
        <w:rPr>
          <w:rFonts w:eastAsia="Times New Roman"/>
          <w:b w:val="false"/>
          <w:i w:val="false"/>
          <w:sz w:val="24"/>
        </w:rPr>
        <w:t xml:space="preserve"> (função determinística, independente);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Times New Roman"/>
          <w:b/>
          <w:i w:val="false"/>
          <w:sz w:val="24"/>
        </w:rPr>
        <w:t>Y</w:t>
      </w:r>
      <w:r>
        <w:rPr>
          <w:rFonts w:eastAsia="Times New Roman"/>
          <w:b w:val="false"/>
          <w:i w:val="false"/>
          <w:sz w:val="24"/>
        </w:rPr>
        <w:t xml:space="preserve"> = descontinuidade do pré-natal (target sintético).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/>
          <w:i w:val="false"/>
          <w:sz w:val="24"/>
        </w:rPr>
        <w:t>O IV-DSS não participa da geração de Y.</w:t>
      </w:r>
      <w:r>
        <w:rPr>
          <w:rFonts w:eastAsia="Times New Roman"/>
          <w:b w:val="false"/>
          <w:i w:val="false"/>
          <w:sz w:val="24"/>
        </w:rPr>
        <w:t xml:space="preserve"> O Y é gerado por um </w:t>
      </w:r>
      <w:r>
        <w:rPr>
          <w:rFonts w:eastAsia="Times New Roman"/>
          <w:b/>
          <w:i w:val="false"/>
          <w:sz w:val="24"/>
        </w:rPr>
        <w:t>mecanismo probabilístico experimental (DGM)</w:t>
      </w:r>
      <w:r>
        <w:rPr>
          <w:rFonts w:eastAsia="Times New Roman"/>
          <w:b w:val="false"/>
          <w:i w:val="false"/>
          <w:sz w:val="24"/>
        </w:rPr>
        <w:t xml:space="preserve">, cujos coeficientes são </w:t>
      </w:r>
      <w:r>
        <w:rPr>
          <w:rFonts w:eastAsia="Times New Roman"/>
          <w:b/>
          <w:i w:val="false"/>
          <w:sz w:val="24"/>
        </w:rPr>
        <w:t>parâmetros de simulação</w:t>
      </w:r>
      <w:r>
        <w:rPr>
          <w:rFonts w:eastAsia="Times New Roman"/>
          <w:b w:val="false"/>
          <w:i w:val="false"/>
          <w:sz w:val="24"/>
        </w:rPr>
        <w:t xml:space="preserve"> — não _odds ratios_ da literatura.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Times New Roman"/>
          <w:b/>
          <w:i w:val="false"/>
          <w:sz w:val="24"/>
        </w:rPr>
        <w:t>Fatores latentes Z:</w:t>
      </w:r>
      <w:r>
        <w:rPr>
          <w:rFonts w:eastAsia="Times New Roman"/>
          <w:b w:val="false"/>
          <w:i w:val="false"/>
          <w:sz w:val="24"/>
        </w:rPr>
        <w:t xml:space="preserve"> cinco fatores internos do simulador (</w:t>
      </w:r>
      <w:r>
        <w:rPr>
          <w:rFonts w:eastAsia="Courier New" w:ascii="Courier New" w:hAnsi="Courier New"/>
          <w:b w:val="false"/>
          <w:i w:val="false"/>
          <w:sz w:val="22"/>
        </w:rPr>
        <w:t>Z_SES</w:t>
      </w:r>
      <w:r>
        <w:rPr>
          <w:rFonts w:eastAsia="Times New Roman"/>
          <w:b w:val="false"/>
          <w:i w:val="false"/>
          <w:sz w:val="24"/>
        </w:rPr>
        <w:t xml:space="preserve">, </w:t>
      </w:r>
      <w:r>
        <w:rPr>
          <w:rFonts w:eastAsia="Courier New" w:ascii="Courier New" w:hAnsi="Courier New"/>
          <w:b w:val="false"/>
          <w:i w:val="false"/>
          <w:sz w:val="22"/>
        </w:rPr>
        <w:t>Z_LAB</w:t>
      </w:r>
      <w:r>
        <w:rPr>
          <w:rFonts w:eastAsia="Times New Roman"/>
          <w:b w:val="false"/>
          <w:i w:val="false"/>
          <w:sz w:val="24"/>
        </w:rPr>
        <w:t xml:space="preserve">, </w:t>
      </w:r>
      <w:r>
        <w:rPr>
          <w:rFonts w:eastAsia="Courier New" w:ascii="Courier New" w:hAnsi="Courier New"/>
          <w:b w:val="false"/>
          <w:i w:val="false"/>
          <w:sz w:val="22"/>
        </w:rPr>
        <w:t>Z_TERR</w:t>
      </w:r>
      <w:r>
        <w:rPr>
          <w:rFonts w:eastAsia="Times New Roman"/>
          <w:b w:val="false"/>
          <w:i w:val="false"/>
          <w:sz w:val="24"/>
        </w:rPr>
        <w:t xml:space="preserve">, </w:t>
      </w:r>
      <w:r>
        <w:rPr>
          <w:rFonts w:eastAsia="Courier New" w:ascii="Courier New" w:hAnsi="Courier New"/>
          <w:b w:val="false"/>
          <w:i w:val="false"/>
          <w:sz w:val="22"/>
        </w:rPr>
        <w:t>Z_INFRA</w:t>
      </w:r>
      <w:r>
        <w:rPr>
          <w:rFonts w:eastAsia="Times New Roman"/>
          <w:b w:val="false"/>
          <w:i w:val="false"/>
          <w:sz w:val="24"/>
        </w:rPr>
        <w:t xml:space="preserve">, </w:t>
      </w:r>
      <w:r>
        <w:rPr>
          <w:rFonts w:eastAsia="Courier New" w:ascii="Courier New" w:hAnsi="Courier New"/>
          <w:b w:val="false"/>
          <w:i w:val="false"/>
          <w:sz w:val="22"/>
        </w:rPr>
        <w:t>Z_SERV</w:t>
      </w:r>
      <w:r>
        <w:rPr>
          <w:rFonts w:eastAsia="Times New Roman"/>
          <w:b w:val="false"/>
          <w:i w:val="false"/>
          <w:sz w:val="24"/>
        </w:rPr>
        <w:t xml:space="preserve">) gerados por distribuição normal multivariada com correlações moderadas. Esses fatores </w:t>
      </w:r>
      <w:r>
        <w:rPr>
          <w:rFonts w:eastAsia="Times New Roman"/>
          <w:b/>
          <w:i w:val="false"/>
          <w:sz w:val="24"/>
        </w:rPr>
        <w:t>não</w:t>
      </w:r>
      <w:r>
        <w:rPr>
          <w:rFonts w:eastAsia="Times New Roman"/>
          <w:b w:val="false"/>
          <w:i w:val="false"/>
          <w:sz w:val="24"/>
        </w:rPr>
        <w:t xml:space="preserve"> vão ao Flutter, à API, ao ML nem ao IV-DSS.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Times New Roman"/>
          <w:b/>
          <w:i w:val="false"/>
          <w:sz w:val="24"/>
        </w:rPr>
        <w:t>Camadas de geração:</w:t>
      </w:r>
      <w:r>
        <w:rPr>
          <w:rFonts w:eastAsia="Times New Roman"/>
          <w:b w:val="false"/>
          <w:i w:val="false"/>
          <w:sz w:val="24"/>
        </w:rPr>
        <w:t xml:space="preserve"> fatores latentes → variáveis base → variáveis dependentes/condicionais → multiselects/descritivas → validação das invariantes do schema → fatores </w:t>
      </w:r>
      <w:r>
        <w:rPr>
          <w:rFonts w:eastAsia="Courier New" w:ascii="Courier New" w:hAnsi="Courier New"/>
          <w:b w:val="false"/>
          <w:i w:val="false"/>
          <w:sz w:val="22"/>
        </w:rPr>
        <w:t>g_*</w:t>
      </w:r>
      <w:r>
        <w:rPr>
          <w:rFonts w:eastAsia="Times New Roman"/>
          <w:b w:val="false"/>
          <w:i w:val="false"/>
          <w:sz w:val="24"/>
        </w:rPr>
        <w:t xml:space="preserve"> → Y → IV-DSS.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Times New Roman"/>
          <w:b/>
          <w:i w:val="false"/>
          <w:sz w:val="24"/>
        </w:rPr>
        <w:t>Fatores g:</w:t>
      </w:r>
      <w:r>
        <w:rPr>
          <w:rFonts w:eastAsia="Times New Roman"/>
          <w:b w:val="false"/>
          <w:i w:val="false"/>
          <w:sz w:val="24"/>
        </w:rPr>
        <w:t xml:space="preserve"> oito fatores internos derivados de </w:t>
      </w:r>
      <w:r>
        <w:rPr>
          <w:rFonts w:eastAsia="Courier New" w:ascii="Courier New" w:hAnsi="Courier New"/>
          <w:b w:val="false"/>
          <w:i w:val="false"/>
          <w:sz w:val="22"/>
        </w:rPr>
        <w:t>Q_full</w:t>
      </w:r>
      <w:r>
        <w:rPr>
          <w:rFonts w:eastAsia="Times New Roman"/>
          <w:b w:val="false"/>
          <w:i w:val="false"/>
          <w:sz w:val="24"/>
        </w:rPr>
        <w:t xml:space="preserve"> (</w:t>
      </w:r>
      <w:r>
        <w:rPr>
          <w:rFonts w:eastAsia="Courier New" w:ascii="Courier New" w:hAnsi="Courier New"/>
          <w:b w:val="false"/>
          <w:i w:val="false"/>
          <w:sz w:val="22"/>
        </w:rPr>
        <w:t>g_escolaridade</w:t>
      </w:r>
      <w:r>
        <w:rPr>
          <w:rFonts w:eastAsia="Times New Roman"/>
          <w:b w:val="false"/>
          <w:i w:val="false"/>
          <w:sz w:val="24"/>
        </w:rPr>
        <w:t xml:space="preserve">, </w:t>
      </w:r>
      <w:r>
        <w:rPr>
          <w:rFonts w:eastAsia="Courier New" w:ascii="Courier New" w:hAnsi="Courier New"/>
          <w:b w:val="false"/>
          <w:i w:val="false"/>
          <w:sz w:val="22"/>
        </w:rPr>
        <w:t>g_renda</w:t>
      </w:r>
      <w:r>
        <w:rPr>
          <w:rFonts w:eastAsia="Times New Roman"/>
          <w:b w:val="false"/>
          <w:i w:val="false"/>
          <w:sz w:val="24"/>
        </w:rPr>
        <w:t xml:space="preserve">, </w:t>
      </w:r>
      <w:r>
        <w:rPr>
          <w:rFonts w:eastAsia="Courier New" w:ascii="Courier New" w:hAnsi="Courier New"/>
          <w:b w:val="false"/>
          <w:i w:val="false"/>
          <w:sz w:val="22"/>
        </w:rPr>
        <w:t>g_distancia</w:t>
      </w:r>
      <w:r>
        <w:rPr>
          <w:rFonts w:eastAsia="Times New Roman"/>
          <w:b w:val="false"/>
          <w:i w:val="false"/>
          <w:sz w:val="24"/>
        </w:rPr>
        <w:t xml:space="preserve">, </w:t>
      </w:r>
      <w:r>
        <w:rPr>
          <w:rFonts w:eastAsia="Courier New" w:ascii="Courier New" w:hAnsi="Courier New"/>
          <w:b w:val="false"/>
          <w:i w:val="false"/>
          <w:sz w:val="22"/>
        </w:rPr>
        <w:t>g_transporte</w:t>
      </w:r>
      <w:r>
        <w:rPr>
          <w:rFonts w:eastAsia="Times New Roman"/>
          <w:b w:val="false"/>
          <w:i w:val="false"/>
          <w:sz w:val="24"/>
        </w:rPr>
        <w:t xml:space="preserve">, </w:t>
      </w:r>
      <w:r>
        <w:rPr>
          <w:rFonts w:eastAsia="Courier New" w:ascii="Courier New" w:hAnsi="Courier New"/>
          <w:b w:val="false"/>
          <w:i w:val="false"/>
          <w:sz w:val="22"/>
        </w:rPr>
        <w:t>g_organizacao</w:t>
      </w:r>
      <w:r>
        <w:rPr>
          <w:rFonts w:eastAsia="Times New Roman"/>
          <w:b w:val="false"/>
          <w:i w:val="false"/>
          <w:sz w:val="24"/>
        </w:rPr>
        <w:t xml:space="preserve">, </w:t>
      </w:r>
      <w:r>
        <w:rPr>
          <w:rFonts w:eastAsia="Courier New" w:ascii="Courier New" w:hAnsi="Courier New"/>
          <w:b w:val="false"/>
          <w:i w:val="false"/>
          <w:sz w:val="22"/>
        </w:rPr>
        <w:t>g_trabalho</w:t>
      </w:r>
      <w:r>
        <w:rPr>
          <w:rFonts w:eastAsia="Times New Roman"/>
          <w:b w:val="false"/>
          <w:i w:val="false"/>
          <w:sz w:val="24"/>
        </w:rPr>
        <w:t xml:space="preserve">, </w:t>
      </w:r>
      <w:r>
        <w:rPr>
          <w:rFonts w:eastAsia="Courier New" w:ascii="Courier New" w:hAnsi="Courier New"/>
          <w:b w:val="false"/>
          <w:i w:val="false"/>
          <w:sz w:val="22"/>
        </w:rPr>
        <w:t>g_privacao_alimentar</w:t>
      </w:r>
      <w:r>
        <w:rPr>
          <w:rFonts w:eastAsia="Times New Roman"/>
          <w:b w:val="false"/>
          <w:i w:val="false"/>
          <w:sz w:val="24"/>
        </w:rPr>
        <w:t xml:space="preserve">, </w:t>
      </w:r>
      <w:r>
        <w:rPr>
          <w:rFonts w:eastAsia="Courier New" w:ascii="Courier New" w:hAnsi="Courier New"/>
          <w:b w:val="false"/>
          <w:i w:val="false"/>
          <w:sz w:val="22"/>
        </w:rPr>
        <w:t>g_adensamento</w:t>
      </w:r>
      <w:r>
        <w:rPr>
          <w:rFonts w:eastAsia="Times New Roman"/>
          <w:b w:val="false"/>
          <w:i w:val="false"/>
          <w:sz w:val="24"/>
        </w:rPr>
        <w:t>) alimentam o escore latente de Y, com duas interações experimentais (</w:t>
      </w:r>
      <w:r>
        <w:rPr>
          <w:rFonts w:eastAsia="Courier New" w:ascii="Courier New" w:hAnsi="Courier New"/>
          <w:b w:val="false"/>
          <w:i w:val="false"/>
          <w:sz w:val="22"/>
        </w:rPr>
        <w:t>g_renda × g_privacao_alimentar</w:t>
      </w:r>
      <w:r>
        <w:rPr>
          <w:rFonts w:eastAsia="Times New Roman"/>
          <w:b w:val="false"/>
          <w:i w:val="false"/>
          <w:sz w:val="24"/>
        </w:rPr>
        <w:t xml:space="preserve">, </w:t>
      </w:r>
      <w:r>
        <w:rPr>
          <w:rFonts w:eastAsia="Courier New" w:ascii="Courier New" w:hAnsi="Courier New"/>
          <w:b w:val="false"/>
          <w:i w:val="false"/>
          <w:sz w:val="22"/>
        </w:rPr>
        <w:t>g_distancia × g_transporte</w:t>
      </w:r>
      <w:r>
        <w:rPr>
          <w:rFonts w:eastAsia="Times New Roman"/>
          <w:b w:val="false"/>
          <w:i w:val="false"/>
          <w:sz w:val="24"/>
        </w:rPr>
        <w:t>).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Times New Roman"/>
          <w:b/>
          <w:i w:val="false"/>
          <w:sz w:val="24"/>
        </w:rPr>
        <w:t>Equação:</w:t>
      </w:r>
      <w:r>
        <w:rPr>
          <w:rFonts w:eastAsia="Times New Roman"/>
          <w:b w:val="false"/>
          <w:i w:val="false"/>
          <w:sz w:val="24"/>
        </w:rPr>
        <w:t xml:space="preserve"> </w:t>
      </w:r>
      <w:r>
        <w:rPr>
          <w:rFonts w:eastAsia="Courier New" w:ascii="Courier New" w:hAnsi="Courier New"/>
          <w:b w:val="false"/>
          <w:i w:val="false"/>
          <w:sz w:val="22"/>
        </w:rPr>
        <w:t>eta = alpha + 0.50·E + 0.55·R + 0.45·D + 0.55·T + 0.40·O + 0.40·W + 0.30·F + 0.25·H + 0.30·(R·F) + 0.35·(D·T) + U</w:t>
      </w:r>
      <w:r>
        <w:rPr>
          <w:rFonts w:eastAsia="Times New Roman"/>
          <w:b w:val="false"/>
          <w:i w:val="false"/>
          <w:sz w:val="24"/>
        </w:rPr>
        <w:t xml:space="preserve">, com </w:t>
      </w:r>
      <w:r>
        <w:rPr>
          <w:rFonts w:eastAsia="Courier New" w:ascii="Courier New" w:hAnsi="Courier New"/>
          <w:b w:val="false"/>
          <w:i w:val="false"/>
          <w:sz w:val="22"/>
        </w:rPr>
        <w:t>U ~ Normal(0, 0.50)</w:t>
      </w:r>
      <w:r>
        <w:rPr>
          <w:rFonts w:eastAsia="Times New Roman"/>
          <w:b w:val="false"/>
          <w:i w:val="false"/>
          <w:sz w:val="24"/>
        </w:rPr>
        <w:t xml:space="preserve">; depois </w:t>
      </w:r>
      <w:r>
        <w:rPr>
          <w:rFonts w:eastAsia="Courier New" w:ascii="Courier New" w:hAnsi="Courier New"/>
          <w:b w:val="false"/>
          <w:i w:val="false"/>
          <w:sz w:val="22"/>
        </w:rPr>
        <w:t>p = sigmoid(eta)</w:t>
      </w:r>
      <w:r>
        <w:rPr>
          <w:rFonts w:eastAsia="Times New Roman"/>
          <w:b w:val="false"/>
          <w:i w:val="false"/>
          <w:sz w:val="24"/>
        </w:rPr>
        <w:t xml:space="preserve"> e </w:t>
      </w:r>
      <w:r>
        <w:rPr>
          <w:rFonts w:eastAsia="Courier New" w:ascii="Courier New" w:hAnsi="Courier New"/>
          <w:b w:val="false"/>
          <w:i w:val="false"/>
          <w:sz w:val="22"/>
        </w:rPr>
        <w:t>Y ~ Bernoulli(p)</w:t>
      </w:r>
      <w:r>
        <w:rPr>
          <w:rFonts w:eastAsia="Times New Roman"/>
          <w:b w:val="false"/>
          <w:i w:val="false"/>
          <w:sz w:val="24"/>
        </w:rPr>
        <w:t>.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Times New Roman"/>
          <w:b/>
          <w:i w:val="false"/>
          <w:sz w:val="24"/>
        </w:rPr>
        <w:t>Calibração do intercepto:</w:t>
      </w:r>
      <w:r>
        <w:rPr>
          <w:rFonts w:eastAsia="Times New Roman"/>
          <w:b w:val="false"/>
          <w:i w:val="false"/>
          <w:sz w:val="24"/>
        </w:rPr>
        <w:t xml:space="preserve"> </w:t>
      </w:r>
      <w:r>
        <w:rPr>
          <w:rFonts w:eastAsia="Courier New" w:ascii="Courier New" w:hAnsi="Courier New"/>
          <w:b w:val="false"/>
          <w:i w:val="false"/>
          <w:sz w:val="22"/>
        </w:rPr>
        <w:t>alpha</w:t>
      </w:r>
      <w:r>
        <w:rPr>
          <w:rFonts w:eastAsia="Times New Roman"/>
          <w:b w:val="false"/>
          <w:i w:val="false"/>
          <w:sz w:val="24"/>
        </w:rPr>
        <w:t xml:space="preserve"> é calibrado numericamente para que a média das probabilidades verdadeiras ≈ proporção sintética planejada (~25%).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Times New Roman"/>
          <w:b/>
          <w:i w:val="false"/>
          <w:sz w:val="24"/>
        </w:rPr>
        <w:t>Não-determinismo controlado:</w:t>
      </w:r>
      <w:r>
        <w:rPr>
          <w:rFonts w:eastAsia="Times New Roman"/>
          <w:b w:val="false"/>
          <w:i w:val="false"/>
          <w:sz w:val="24"/>
        </w:rPr>
        <w:t xml:space="preserve"> </w:t>
      </w:r>
      <w:r>
        <w:rPr>
          <w:rFonts w:eastAsia="Courier New" w:ascii="Courier New" w:hAnsi="Courier New"/>
          <w:b w:val="false"/>
          <w:i w:val="false"/>
          <w:sz w:val="22"/>
        </w:rPr>
        <w:t>faixa_renda = nao_informar</w:t>
      </w:r>
      <w:r>
        <w:rPr>
          <w:rFonts w:eastAsia="Times New Roman"/>
          <w:b w:val="false"/>
          <w:i w:val="false"/>
          <w:sz w:val="24"/>
        </w:rPr>
        <w:t xml:space="preserve"> em pequena parcela dos registros — o simulador conhece a condição econômica verdadeira antes da ocultação; o modelo recebe apenas </w:t>
      </w:r>
      <w:r>
        <w:rPr>
          <w:rFonts w:eastAsia="Courier New" w:ascii="Courier New" w:hAnsi="Courier New"/>
          <w:b w:val="false"/>
          <w:i w:val="false"/>
          <w:sz w:val="22"/>
        </w:rPr>
        <w:t>nao_informar</w:t>
      </w:r>
      <w:r>
        <w:rPr>
          <w:rFonts w:eastAsia="Times New Roman"/>
          <w:b w:val="false"/>
          <w:i w:val="false"/>
          <w:sz w:val="24"/>
        </w:rPr>
        <w:t>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 xml:space="preserve">O dataset foi </w:t>
      </w:r>
      <w:r>
        <w:rPr>
          <w:rFonts w:eastAsia="Times New Roman"/>
          <w:b/>
          <w:i w:val="false"/>
          <w:sz w:val="24"/>
        </w:rPr>
        <w:t>gerado</w:t>
      </w:r>
      <w:r>
        <w:rPr>
          <w:rFonts w:eastAsia="Times New Roman"/>
          <w:b w:val="false"/>
          <w:i w:val="false"/>
          <w:sz w:val="24"/>
        </w:rPr>
        <w:t xml:space="preserve"> com as seguintes configurações: </w:t>
      </w:r>
      <w:r>
        <w:rPr>
          <w:rFonts w:eastAsia="Times New Roman"/>
          <w:b/>
          <w:i w:val="false"/>
          <w:sz w:val="24"/>
        </w:rPr>
        <w:t>5.000 registros</w:t>
      </w:r>
      <w:r>
        <w:rPr>
          <w:rFonts w:eastAsia="Times New Roman"/>
          <w:b w:val="false"/>
          <w:i w:val="false"/>
          <w:sz w:val="24"/>
        </w:rPr>
        <w:t xml:space="preserve">, </w:t>
      </w:r>
      <w:r>
        <w:rPr>
          <w:rFonts w:eastAsia="Times New Roman"/>
          <w:b/>
          <w:i w:val="false"/>
          <w:sz w:val="24"/>
        </w:rPr>
        <w:t>proporção sintética planejada ~25%</w:t>
      </w:r>
      <w:r>
        <w:rPr>
          <w:rFonts w:eastAsia="Times New Roman"/>
          <w:b w:val="false"/>
          <w:i w:val="false"/>
          <w:sz w:val="24"/>
        </w:rPr>
        <w:t xml:space="preserve"> de Y=1 (não chamar de "prevalência"), seed fixa </w:t>
      </w:r>
      <w:r>
        <w:rPr>
          <w:rFonts w:eastAsia="Courier New" w:ascii="Courier New" w:hAnsi="Courier New"/>
          <w:b w:val="false"/>
          <w:i w:val="false"/>
          <w:sz w:val="22"/>
        </w:rPr>
        <w:t>42</w:t>
      </w:r>
      <w:r>
        <w:rPr>
          <w:rFonts w:eastAsia="Times New Roman"/>
          <w:b w:val="false"/>
          <w:i w:val="false"/>
          <w:sz w:val="24"/>
        </w:rPr>
        <w:t>. Cenários de sensibilidade futuros: ~15%, ~25%, ~35%.</w:t>
      </w:r>
    </w:p>
    <w:p>
      <w:pPr>
        <w:pStyle w:val="Heading2"/>
        <w:ind w:hanging="0"/>
        <w:jc w:val="start"/>
        <w:rPr/>
      </w:pPr>
      <w:bookmarkStart w:id="28" w:name="__RefHeading___Toc2213_3157870603"/>
      <w:bookmarkEnd w:id="28"/>
      <w:r>
        <w:rPr>
          <w:rFonts w:eastAsia="Times New Roman" w:ascii="Times New Roman" w:hAnsi="Times New Roman"/>
          <w:b/>
          <w:sz w:val="24"/>
        </w:rPr>
        <w:t>3.7 Seleção de variáveis e controle de leakage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>Nem todas as 48 respostas do questionário são utilizadas no modelo principal. A classificação consolidada das 48 variáveis é:</w:t>
      </w:r>
    </w:p>
    <w:p>
      <w:pPr>
        <w:pStyle w:val="Normal"/>
        <w:jc w:val="start"/>
        <w:keepNext/>
      </w:pPr>
      <w:r>
        <w:rPr>
          <w:b/>
          <w:sz w:val="20"/>
          <w:szCs w:val="20"/>
        </w:rPr>
        <w:t xml:space="preserve">Quadro 1 – Classificação consolidada das 48 variáveis do questionário</w:t>
      </w:r>
    </w:p>
    <w:tbl>
      <w:tblPr>
        <w:tblStyle w:val="TableGrid"/>
        <w:tblW w:w="9072" w:type="dxa"/>
        <w:jc w:val="center"/>
        <w:tblInd w:w="0" w:type="dxa"/>
        <w:tblLayout w:type="fixed"/>
        <w:tblCellMar>
          <w:top w:w="80" w:type="dxa"/>
          <w:start w:w="80" w:type="dxa"/>
          <w:bottom w:w="80" w:type="dxa"/>
          <w:end w:w="80" w:type="dxa"/>
        </w:tblCellMar>
        <w:tblLook w:val="04a0" w:noHBand="0" w:noVBand="1" w:firstColumn="1" w:lastRow="0" w:lastColumn="0" w:firstRow="1"/>
      </w:tblPr>
      <w:tblGrid>
        <w:gridCol w:w="3024"/>
        <w:gridCol w:w="3024"/>
        <w:gridCol w:w="3024"/>
      </w:tblGrid>
      <w:tr>
        <w:trPr>
          <w:tblHeader/>
        </w:trPr>
        <w:tc>
          <w:tcPr>
            <w:tcW w:w="3024" w:type="dxa"/>
            <w:tcBorders/>
            <w:shd w:fill="E7E6E6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Classe</w:t>
            </w:r>
          </w:p>
        </w:tc>
        <w:tc>
          <w:tcPr>
            <w:tcW w:w="3024" w:type="dxa"/>
            <w:tcBorders/>
            <w:shd w:fill="E7E6E6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Qtde</w:t>
            </w:r>
          </w:p>
        </w:tc>
        <w:tc>
          <w:tcPr>
            <w:tcW w:w="3024" w:type="dxa"/>
            <w:tcBorders/>
            <w:shd w:fill="E7E6E6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Significado</w:t>
            </w:r>
          </w:p>
        </w:tc>
      </w:tr>
      <w:tr>
        <w:trPr/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ML-IN</w:t>
            </w:r>
          </w:p>
        </w:tc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34</w:t>
            </w:r>
          </w:p>
        </w:tc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feature metodologicamente admissível</w:t>
            </w:r>
          </w:p>
        </w:tc>
      </w:tr>
      <w:tr>
        <w:trPr/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OUT-LEAKAGE</w:t>
            </w:r>
          </w:p>
        </w:tc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5</w:t>
            </w:r>
          </w:p>
        </w:tc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proximidade com acompanhamento/desfecho</w:t>
            </w:r>
          </w:p>
        </w:tc>
      </w:tr>
      <w:tr>
        <w:trPr/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OUT-TEMPORAL</w:t>
            </w:r>
          </w:p>
        </w:tc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5</w:t>
            </w:r>
          </w:p>
        </w:tc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mistura antecedente com acontecimento durante a gestação/acompanhamento</w:t>
            </w:r>
          </w:p>
        </w:tc>
      </w:tr>
      <w:tr>
        <w:trPr/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DESCRITIVA</w:t>
            </w:r>
          </w:p>
        </w:tc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</w:t>
            </w:r>
          </w:p>
        </w:tc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caracterização; sem justificativa para feature principal</w:t>
            </w:r>
          </w:p>
        </w:tc>
      </w:tr>
      <w:tr>
        <w:trPr/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SENSIBILIDADE</w:t>
            </w:r>
          </w:p>
        </w:tc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</w:t>
            </w:r>
          </w:p>
        </w:tc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fora do modelo principal; comparadas em sensibilidade (34 vs. 34+2)</w:t>
            </w:r>
          </w:p>
        </w:tc>
      </w:tr>
    </w:tbl>
    <w:p>
      <w:pPr>
        <w:pStyle w:val="Normal"/>
        <w:spacing w:before="40" w:after="120"/>
        <w:rPr/>
      </w:pPr>
      <w:r>
        <w:rPr>
          <w:rFonts w:eastAsia="Times New Roman"/>
          <w:sz w:val="18"/>
        </w:rPr>
        <w:t>Fonte: elaboração própria (2026), a partir dos artefatos técnicos do projeto.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/>
          <w:i w:val="false"/>
          <w:sz w:val="24"/>
        </w:rPr>
        <w:t>Total: 34 + 5 + 5 + 2 + 2 = 48.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/>
          <w:i w:val="false"/>
          <w:sz w:val="24"/>
        </w:rPr>
        <w:t>Leakage (excluídas do ML e do IV-DSS):</w:t>
      </w:r>
      <w:r>
        <w:rPr>
          <w:rFonts w:eastAsia="Times New Roman"/>
          <w:b w:val="false"/>
          <w:i w:val="false"/>
          <w:sz w:val="24"/>
        </w:rPr>
        <w:t xml:space="preserve"> </w:t>
      </w:r>
      <w:r>
        <w:rPr>
          <w:rFonts w:eastAsia="Courier New" w:ascii="Courier New" w:hAnsi="Courier New"/>
          <w:b w:val="false"/>
          <w:i w:val="false"/>
          <w:sz w:val="22"/>
        </w:rPr>
        <w:t>faltou_consulta</w:t>
      </w:r>
      <w:r>
        <w:rPr>
          <w:rFonts w:eastAsia="Times New Roman"/>
          <w:b w:val="false"/>
          <w:i w:val="false"/>
          <w:sz w:val="24"/>
        </w:rPr>
        <w:t xml:space="preserve">, </w:t>
      </w:r>
      <w:r>
        <w:rPr>
          <w:rFonts w:eastAsia="Courier New" w:ascii="Courier New" w:hAnsi="Courier New"/>
          <w:b w:val="false"/>
          <w:i w:val="false"/>
          <w:sz w:val="22"/>
        </w:rPr>
        <w:t>servicos_pre_natal</w:t>
      </w:r>
      <w:r>
        <w:rPr>
          <w:rFonts w:eastAsia="Times New Roman"/>
          <w:b w:val="false"/>
          <w:i w:val="false"/>
          <w:sz w:val="24"/>
        </w:rPr>
        <w:t xml:space="preserve">, </w:t>
      </w:r>
      <w:r>
        <w:rPr>
          <w:rFonts w:eastAsia="Courier New" w:ascii="Courier New" w:hAnsi="Courier New"/>
          <w:b w:val="false"/>
          <w:i w:val="false"/>
          <w:sz w:val="22"/>
        </w:rPr>
        <w:t>exames_pre_natal_completos</w:t>
      </w:r>
      <w:r>
        <w:rPr>
          <w:rFonts w:eastAsia="Times New Roman"/>
          <w:b w:val="false"/>
          <w:i w:val="false"/>
          <w:sz w:val="24"/>
        </w:rPr>
        <w:t xml:space="preserve">, </w:t>
      </w:r>
      <w:r>
        <w:rPr>
          <w:rFonts w:eastAsia="Courier New" w:ascii="Courier New" w:hAnsi="Courier New"/>
          <w:b w:val="false"/>
          <w:i w:val="false"/>
          <w:sz w:val="22"/>
        </w:rPr>
        <w:t>vacinas_em_dia</w:t>
      </w:r>
      <w:r>
        <w:rPr>
          <w:rFonts w:eastAsia="Times New Roman"/>
          <w:b w:val="false"/>
          <w:i w:val="false"/>
          <w:sz w:val="24"/>
        </w:rPr>
        <w:t xml:space="preserve">, </w:t>
      </w:r>
      <w:r>
        <w:rPr>
          <w:rFonts w:eastAsia="Courier New" w:ascii="Courier New" w:hAnsi="Courier New"/>
          <w:b w:val="false"/>
          <w:i w:val="false"/>
          <w:sz w:val="22"/>
        </w:rPr>
        <w:t>avaliacao_pre_natal</w:t>
      </w:r>
      <w:r>
        <w:rPr>
          <w:rFonts w:eastAsia="Times New Roman"/>
          <w:b w:val="false"/>
          <w:i w:val="false"/>
          <w:sz w:val="24"/>
        </w:rPr>
        <w:t xml:space="preserve">. Descrevem a própria trajetória, experiência ou adesão ao pré-natal e podem aproximar-se indevidamente do desfecho. </w:t>
      </w:r>
      <w:r>
        <w:rPr>
          <w:rFonts w:eastAsia="Times New Roman"/>
          <w:b/>
          <w:i w:val="false"/>
          <w:sz w:val="24"/>
        </w:rPr>
        <w:t>Decisão fechada.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/>
          <w:i w:val="false"/>
          <w:sz w:val="24"/>
        </w:rPr>
        <w:t>Temporais (coletadas, fora do modelo principal):</w:t>
      </w:r>
      <w:r>
        <w:rPr>
          <w:rFonts w:eastAsia="Times New Roman"/>
          <w:b w:val="false"/>
          <w:i w:val="false"/>
          <w:sz w:val="24"/>
        </w:rPr>
        <w:t xml:space="preserve"> </w:t>
      </w:r>
      <w:r>
        <w:rPr>
          <w:rFonts w:eastAsia="Courier New" w:ascii="Courier New" w:hAnsi="Courier New"/>
          <w:b w:val="false"/>
          <w:i w:val="false"/>
          <w:sz w:val="22"/>
        </w:rPr>
        <w:t>situacao_estudos_gestacao</w:t>
      </w:r>
      <w:r>
        <w:rPr>
          <w:rFonts w:eastAsia="Times New Roman"/>
          <w:b w:val="false"/>
          <w:i w:val="false"/>
          <w:sz w:val="24"/>
        </w:rPr>
        <w:t xml:space="preserve">, </w:t>
      </w:r>
      <w:r>
        <w:rPr>
          <w:rFonts w:eastAsia="Courier New" w:ascii="Courier New" w:hAnsi="Courier New"/>
          <w:b w:val="false"/>
          <w:i w:val="false"/>
          <w:sz w:val="22"/>
        </w:rPr>
        <w:t>motivo_desemprego</w:t>
      </w:r>
      <w:r>
        <w:rPr>
          <w:rFonts w:eastAsia="Times New Roman"/>
          <w:b w:val="false"/>
          <w:i w:val="false"/>
          <w:sz w:val="24"/>
        </w:rPr>
        <w:t xml:space="preserve">, </w:t>
      </w:r>
      <w:r>
        <w:rPr>
          <w:rFonts w:eastAsia="Courier New" w:ascii="Courier New" w:hAnsi="Courier New"/>
          <w:b w:val="false"/>
          <w:i w:val="false"/>
          <w:sz w:val="22"/>
        </w:rPr>
        <w:t>impacto_gestacao_trabalho</w:t>
      </w:r>
      <w:r>
        <w:rPr>
          <w:rFonts w:eastAsia="Times New Roman"/>
          <w:b w:val="false"/>
          <w:i w:val="false"/>
          <w:sz w:val="24"/>
        </w:rPr>
        <w:t xml:space="preserve">, </w:t>
      </w:r>
      <w:r>
        <w:rPr>
          <w:rFonts w:eastAsia="Courier New" w:ascii="Courier New" w:hAnsi="Courier New"/>
          <w:b w:val="false"/>
          <w:i w:val="false"/>
          <w:sz w:val="22"/>
        </w:rPr>
        <w:t>mudanca_alimentacao_gestacao</w:t>
      </w:r>
      <w:r>
        <w:rPr>
          <w:rFonts w:eastAsia="Times New Roman"/>
          <w:b w:val="false"/>
          <w:i w:val="false"/>
          <w:sz w:val="24"/>
        </w:rPr>
        <w:t xml:space="preserve">, </w:t>
      </w:r>
      <w:r>
        <w:rPr>
          <w:rFonts w:eastAsia="Courier New" w:ascii="Courier New" w:hAnsi="Courier New"/>
          <w:b w:val="false"/>
          <w:i w:val="false"/>
          <w:sz w:val="22"/>
        </w:rPr>
        <w:t>usa_suplementos</w:t>
      </w:r>
      <w:r>
        <w:rPr>
          <w:rFonts w:eastAsia="Times New Roman"/>
          <w:b w:val="false"/>
          <w:i w:val="false"/>
          <w:sz w:val="24"/>
        </w:rPr>
        <w:t>. Misturam condição antecedente com acontecimentos/comportamentos durante a gestação/acompanhamento.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/>
          <w:i w:val="false"/>
          <w:sz w:val="24"/>
        </w:rPr>
        <w:t>Descritivas (fora do modelo principal):</w:t>
      </w:r>
      <w:r>
        <w:rPr>
          <w:rFonts w:eastAsia="Times New Roman"/>
          <w:b w:val="false"/>
          <w:i w:val="false"/>
          <w:sz w:val="24"/>
        </w:rPr>
        <w:t xml:space="preserve"> </w:t>
      </w:r>
      <w:r>
        <w:rPr>
          <w:rFonts w:eastAsia="Courier New" w:ascii="Courier New" w:hAnsi="Courier New"/>
          <w:b w:val="false"/>
          <w:i w:val="false"/>
          <w:sz w:val="22"/>
        </w:rPr>
        <w:t>cuidados_vetores</w:t>
      </w:r>
      <w:r>
        <w:rPr>
          <w:rFonts w:eastAsia="Times New Roman"/>
          <w:b w:val="false"/>
          <w:i w:val="false"/>
          <w:sz w:val="24"/>
        </w:rPr>
        <w:t xml:space="preserve">, </w:t>
      </w:r>
      <w:r>
        <w:rPr>
          <w:rFonts w:eastAsia="Courier New" w:ascii="Courier New" w:hAnsi="Courier New"/>
          <w:b w:val="false"/>
          <w:i w:val="false"/>
          <w:sz w:val="22"/>
        </w:rPr>
        <w:t>melhorias_desejadas</w:t>
      </w:r>
      <w:r>
        <w:rPr>
          <w:rFonts w:eastAsia="Times New Roman"/>
          <w:b w:val="false"/>
          <w:i w:val="false"/>
          <w:sz w:val="24"/>
        </w:rPr>
        <w:t>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/>
          <w:i w:val="false"/>
          <w:sz w:val="24"/>
        </w:rPr>
        <w:t>Sensibilidade (fora do modelo principal):</w:t>
      </w:r>
      <w:r>
        <w:rPr>
          <w:rFonts w:eastAsia="Times New Roman"/>
          <w:b w:val="false"/>
          <w:i w:val="false"/>
          <w:sz w:val="24"/>
        </w:rPr>
        <w:t xml:space="preserve"> </w:t>
      </w:r>
      <w:r>
        <w:rPr>
          <w:rFonts w:eastAsia="Courier New" w:ascii="Courier New" w:hAnsi="Courier New"/>
          <w:b w:val="false"/>
          <w:i w:val="false"/>
          <w:sz w:val="22"/>
        </w:rPr>
        <w:t>problema_saude_agua</w:t>
      </w:r>
      <w:r>
        <w:rPr>
          <w:rFonts w:eastAsia="Times New Roman"/>
          <w:b w:val="false"/>
          <w:i w:val="false"/>
          <w:sz w:val="24"/>
        </w:rPr>
        <w:t xml:space="preserve">, </w:t>
      </w:r>
      <w:r>
        <w:rPr>
          <w:rFonts w:eastAsia="Courier New" w:ascii="Courier New" w:hAnsi="Courier New"/>
          <w:b w:val="false"/>
          <w:i w:val="false"/>
          <w:sz w:val="22"/>
        </w:rPr>
        <w:t>facil_acesso_saude</w:t>
      </w:r>
      <w:r>
        <w:rPr>
          <w:rFonts w:eastAsia="Times New Roman"/>
          <w:b w:val="false"/>
          <w:i w:val="false"/>
          <w:sz w:val="24"/>
        </w:rPr>
        <w:t>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 xml:space="preserve">O IV-DSS é construído </w:t>
      </w:r>
      <w:r>
        <w:rPr>
          <w:rFonts w:eastAsia="Times New Roman"/>
          <w:b/>
          <w:i w:val="false"/>
          <w:sz w:val="24"/>
        </w:rPr>
        <w:t>exclusivamente</w:t>
      </w:r>
      <w:r>
        <w:rPr>
          <w:rFonts w:eastAsia="Times New Roman"/>
          <w:b w:val="false"/>
          <w:i w:val="false"/>
          <w:sz w:val="24"/>
        </w:rPr>
        <w:t xml:space="preserve"> a partir de determinantes sociais e condições de vulnerabilidade, nunca de informações do próprio acompanhamento.</w:t>
      </w:r>
    </w:p>
    <w:p>
      <w:pPr>
        <w:pStyle w:val="Heading2"/>
        <w:ind w:hanging="0"/>
        <w:jc w:val="start"/>
        <w:rPr/>
      </w:pPr>
      <w:bookmarkStart w:id="29" w:name="__RefHeading___Toc2215_3157870603"/>
      <w:bookmarkEnd w:id="29"/>
      <w:r>
        <w:rPr>
          <w:rFonts w:eastAsia="Times New Roman" w:ascii="Times New Roman" w:hAnsi="Times New Roman"/>
          <w:b/>
          <w:sz w:val="24"/>
        </w:rPr>
        <w:t>3.8 Modelos de aprendizado de máquina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 xml:space="preserve">O protocolo experimental avaliou </w:t>
      </w:r>
      <w:r>
        <w:rPr>
          <w:rFonts w:eastAsia="Times New Roman"/>
          <w:b/>
          <w:i w:val="false"/>
          <w:sz w:val="24"/>
        </w:rPr>
        <w:t>três</w:t>
      </w:r>
      <w:r>
        <w:rPr>
          <w:rFonts w:eastAsia="Times New Roman"/>
          <w:b w:val="false"/>
          <w:i w:val="false"/>
          <w:sz w:val="24"/>
        </w:rPr>
        <w:t xml:space="preserve"> algoritmos de classificação supervisionada:</w:t>
      </w:r>
    </w:p>
    <w:p>
      <w:pPr>
        <w:pStyle w:val="Normal"/>
        <w:spacing w:lineRule="auto" w:line="360"/>
        <w:ind w:hanging="340" w:start="454"/>
        <w:rPr/>
      </w:pPr>
      <w:r>
        <w:rPr>
          <w:rFonts w:eastAsia="Times New Roman"/>
          <w:sz w:val="24"/>
        </w:rPr>
        <w:t xml:space="preserve">1. </w:t>
      </w:r>
      <w:r>
        <w:rPr>
          <w:rFonts w:eastAsia="Times New Roman"/>
          <w:b/>
          <w:i w:val="false"/>
          <w:sz w:val="24"/>
        </w:rPr>
        <w:t>Regressão logística</w:t>
      </w:r>
      <w:r>
        <w:rPr>
          <w:rFonts w:eastAsia="Times New Roman"/>
          <w:b w:val="false"/>
          <w:i w:val="false"/>
          <w:sz w:val="24"/>
        </w:rPr>
        <w:t xml:space="preserve"> — baseline interpretável, com regularização L2;</w:t>
      </w:r>
    </w:p>
    <w:p>
      <w:pPr>
        <w:pStyle w:val="Normal"/>
        <w:spacing w:lineRule="auto" w:line="360"/>
        <w:ind w:hanging="340" w:start="454"/>
        <w:rPr/>
      </w:pPr>
      <w:r>
        <w:rPr>
          <w:rFonts w:eastAsia="Times New Roman"/>
          <w:sz w:val="24"/>
        </w:rPr>
        <w:t xml:space="preserve">2. </w:t>
      </w:r>
      <w:r>
        <w:rPr>
          <w:rFonts w:eastAsia="Times New Roman"/>
          <w:b/>
          <w:i w:val="false"/>
          <w:sz w:val="24"/>
        </w:rPr>
        <w:t>Random Forest</w:t>
      </w:r>
      <w:r>
        <w:rPr>
          <w:rFonts w:eastAsia="Times New Roman"/>
          <w:b w:val="false"/>
          <w:i w:val="false"/>
          <w:sz w:val="24"/>
        </w:rPr>
        <w:t xml:space="preserve"> — ensemble de árvores;</w:t>
      </w:r>
    </w:p>
    <w:p>
      <w:pPr>
        <w:pStyle w:val="Normal"/>
        <w:spacing w:lineRule="auto" w:line="360"/>
        <w:ind w:hanging="340" w:start="454"/>
        <w:rPr/>
      </w:pPr>
      <w:r>
        <w:rPr>
          <w:rFonts w:eastAsia="Times New Roman"/>
          <w:sz w:val="24"/>
        </w:rPr>
        <w:t xml:space="preserve">3. </w:t>
      </w:r>
      <w:r>
        <w:rPr>
          <w:rFonts w:eastAsia="Times New Roman"/>
          <w:b/>
          <w:i w:val="false"/>
          <w:sz w:val="24"/>
        </w:rPr>
        <w:t>XGBoost</w:t>
      </w:r>
      <w:r>
        <w:rPr>
          <w:rFonts w:eastAsia="Times New Roman"/>
          <w:b w:val="false"/>
          <w:i w:val="false"/>
          <w:sz w:val="24"/>
        </w:rPr>
        <w:t xml:space="preserve"> — gradient boosting.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 xml:space="preserve">A proposta inicial do trabalho considerou, adicionalmente, técnicas como </w:t>
      </w:r>
      <w:r>
        <w:rPr>
          <w:rFonts w:eastAsia="Times New Roman"/>
          <w:b/>
          <w:i w:val="false"/>
          <w:sz w:val="24"/>
        </w:rPr>
        <w:t>redes neurais</w:t>
      </w:r>
      <w:r>
        <w:rPr>
          <w:rFonts w:eastAsia="Times New Roman"/>
          <w:b w:val="false"/>
          <w:i w:val="false"/>
          <w:sz w:val="24"/>
        </w:rPr>
        <w:t xml:space="preserve"> e análise de agrupamento exploratória (</w:t>
      </w:r>
      <w:r>
        <w:rPr>
          <w:rFonts w:eastAsia="Times New Roman"/>
          <w:b/>
          <w:i w:val="false"/>
          <w:sz w:val="24"/>
        </w:rPr>
        <w:t>K-means</w:t>
      </w:r>
      <w:r>
        <w:rPr>
          <w:rFonts w:eastAsia="Times New Roman"/>
          <w:b w:val="false"/>
          <w:i w:val="false"/>
          <w:sz w:val="24"/>
        </w:rPr>
        <w:t xml:space="preserve">). Essas abordagens, entretanto, </w:t>
      </w:r>
      <w:r>
        <w:rPr>
          <w:rFonts w:eastAsia="Times New Roman"/>
          <w:b/>
          <w:i w:val="false"/>
          <w:sz w:val="24"/>
        </w:rPr>
        <w:t>não foram executadas</w:t>
      </w:r>
      <w:r>
        <w:rPr>
          <w:rFonts w:eastAsia="Times New Roman"/>
          <w:b w:val="false"/>
          <w:i w:val="false"/>
          <w:sz w:val="24"/>
        </w:rPr>
        <w:t xml:space="preserve"> no experimento: o protocolo adotado restringiu-se aos três modelos efetivamente implementados e comparados, levando à seleção do </w:t>
      </w:r>
      <w:r>
        <w:rPr>
          <w:rFonts w:eastAsia="Times New Roman"/>
          <w:b/>
          <w:i w:val="false"/>
          <w:sz w:val="24"/>
        </w:rPr>
        <w:t>Random Forest</w:t>
      </w:r>
      <w:r>
        <w:rPr>
          <w:rFonts w:eastAsia="Times New Roman"/>
          <w:b w:val="false"/>
          <w:i w:val="false"/>
          <w:sz w:val="24"/>
        </w:rPr>
        <w:t xml:space="preserve"> (seção 5.2). Essa evolução metodológica — de uma proposta ampla para um protocolo fechado com três classificadores — é registrada aqui de forma explícita, sem que as técnicas não executadas sejam descritas como realizadas.</w:t>
      </w:r>
    </w:p>
    <w:p>
      <w:pPr>
        <w:pStyle w:val="Heading2"/>
        <w:ind w:hanging="0"/>
        <w:jc w:val="start"/>
        <w:rPr/>
      </w:pPr>
      <w:bookmarkStart w:id="30" w:name="__RefHeading___Toc2217_3157870603"/>
      <w:bookmarkEnd w:id="30"/>
      <w:r>
        <w:rPr>
          <w:rFonts w:eastAsia="Times New Roman" w:ascii="Times New Roman" w:hAnsi="Times New Roman"/>
          <w:b/>
          <w:sz w:val="24"/>
        </w:rPr>
        <w:t>3.9 Treinamento e validação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>O protocolo de treinamento e validação seguiu os seguintes procedimentos: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Times New Roman"/>
          <w:b/>
          <w:i w:val="false"/>
          <w:sz w:val="24"/>
        </w:rPr>
        <w:t>Divisão treino/teste:</w:t>
      </w:r>
      <w:r>
        <w:rPr>
          <w:rFonts w:eastAsia="Times New Roman"/>
          <w:b w:val="false"/>
          <w:i w:val="false"/>
          <w:sz w:val="24"/>
        </w:rPr>
        <w:t xml:space="preserve"> o dataset sintético (5.000 registros) foi dividido em </w:t>
      </w:r>
      <w:r>
        <w:rPr>
          <w:rFonts w:eastAsia="Times New Roman"/>
          <w:b/>
          <w:i w:val="false"/>
          <w:sz w:val="24"/>
        </w:rPr>
        <w:t>80% treino (4.000)</w:t>
      </w:r>
      <w:r>
        <w:rPr>
          <w:rFonts w:eastAsia="Times New Roman"/>
          <w:b w:val="false"/>
          <w:i w:val="false"/>
          <w:sz w:val="24"/>
        </w:rPr>
        <w:t xml:space="preserve"> e </w:t>
      </w:r>
      <w:r>
        <w:rPr>
          <w:rFonts w:eastAsia="Times New Roman"/>
          <w:b/>
          <w:i w:val="false"/>
          <w:sz w:val="24"/>
        </w:rPr>
        <w:t>20% teste (1.000)</w:t>
      </w:r>
      <w:r>
        <w:rPr>
          <w:rFonts w:eastAsia="Times New Roman"/>
          <w:b w:val="false"/>
          <w:i w:val="false"/>
          <w:sz w:val="24"/>
        </w:rPr>
        <w:t xml:space="preserve">, de forma </w:t>
      </w:r>
      <w:r>
        <w:rPr>
          <w:rFonts w:eastAsia="Times New Roman"/>
          <w:b/>
          <w:i w:val="false"/>
          <w:sz w:val="24"/>
        </w:rPr>
        <w:t>estratificada</w:t>
      </w:r>
      <w:r>
        <w:rPr>
          <w:rFonts w:eastAsia="Times New Roman"/>
          <w:b w:val="false"/>
          <w:i w:val="false"/>
          <w:sz w:val="24"/>
        </w:rPr>
        <w:t xml:space="preserve"> em relação ao desfecho.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Times New Roman"/>
          <w:b/>
          <w:i w:val="false"/>
          <w:sz w:val="24"/>
        </w:rPr>
        <w:t>Validação cruzada:</w:t>
      </w:r>
      <w:r>
        <w:rPr>
          <w:rFonts w:eastAsia="Times New Roman"/>
          <w:b w:val="false"/>
          <w:i w:val="false"/>
          <w:sz w:val="24"/>
        </w:rPr>
        <w:t xml:space="preserve"> 5-fold estratificado, com </w:t>
      </w:r>
      <w:r>
        <w:rPr>
          <w:rFonts w:eastAsia="Times New Roman"/>
          <w:b/>
          <w:i w:val="false"/>
          <w:sz w:val="24"/>
        </w:rPr>
        <w:t>folds congelados</w:t>
      </w:r>
      <w:r>
        <w:rPr>
          <w:rFonts w:eastAsia="Times New Roman"/>
          <w:b w:val="false"/>
          <w:i w:val="false"/>
          <w:sz w:val="24"/>
        </w:rPr>
        <w:t xml:space="preserve"> e seed fixa.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Times New Roman"/>
          <w:b/>
          <w:i w:val="false"/>
          <w:sz w:val="24"/>
        </w:rPr>
        <w:t>Controle de desbalanceamento:</w:t>
      </w:r>
      <w:r>
        <w:rPr>
          <w:rFonts w:eastAsia="Times New Roman"/>
          <w:b w:val="false"/>
          <w:i w:val="false"/>
          <w:sz w:val="24"/>
        </w:rPr>
        <w:t xml:space="preserve"> </w:t>
      </w:r>
      <w:r>
        <w:rPr>
          <w:rFonts w:eastAsia="Courier New" w:ascii="Courier New" w:hAnsi="Courier New"/>
          <w:b w:val="false"/>
          <w:i w:val="false"/>
          <w:sz w:val="22"/>
        </w:rPr>
        <w:t>class_weight</w:t>
      </w:r>
      <w:r>
        <w:rPr>
          <w:rFonts w:eastAsia="Times New Roman"/>
          <w:b w:val="false"/>
          <w:i w:val="false"/>
          <w:sz w:val="24"/>
        </w:rPr>
        <w:t xml:space="preserve"> quando disponível (balanced na regressão logística; </w:t>
      </w:r>
      <w:r>
        <w:rPr>
          <w:rFonts w:eastAsia="Courier New" w:ascii="Courier New" w:hAnsi="Courier New"/>
          <w:b w:val="false"/>
          <w:i w:val="false"/>
          <w:sz w:val="22"/>
        </w:rPr>
        <w:t>balanced_subsample</w:t>
      </w:r>
      <w:r>
        <w:rPr>
          <w:rFonts w:eastAsia="Times New Roman"/>
          <w:b w:val="false"/>
          <w:i w:val="false"/>
          <w:sz w:val="24"/>
        </w:rPr>
        <w:t xml:space="preserve"> no Random Forest; </w:t>
      </w:r>
      <w:r>
        <w:rPr>
          <w:rFonts w:eastAsia="Courier New" w:ascii="Courier New" w:hAnsi="Courier New"/>
          <w:b w:val="false"/>
          <w:i w:val="false"/>
          <w:sz w:val="22"/>
        </w:rPr>
        <w:t>scale_pos_weight</w:t>
      </w:r>
      <w:r>
        <w:rPr>
          <w:rFonts w:eastAsia="Times New Roman"/>
          <w:b w:val="false"/>
          <w:i w:val="false"/>
          <w:sz w:val="24"/>
        </w:rPr>
        <w:t xml:space="preserve"> calculado exclusivamente a partir do y de cada fold no XGBoost).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Times New Roman"/>
          <w:b/>
          <w:i w:val="false"/>
          <w:sz w:val="24"/>
        </w:rPr>
        <w:t>Controle de leakage de preprocessing:</w:t>
      </w:r>
      <w:r>
        <w:rPr>
          <w:rFonts w:eastAsia="Times New Roman"/>
          <w:b w:val="false"/>
          <w:i w:val="false"/>
          <w:sz w:val="24"/>
        </w:rPr>
        <w:t xml:space="preserve"> o pré-processamento foi aprendido </w:t>
      </w:r>
      <w:r>
        <w:rPr>
          <w:rFonts w:eastAsia="Times New Roman"/>
          <w:b/>
          <w:i w:val="false"/>
          <w:sz w:val="24"/>
        </w:rPr>
        <w:t>somente</w:t>
      </w:r>
      <w:r>
        <w:rPr>
          <w:rFonts w:eastAsia="Times New Roman"/>
          <w:b w:val="false"/>
          <w:i w:val="false"/>
          <w:sz w:val="24"/>
        </w:rPr>
        <w:t xml:space="preserve"> sobre o treinamento (encodings one-hot/multi-hot, ordinais e booleanos, sem imputação, sem scaling e sem feature selection), e aplicado aos folds de validação e ao teste sem reutilizar estatísticas do teste.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Times New Roman"/>
          <w:b/>
          <w:i w:val="false"/>
          <w:sz w:val="24"/>
        </w:rPr>
        <w:t>Conjunto de teste:</w:t>
      </w:r>
      <w:r>
        <w:rPr>
          <w:rFonts w:eastAsia="Times New Roman"/>
          <w:b w:val="false"/>
          <w:i w:val="false"/>
          <w:sz w:val="24"/>
        </w:rPr>
        <w:t xml:space="preserve"> o teste (1.000 registros) </w:t>
      </w:r>
      <w:r>
        <w:rPr>
          <w:rFonts w:eastAsia="Times New Roman"/>
          <w:b/>
          <w:i w:val="false"/>
          <w:sz w:val="24"/>
        </w:rPr>
        <w:t>não participou</w:t>
      </w:r>
      <w:r>
        <w:rPr>
          <w:rFonts w:eastAsia="Times New Roman"/>
          <w:b w:val="false"/>
          <w:i w:val="false"/>
          <w:sz w:val="24"/>
        </w:rPr>
        <w:t xml:space="preserve"> de nenhuma decisão — nem do ajuste, nem da seleção de modelo.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 xml:space="preserve">O pré-processamento transformou as </w:t>
      </w:r>
      <w:r>
        <w:rPr>
          <w:rFonts w:eastAsia="Times New Roman"/>
          <w:b/>
          <w:i w:val="false"/>
          <w:sz w:val="24"/>
        </w:rPr>
        <w:t>34 variáveis brutas</w:t>
      </w:r>
      <w:r>
        <w:rPr>
          <w:rFonts w:eastAsia="Times New Roman"/>
          <w:b w:val="false"/>
          <w:i w:val="false"/>
          <w:sz w:val="24"/>
        </w:rPr>
        <w:t xml:space="preserve"> de </w:t>
      </w:r>
      <w:r>
        <w:rPr>
          <w:rFonts w:eastAsia="Courier New" w:ascii="Courier New" w:hAnsi="Courier New"/>
          <w:b w:val="false"/>
          <w:i w:val="false"/>
          <w:sz w:val="22"/>
        </w:rPr>
        <w:t>X_model</w:t>
      </w:r>
      <w:r>
        <w:rPr>
          <w:rFonts w:eastAsia="Times New Roman"/>
          <w:b w:val="false"/>
          <w:i w:val="false"/>
          <w:sz w:val="24"/>
        </w:rPr>
        <w:t xml:space="preserve"> em </w:t>
      </w:r>
      <w:r>
        <w:rPr>
          <w:rFonts w:eastAsia="Times New Roman"/>
          <w:b/>
          <w:i w:val="false"/>
          <w:sz w:val="24"/>
        </w:rPr>
        <w:t>96 features</w:t>
      </w:r>
      <w:r>
        <w:rPr>
          <w:rFonts w:eastAsia="Times New Roman"/>
          <w:b w:val="false"/>
          <w:i w:val="false"/>
          <w:sz w:val="24"/>
        </w:rPr>
        <w:t xml:space="preserve"> numéricas (</w:t>
      </w:r>
      <w:r>
        <w:rPr>
          <w:rFonts w:eastAsia="Courier New" w:ascii="Courier New" w:hAnsi="Courier New"/>
          <w:b w:val="false"/>
          <w:i w:val="false"/>
          <w:sz w:val="22"/>
        </w:rPr>
        <w:t>float64</w:t>
      </w:r>
      <w:r>
        <w:rPr>
          <w:rFonts w:eastAsia="Times New Roman"/>
          <w:b w:val="false"/>
          <w:i w:val="false"/>
          <w:sz w:val="24"/>
        </w:rPr>
        <w:t>), por codificação one-hot/multi-hot de categorias nominais e multiselect, mapeamento de ordinais e normalização de booleanos — sem imputação e sem escalonamento.</w:t>
      </w:r>
    </w:p>
    <w:p>
      <w:pPr>
        <w:pStyle w:val="Heading2"/>
        <w:ind w:hanging="0"/>
        <w:jc w:val="start"/>
        <w:rPr/>
      </w:pPr>
      <w:bookmarkStart w:id="31" w:name="__RefHeading___Toc2219_3157870603"/>
      <w:bookmarkEnd w:id="31"/>
      <w:r>
        <w:rPr>
          <w:rFonts w:eastAsia="Times New Roman" w:ascii="Times New Roman" w:hAnsi="Times New Roman"/>
          <w:b/>
          <w:sz w:val="24"/>
        </w:rPr>
        <w:t>3.10 Métricas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 xml:space="preserve">A avaliação adotou métricas </w:t>
      </w:r>
      <w:r>
        <w:rPr>
          <w:rFonts w:eastAsia="Times New Roman"/>
          <w:b/>
          <w:i w:val="false"/>
          <w:sz w:val="24"/>
        </w:rPr>
        <w:t>independentes de threshold</w:t>
      </w:r>
      <w:r>
        <w:rPr>
          <w:rFonts w:eastAsia="Times New Roman"/>
          <w:b w:val="false"/>
          <w:i w:val="false"/>
          <w:sz w:val="24"/>
        </w:rPr>
        <w:t xml:space="preserve"> e </w:t>
      </w:r>
      <w:r>
        <w:rPr>
          <w:rFonts w:eastAsia="Times New Roman"/>
          <w:b/>
          <w:i w:val="false"/>
          <w:sz w:val="24"/>
        </w:rPr>
        <w:t>dependentes de threshold</w:t>
      </w:r>
      <w:r>
        <w:rPr>
          <w:rFonts w:eastAsia="Times New Roman"/>
          <w:b w:val="false"/>
          <w:i w:val="false"/>
          <w:sz w:val="24"/>
        </w:rPr>
        <w:t>: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Times New Roman"/>
          <w:b/>
          <w:i w:val="false"/>
          <w:sz w:val="24"/>
        </w:rPr>
        <w:t>Independentes de threshold:</w:t>
      </w:r>
      <w:r>
        <w:rPr>
          <w:rFonts w:eastAsia="Times New Roman"/>
          <w:b w:val="false"/>
          <w:i w:val="false"/>
          <w:sz w:val="24"/>
        </w:rPr>
        <w:t xml:space="preserve"> ROC-AUC e PR-AUC (métricas primárias para seleção e comparação), além do Brier score e da curva de calibração.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Times New Roman"/>
          <w:b/>
          <w:i w:val="false"/>
          <w:sz w:val="24"/>
        </w:rPr>
        <w:t>Dependentes de threshold (referência 0.5):</w:t>
      </w:r>
      <w:r>
        <w:rPr>
          <w:rFonts w:eastAsia="Times New Roman"/>
          <w:b w:val="false"/>
          <w:i w:val="false"/>
          <w:sz w:val="24"/>
        </w:rPr>
        <w:t xml:space="preserve"> accuracy, precision, recall, F1 e matriz de confusão.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Times New Roman"/>
          <w:b w:val="false"/>
          <w:i w:val="false"/>
          <w:sz w:val="24"/>
        </w:rPr>
        <w:t xml:space="preserve">O </w:t>
      </w:r>
      <w:r>
        <w:rPr>
          <w:rFonts w:eastAsia="Times New Roman"/>
          <w:b/>
          <w:i w:val="false"/>
          <w:sz w:val="24"/>
        </w:rPr>
        <w:t>Recall</w:t>
      </w:r>
      <w:r>
        <w:rPr>
          <w:rFonts w:eastAsia="Times New Roman"/>
          <w:b w:val="false"/>
          <w:i w:val="false"/>
          <w:sz w:val="24"/>
        </w:rPr>
        <w:t xml:space="preserve"> recebe atenção especial em razão do objetivo experimental de avaliar a capacidade dos modelos de identificar a maior proporção possível dos casos positivos sintéticos, sendo interpretado conjuntamente com as demais métricas — </w:t>
      </w:r>
      <w:r>
        <w:rPr>
          <w:rFonts w:eastAsia="Times New Roman"/>
          <w:b/>
          <w:i w:val="false"/>
          <w:sz w:val="24"/>
        </w:rPr>
        <w:t>não</w:t>
      </w:r>
      <w:r>
        <w:rPr>
          <w:rFonts w:eastAsia="Times New Roman"/>
          <w:b w:val="false"/>
          <w:i w:val="false"/>
          <w:sz w:val="24"/>
        </w:rPr>
        <w:t xml:space="preserve"> como critério único de escolha do modelo.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 xml:space="preserve">A seleção do modelo foi orientada pela </w:t>
      </w:r>
      <w:r>
        <w:rPr>
          <w:rFonts w:eastAsia="Times New Roman"/>
          <w:b/>
          <w:i w:val="false"/>
          <w:sz w:val="24"/>
        </w:rPr>
        <w:t>PR-AUC média</w:t>
      </w:r>
      <w:r>
        <w:rPr>
          <w:rFonts w:eastAsia="Times New Roman"/>
          <w:b w:val="false"/>
          <w:i w:val="false"/>
          <w:sz w:val="24"/>
        </w:rPr>
        <w:t xml:space="preserve"> na validação cruzada (desempate por recall e F1), por ser mais adequada a cenários desbalanceados do que a accuracy. Os resultados são apresentados na seção 5.</w:t>
      </w:r>
    </w:p>
    <w:p>
      <w:pPr>
        <w:pStyle w:val="Heading2"/>
        <w:ind w:hanging="0"/>
        <w:jc w:val="start"/>
        <w:rPr/>
      </w:pPr>
      <w:bookmarkStart w:id="32" w:name="__RefHeading___Toc2221_3157870603"/>
      <w:bookmarkEnd w:id="32"/>
      <w:r>
        <w:rPr>
          <w:rFonts w:eastAsia="Times New Roman" w:ascii="Times New Roman" w:hAnsi="Times New Roman"/>
          <w:b/>
          <w:sz w:val="24"/>
        </w:rPr>
        <w:t>3.11 Procedimento de validação da integração Flutter → API → ML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 xml:space="preserve">O aplicativo integra o formulário DSS à API e ao modelo de ML: a resposta do modelo é uma </w:t>
      </w:r>
      <w:r>
        <w:rPr>
          <w:rFonts w:eastAsia="Times New Roman"/>
          <w:b/>
          <w:i w:val="false"/>
          <w:sz w:val="24"/>
        </w:rPr>
        <w:t>probabilidade de descontinuidade</w:t>
      </w:r>
      <w:r>
        <w:rPr>
          <w:rFonts w:eastAsia="Times New Roman"/>
          <w:b w:val="false"/>
          <w:i w:val="false"/>
          <w:sz w:val="24"/>
        </w:rPr>
        <w:t xml:space="preserve">, apresentada </w:t>
      </w:r>
      <w:r>
        <w:rPr>
          <w:rFonts w:eastAsia="Times New Roman"/>
          <w:b/>
          <w:i w:val="false"/>
          <w:sz w:val="24"/>
        </w:rPr>
        <w:t>não</w:t>
      </w:r>
      <w:r>
        <w:rPr>
          <w:rFonts w:eastAsia="Times New Roman"/>
          <w:b w:val="false"/>
          <w:i w:val="false"/>
          <w:sz w:val="24"/>
        </w:rPr>
        <w:t xml:space="preserve"> como diagnóstico. A integração foi </w:t>
      </w:r>
      <w:r>
        <w:rPr>
          <w:rFonts w:eastAsia="Times New Roman"/>
          <w:b/>
          <w:i w:val="false"/>
          <w:sz w:val="24"/>
        </w:rPr>
        <w:t>implementada e validada</w:t>
      </w:r>
      <w:r>
        <w:rPr>
          <w:rFonts w:eastAsia="Times New Roman"/>
          <w:b w:val="false"/>
          <w:i w:val="false"/>
          <w:sz w:val="24"/>
        </w:rPr>
        <w:t xml:space="preserve"> (seções 4.1 e 5.9).</w:t>
      </w:r>
      <w:r>
        <w:t xml:space="preserve"> Adicionalmente, a infraestrutura de persistência do backend foi submetida a um procedimento de validação técnica próprio, contra PostgreSQL real, cobrindo conexão, sessão, transação, rollback e encerramento de recursos (detalhado em 5.9).</w:t>
      </w:r>
    </w:p>
    <w:p>
      <w:pPr>
        <w:pStyle w:val="Heading2"/>
        <w:ind w:hanging="0"/>
        <w:jc w:val="start"/>
        <w:rPr/>
      </w:pPr>
      <w:bookmarkStart w:id="33" w:name="__RefHeading___Toc2223_3157870603"/>
      <w:bookmarkEnd w:id="33"/>
      <w:r>
        <w:rPr>
          <w:rFonts w:eastAsia="Times New Roman" w:ascii="Times New Roman" w:hAnsi="Times New Roman"/>
          <w:b/>
          <w:sz w:val="24"/>
        </w:rPr>
        <w:t>3.12 Aspectos éticos e limitações</w:t>
      </w:r>
    </w:p>
    <w:p>
      <w:pPr>
        <w:pStyle w:val="Normal"/>
        <w:spacing w:lineRule="auto" w:line="360"/>
        <w:ind w:hanging="340" w:start="454"/>
        <w:rPr/>
      </w:pPr>
      <w:r>
        <w:rPr>
          <w:rFonts w:eastAsia="Times New Roman"/>
          <w:sz w:val="24"/>
        </w:rPr>
        <w:t xml:space="preserve">1. </w:t>
      </w:r>
      <w:r>
        <w:rPr>
          <w:rFonts w:eastAsia="Times New Roman"/>
          <w:b w:val="false"/>
          <w:i w:val="false"/>
          <w:sz w:val="24"/>
        </w:rPr>
        <w:t xml:space="preserve">Dados sintéticos </w:t>
      </w:r>
      <w:r>
        <w:rPr>
          <w:rFonts w:eastAsia="Times New Roman"/>
          <w:b/>
          <w:i w:val="false"/>
          <w:sz w:val="24"/>
        </w:rPr>
        <w:t>≠</w:t>
      </w:r>
      <w:r>
        <w:rPr>
          <w:rFonts w:eastAsia="Times New Roman"/>
          <w:b w:val="false"/>
          <w:i w:val="false"/>
          <w:sz w:val="24"/>
        </w:rPr>
        <w:t xml:space="preserve"> dados reais (sem validade externa clínica).</w:t>
      </w:r>
    </w:p>
    <w:p>
      <w:pPr>
        <w:pStyle w:val="Normal"/>
        <w:spacing w:lineRule="auto" w:line="360"/>
        <w:ind w:hanging="340" w:start="454"/>
        <w:rPr/>
      </w:pPr>
      <w:r>
        <w:rPr>
          <w:rFonts w:eastAsia="Times New Roman"/>
          <w:sz w:val="24"/>
        </w:rPr>
        <w:t xml:space="preserve">2. </w:t>
      </w:r>
      <w:r>
        <w:rPr>
          <w:rFonts w:eastAsia="Times New Roman"/>
          <w:b w:val="false"/>
          <w:i w:val="false"/>
          <w:sz w:val="24"/>
        </w:rPr>
        <w:t xml:space="preserve">Estimativa </w:t>
      </w:r>
      <w:r>
        <w:rPr>
          <w:rFonts w:eastAsia="Times New Roman"/>
          <w:b/>
          <w:i w:val="false"/>
          <w:sz w:val="24"/>
        </w:rPr>
        <w:t>≠</w:t>
      </w:r>
      <w:r>
        <w:rPr>
          <w:rFonts w:eastAsia="Times New Roman"/>
          <w:b w:val="false"/>
          <w:i w:val="false"/>
          <w:sz w:val="24"/>
        </w:rPr>
        <w:t xml:space="preserve"> diagnóstico médico.</w:t>
      </w:r>
    </w:p>
    <w:p>
      <w:pPr>
        <w:pStyle w:val="Normal"/>
        <w:spacing w:lineRule="auto" w:line="360"/>
        <w:ind w:hanging="340" w:start="454"/>
        <w:rPr/>
      </w:pPr>
      <w:r>
        <w:rPr>
          <w:rFonts w:eastAsia="Times New Roman"/>
          <w:sz w:val="24"/>
        </w:rPr>
        <w:t xml:space="preserve">3. </w:t>
      </w:r>
      <w:r>
        <w:rPr>
          <w:rFonts w:eastAsia="Times New Roman"/>
          <w:b w:val="false"/>
          <w:i w:val="false"/>
          <w:sz w:val="24"/>
        </w:rPr>
        <w:t xml:space="preserve">Associação estatística </w:t>
      </w:r>
      <w:r>
        <w:rPr>
          <w:rFonts w:eastAsia="Times New Roman"/>
          <w:b/>
          <w:i w:val="false"/>
          <w:sz w:val="24"/>
        </w:rPr>
        <w:t>≠</w:t>
      </w:r>
      <w:r>
        <w:rPr>
          <w:rFonts w:eastAsia="Times New Roman"/>
          <w:b w:val="false"/>
          <w:i w:val="false"/>
          <w:sz w:val="24"/>
        </w:rPr>
        <w:t xml:space="preserve"> causalidade.</w:t>
      </w:r>
    </w:p>
    <w:p>
      <w:pPr>
        <w:pStyle w:val="Normal"/>
        <w:spacing w:lineRule="auto" w:line="360"/>
        <w:ind w:hanging="340" w:start="454"/>
        <w:rPr/>
      </w:pPr>
      <w:r>
        <w:rPr>
          <w:rFonts w:eastAsia="Times New Roman"/>
          <w:sz w:val="24"/>
        </w:rPr>
        <w:t xml:space="preserve">4. </w:t>
      </w:r>
      <w:r>
        <w:rPr>
          <w:rFonts w:eastAsia="Times New Roman"/>
          <w:b w:val="false"/>
          <w:i w:val="false"/>
          <w:sz w:val="24"/>
        </w:rPr>
        <w:t xml:space="preserve">O IV-DSS é um </w:t>
      </w:r>
      <w:r>
        <w:rPr>
          <w:rFonts w:eastAsia="Times New Roman"/>
          <w:b/>
          <w:i w:val="false"/>
          <w:sz w:val="24"/>
        </w:rPr>
        <w:t>índice descritivo experimental</w:t>
      </w:r>
      <w:r>
        <w:rPr>
          <w:rFonts w:eastAsia="Times New Roman"/>
          <w:b w:val="false"/>
          <w:i w:val="false"/>
          <w:sz w:val="24"/>
        </w:rPr>
        <w:t>, não validado; não é escala diagnóstica.</w:t>
      </w:r>
    </w:p>
    <w:p>
      <w:pPr>
        <w:pStyle w:val="Normal"/>
        <w:spacing w:lineRule="auto" w:line="360"/>
        <w:ind w:hanging="340" w:start="454"/>
        <w:rPr/>
      </w:pPr>
      <w:r>
        <w:rPr>
          <w:rFonts w:eastAsia="Times New Roman"/>
          <w:sz w:val="24"/>
        </w:rPr>
        <w:t xml:space="preserve">5. </w:t>
      </w:r>
      <w:r>
        <w:rPr>
          <w:rFonts w:eastAsia="Courier New" w:ascii="Courier New" w:hAnsi="Courier New"/>
          <w:b w:val="false"/>
          <w:i w:val="false"/>
          <w:sz w:val="22"/>
        </w:rPr>
        <w:t>faixa_renda</w:t>
      </w:r>
      <w:r>
        <w:rPr>
          <w:rFonts w:eastAsia="Times New Roman"/>
          <w:b w:val="false"/>
          <w:i w:val="false"/>
          <w:sz w:val="24"/>
        </w:rPr>
        <w:t xml:space="preserve"> representa </w:t>
      </w:r>
      <w:r>
        <w:rPr>
          <w:rFonts w:eastAsia="Times New Roman"/>
          <w:b/>
          <w:i w:val="false"/>
          <w:sz w:val="24"/>
        </w:rPr>
        <w:t>renda familiar</w:t>
      </w:r>
      <w:r>
        <w:rPr>
          <w:rFonts w:eastAsia="Times New Roman"/>
          <w:b w:val="false"/>
          <w:i w:val="false"/>
          <w:sz w:val="24"/>
        </w:rPr>
        <w:t>, não renda per capita.</w:t>
      </w:r>
    </w:p>
    <w:p>
      <w:pPr>
        <w:pStyle w:val="Normal"/>
        <w:spacing w:lineRule="auto" w:line="360"/>
        <w:ind w:hanging="340" w:start="454"/>
        <w:rPr/>
      </w:pPr>
      <w:r>
        <w:rPr>
          <w:rFonts w:eastAsia="Times New Roman"/>
          <w:sz w:val="24"/>
        </w:rPr>
        <w:t xml:space="preserve">6. </w:t>
      </w:r>
      <w:r>
        <w:rPr>
          <w:rFonts w:eastAsia="Times New Roman"/>
          <w:b w:val="false"/>
          <w:i w:val="false"/>
          <w:sz w:val="24"/>
        </w:rPr>
        <w:t xml:space="preserve">A normalização ordinal com </w:t>
      </w:r>
      <w:r>
        <w:rPr>
          <w:rFonts w:eastAsia="Times New Roman"/>
          <w:b/>
          <w:i w:val="false"/>
          <w:sz w:val="24"/>
        </w:rPr>
        <w:t>intervalos iguais</w:t>
      </w:r>
      <w:r>
        <w:rPr>
          <w:rFonts w:eastAsia="Times New Roman"/>
          <w:b w:val="false"/>
          <w:i w:val="false"/>
          <w:sz w:val="24"/>
        </w:rPr>
        <w:t xml:space="preserve"> é operacional; não implica que as diferenças sociais entre níveis consecutivos sejam empiricamente iguais.</w:t>
      </w:r>
    </w:p>
    <w:p>
      <w:pPr>
        <w:pStyle w:val="Normal"/>
        <w:spacing w:lineRule="auto" w:line="360"/>
        <w:ind w:hanging="340" w:start="454"/>
        <w:rPr/>
      </w:pPr>
      <w:r>
        <w:rPr>
          <w:rFonts w:eastAsia="Times New Roman"/>
          <w:sz w:val="24"/>
        </w:rPr>
        <w:t xml:space="preserve">7. </w:t>
      </w:r>
      <w:r>
        <w:rPr>
          <w:rFonts w:eastAsia="Times New Roman"/>
          <w:b w:val="false"/>
          <w:i w:val="false"/>
          <w:sz w:val="24"/>
        </w:rPr>
        <w:t xml:space="preserve">O mínimo de </w:t>
      </w:r>
      <w:r>
        <w:rPr>
          <w:rFonts w:eastAsia="Times New Roman"/>
          <w:b/>
          <w:i w:val="false"/>
          <w:sz w:val="24"/>
        </w:rPr>
        <w:t>≥ 7 consultas</w:t>
      </w:r>
      <w:r>
        <w:rPr>
          <w:rFonts w:eastAsia="Times New Roman"/>
          <w:b w:val="false"/>
          <w:i w:val="false"/>
          <w:sz w:val="24"/>
        </w:rPr>
        <w:t xml:space="preserve"> (Portaria GM/MS nº 5.350/2024, contexto </w:t>
      </w:r>
      <w:r>
        <w:rPr>
          <w:rFonts w:eastAsia="Times New Roman"/>
          <w:b/>
          <w:i w:val="false"/>
          <w:sz w:val="24"/>
        </w:rPr>
        <w:t>Rede Alyne</w:t>
      </w:r>
      <w:r>
        <w:rPr>
          <w:rFonts w:eastAsia="Times New Roman"/>
          <w:b w:val="false"/>
          <w:i w:val="false"/>
          <w:sz w:val="24"/>
        </w:rPr>
        <w:t xml:space="preserve">) é uma </w:t>
      </w:r>
      <w:r>
        <w:rPr>
          <w:rFonts w:eastAsia="Times New Roman"/>
          <w:b/>
          <w:i w:val="false"/>
          <w:sz w:val="24"/>
        </w:rPr>
        <w:t>referência normativa contextual/preliminar</w:t>
      </w:r>
      <w:r>
        <w:rPr>
          <w:rFonts w:eastAsia="Times New Roman"/>
          <w:b w:val="false"/>
          <w:i w:val="false"/>
          <w:sz w:val="24"/>
        </w:rPr>
        <w:t xml:space="preserve"> para a futura operacionalização longitudinal com dados reais. </w:t>
      </w:r>
      <w:r>
        <w:rPr>
          <w:rFonts w:eastAsia="Times New Roman"/>
          <w:b/>
          <w:i w:val="false"/>
          <w:sz w:val="24"/>
        </w:rPr>
        <w:t>Não</w:t>
      </w:r>
      <w:r>
        <w:rPr>
          <w:rFonts w:eastAsia="Times New Roman"/>
          <w:b w:val="false"/>
          <w:i w:val="false"/>
          <w:sz w:val="24"/>
        </w:rPr>
        <w:t xml:space="preserve"> gera o Y sintético do experimento atual (que provém do DGM) e </w:t>
      </w:r>
      <w:r>
        <w:rPr>
          <w:rFonts w:eastAsia="Times New Roman"/>
          <w:b/>
          <w:i w:val="false"/>
          <w:sz w:val="24"/>
        </w:rPr>
        <w:t>não</w:t>
      </w:r>
      <w:r>
        <w:rPr>
          <w:rFonts w:eastAsia="Times New Roman"/>
          <w:b w:val="false"/>
          <w:i w:val="false"/>
          <w:sz w:val="24"/>
        </w:rPr>
        <w:t xml:space="preserve"> é definição universal de abandono/descontinuidade; a Portaria também não estabelece, nesse dispositivo, ajuste pela duração gestacional.</w:t>
      </w:r>
    </w:p>
    <w:p>
      <w:pPr>
        <w:pStyle w:val="Normal"/>
        <w:spacing w:lineRule="auto" w:line="360"/>
        <w:ind w:hanging="340" w:start="454"/>
        <w:rPr/>
      </w:pPr>
      <w:r>
        <w:rPr>
          <w:rFonts w:eastAsia="Times New Roman"/>
          <w:sz w:val="24"/>
        </w:rPr>
        <w:t xml:space="preserve">8. </w:t>
      </w:r>
      <w:r>
        <w:rPr>
          <w:rFonts w:eastAsia="Times New Roman"/>
          <w:b w:val="false"/>
          <w:i w:val="false"/>
          <w:sz w:val="24"/>
        </w:rPr>
        <w:t xml:space="preserve">A </w:t>
      </w:r>
      <w:r>
        <w:rPr>
          <w:rFonts w:eastAsia="Courier New" w:ascii="Courier New" w:hAnsi="Courier New"/>
          <w:b w:val="false"/>
          <w:i w:val="false"/>
          <w:sz w:val="22"/>
        </w:rPr>
        <w:t>fonte_agua</w:t>
      </w:r>
      <w:r>
        <w:rPr>
          <w:rFonts w:eastAsia="Times New Roman"/>
          <w:b w:val="false"/>
          <w:i w:val="false"/>
          <w:sz w:val="24"/>
        </w:rPr>
        <w:t xml:space="preserve"> isolada </w:t>
      </w:r>
      <w:r>
        <w:rPr>
          <w:rFonts w:eastAsia="Times New Roman"/>
          <w:b/>
          <w:i w:val="false"/>
          <w:sz w:val="24"/>
        </w:rPr>
        <w:t>não</w:t>
      </w:r>
      <w:r>
        <w:rPr>
          <w:rFonts w:eastAsia="Times New Roman"/>
          <w:b w:val="false"/>
          <w:i w:val="false"/>
          <w:sz w:val="24"/>
        </w:rPr>
        <w:t xml:space="preserve"> avalia potabilidade nem adequação total.</w:t>
      </w:r>
    </w:p>
    <w:p>
      <w:pPr>
        <w:pStyle w:val="Normal"/>
        <w:spacing w:lineRule="auto" w:line="360"/>
        <w:ind w:hanging="340" w:start="454"/>
        <w:rPr/>
      </w:pPr>
      <w:r>
        <w:rPr>
          <w:rFonts w:eastAsia="Times New Roman"/>
          <w:sz w:val="24"/>
        </w:rPr>
        <w:t xml:space="preserve">9. </w:t>
      </w:r>
      <w:r>
        <w:rPr>
          <w:rFonts w:eastAsia="Courier New" w:ascii="Courier New" w:hAnsi="Courier New"/>
          <w:b w:val="false"/>
          <w:i w:val="false"/>
          <w:sz w:val="22"/>
        </w:rPr>
        <w:t>fossa_septica</w:t>
      </w:r>
      <w:r>
        <w:rPr>
          <w:rFonts w:eastAsia="Times New Roman"/>
          <w:b w:val="false"/>
          <w:i w:val="false"/>
          <w:sz w:val="24"/>
        </w:rPr>
        <w:t xml:space="preserve"> é tratada como equivalente a </w:t>
      </w:r>
      <w:r>
        <w:rPr>
          <w:rFonts w:eastAsia="Courier New" w:ascii="Courier New" w:hAnsi="Courier New"/>
          <w:b w:val="false"/>
          <w:i w:val="false"/>
          <w:sz w:val="22"/>
        </w:rPr>
        <w:t>rede_coletora</w:t>
      </w:r>
      <w:r>
        <w:rPr>
          <w:rFonts w:eastAsia="Times New Roman"/>
          <w:b w:val="false"/>
          <w:i w:val="false"/>
          <w:sz w:val="24"/>
        </w:rPr>
        <w:t xml:space="preserve"> sem distinguir qualidade/conservação.</w:t>
      </w:r>
    </w:p>
    <w:p>
      <w:pPr>
        <w:pStyle w:val="Normal"/>
        <w:spacing w:lineRule="auto" w:line="360"/>
        <w:ind w:hanging="340" w:start="454"/>
        <w:rPr/>
      </w:pPr>
      <w:r>
        <w:rPr>
          <w:rFonts w:eastAsia="Times New Roman"/>
          <w:sz w:val="24"/>
        </w:rPr>
        <w:t xml:space="preserve">10. </w:t>
      </w:r>
      <w:r>
        <w:rPr>
          <w:rFonts w:eastAsia="Times New Roman"/>
          <w:b w:val="false"/>
          <w:i w:val="false"/>
          <w:sz w:val="24"/>
        </w:rPr>
        <w:t>O indicador alimentar (</w:t>
      </w:r>
      <w:r>
        <w:rPr>
          <w:rFonts w:eastAsia="Courier New" w:ascii="Courier New" w:hAnsi="Courier New"/>
          <w:b w:val="false"/>
          <w:i w:val="false"/>
          <w:sz w:val="22"/>
        </w:rPr>
        <w:t>deixou_de_comer_falta_dinheiro</w:t>
      </w:r>
      <w:r>
        <w:rPr>
          <w:rFonts w:eastAsia="Times New Roman"/>
          <w:b w:val="false"/>
          <w:i w:val="false"/>
          <w:sz w:val="24"/>
        </w:rPr>
        <w:t xml:space="preserve">) é </w:t>
      </w:r>
      <w:r>
        <w:rPr>
          <w:rFonts w:eastAsia="Times New Roman"/>
          <w:b/>
          <w:i w:val="false"/>
          <w:sz w:val="24"/>
        </w:rPr>
        <w:t>único</w:t>
      </w:r>
      <w:r>
        <w:rPr>
          <w:rFonts w:eastAsia="Times New Roman"/>
          <w:b w:val="false"/>
          <w:i w:val="false"/>
          <w:sz w:val="24"/>
        </w:rPr>
        <w:t xml:space="preserve"> e </w:t>
      </w:r>
      <w:r>
        <w:rPr>
          <w:rFonts w:eastAsia="Times New Roman"/>
          <w:b/>
          <w:i w:val="false"/>
          <w:sz w:val="24"/>
        </w:rPr>
        <w:t>não</w:t>
      </w:r>
      <w:r>
        <w:rPr>
          <w:rFonts w:eastAsia="Times New Roman"/>
          <w:b w:val="false"/>
          <w:i w:val="false"/>
          <w:sz w:val="24"/>
        </w:rPr>
        <w:t xml:space="preserve"> constitui EBIA/FIES nem classifica insegurança alimentar leve/moderada/grave.</w:t>
      </w:r>
    </w:p>
    <w:p>
      <w:pPr>
        <w:pStyle w:val="Normal"/>
        <w:spacing w:lineRule="auto" w:line="360"/>
        <w:ind w:hanging="340" w:start="454"/>
        <w:rPr/>
      </w:pPr>
      <w:r>
        <w:rPr>
          <w:rFonts w:eastAsia="Times New Roman"/>
          <w:sz w:val="24"/>
        </w:rPr>
        <w:t xml:space="preserve">11. </w:t>
      </w:r>
      <w:r>
        <w:rPr>
          <w:rFonts w:eastAsia="Times New Roman"/>
          <w:b w:val="false"/>
          <w:i w:val="false"/>
          <w:sz w:val="24"/>
        </w:rPr>
        <w:t xml:space="preserve">O </w:t>
      </w:r>
      <w:r>
        <w:rPr>
          <w:rFonts w:eastAsia="Courier New" w:ascii="Courier New" w:hAnsi="Courier New"/>
          <w:b w:val="false"/>
          <w:i w:val="false"/>
          <w:sz w:val="22"/>
        </w:rPr>
        <w:t>adensamento_habitacional</w:t>
      </w:r>
      <w:r>
        <w:rPr>
          <w:rFonts w:eastAsia="Times New Roman"/>
          <w:b w:val="false"/>
          <w:i w:val="false"/>
          <w:sz w:val="24"/>
        </w:rPr>
        <w:t xml:space="preserve"> usa moradores/dormitório sem considerar outros fatores de inadequação habitacional.</w:t>
      </w:r>
    </w:p>
    <w:p>
      <w:pPr>
        <w:pStyle w:val="Normal"/>
        <w:spacing w:lineRule="auto" w:line="360"/>
        <w:ind w:hanging="340" w:start="454"/>
        <w:rPr/>
      </w:pPr>
      <w:r>
        <w:rPr>
          <w:rFonts w:eastAsia="Times New Roman"/>
          <w:sz w:val="24"/>
        </w:rPr>
        <w:t xml:space="preserve">12. </w:t>
      </w:r>
      <w:r>
        <w:rPr>
          <w:rFonts w:eastAsia="Times New Roman"/>
          <w:b w:val="false"/>
          <w:i w:val="false"/>
          <w:sz w:val="24"/>
        </w:rPr>
        <w:t xml:space="preserve">Os coeficientes do DGM são </w:t>
      </w:r>
      <w:r>
        <w:rPr>
          <w:rFonts w:eastAsia="Times New Roman"/>
          <w:b/>
          <w:i w:val="false"/>
          <w:sz w:val="24"/>
        </w:rPr>
        <w:t>parâmetros de simulação</w:t>
      </w:r>
      <w:r>
        <w:rPr>
          <w:rFonts w:eastAsia="Times New Roman"/>
          <w:b w:val="false"/>
          <w:i w:val="false"/>
          <w:sz w:val="24"/>
        </w:rPr>
        <w:t>, não efeitos epidemiológicos quantitativamente comprovados.</w:t>
      </w:r>
    </w:p>
    <w:p>
      <w:pPr>
        <w:pStyle w:val="Normal"/>
        <w:spacing w:lineRule="auto" w:line="360"/>
        <w:ind w:hanging="340" w:start="454"/>
        <w:rPr/>
      </w:pPr>
      <w:r>
        <w:rPr>
          <w:rFonts w:eastAsia="Times New Roman"/>
          <w:sz w:val="24"/>
        </w:rPr>
        <w:t xml:space="preserve">13. </w:t>
      </w:r>
      <w:r>
        <w:rPr>
          <w:rFonts w:eastAsia="Times New Roman"/>
          <w:b w:val="false"/>
          <w:i w:val="false"/>
          <w:sz w:val="24"/>
        </w:rPr>
        <w:t xml:space="preserve">A proporção sintética planejada (~25%) </w:t>
      </w:r>
      <w:r>
        <w:rPr>
          <w:rFonts w:eastAsia="Times New Roman"/>
          <w:b/>
          <w:i w:val="false"/>
          <w:sz w:val="24"/>
        </w:rPr>
        <w:t>não</w:t>
      </w:r>
      <w:r>
        <w:rPr>
          <w:rFonts w:eastAsia="Times New Roman"/>
          <w:b w:val="false"/>
          <w:i w:val="false"/>
          <w:sz w:val="24"/>
        </w:rPr>
        <w:t xml:space="preserve"> representa prevalência real.</w:t>
      </w:r>
    </w:p>
    <w:p>
      <w:pPr>
        <w:pStyle w:val="Normal"/>
        <w:spacing w:lineRule="auto" w:line="360"/>
        <w:ind w:hanging="340" w:start="454"/>
        <w:rPr/>
      </w:pPr>
      <w:r>
        <w:rPr>
          <w:rFonts w:eastAsia="Times New Roman"/>
          <w:sz w:val="24"/>
        </w:rPr>
        <w:t xml:space="preserve">14. </w:t>
      </w:r>
      <w:r>
        <w:rPr>
          <w:rFonts w:eastAsia="Times New Roman"/>
          <w:b w:val="false"/>
          <w:i w:val="false"/>
          <w:sz w:val="24"/>
        </w:rPr>
        <w:t xml:space="preserve">O modelo selecionado apresentou </w:t>
      </w:r>
      <w:r>
        <w:rPr>
          <w:rFonts w:eastAsia="Times New Roman"/>
          <w:b/>
          <w:i w:val="false"/>
          <w:sz w:val="24"/>
        </w:rPr>
        <w:t>recall zero no limiar 0,5</w:t>
      </w:r>
      <w:r>
        <w:rPr>
          <w:rFonts w:eastAsia="Times New Roman"/>
          <w:b w:val="false"/>
          <w:i w:val="false"/>
          <w:sz w:val="24"/>
        </w:rPr>
        <w:t xml:space="preserve"> (seção 5.3); isso é um resultado experimental e </w:t>
      </w:r>
      <w:r>
        <w:rPr>
          <w:rFonts w:eastAsia="Times New Roman"/>
          <w:b/>
          <w:i w:val="false"/>
          <w:sz w:val="24"/>
        </w:rPr>
        <w:t>não</w:t>
      </w:r>
      <w:r>
        <w:rPr>
          <w:rFonts w:eastAsia="Times New Roman"/>
          <w:b w:val="false"/>
          <w:i w:val="false"/>
          <w:sz w:val="24"/>
        </w:rPr>
        <w:t xml:space="preserve"> sustenta interpretação de desempenho clínico.</w:t>
      </w:r>
    </w:p>
    <w:p>
      <w:pPr>
        <w:pStyle w:val="Normal"/>
        <w:spacing w:lineRule="auto" w:line="360"/>
        <w:ind w:hanging="340" w:start="454"/>
        <w:rPr/>
      </w:pPr>
      <w:r>
        <w:rPr>
          <w:rFonts w:eastAsia="Times New Roman"/>
          <w:sz w:val="24"/>
        </w:rPr>
        <w:t xml:space="preserve">15. </w:t>
      </w:r>
      <w:r>
        <w:rPr>
          <w:rFonts w:eastAsia="Times New Roman"/>
          <w:b/>
          <w:i w:val="false"/>
          <w:sz w:val="24"/>
        </w:rPr>
        <w:t>Persistência operacional ≠ uso científico.</w:t>
      </w:r>
      <w:r>
        <w:rPr>
          <w:rFonts w:eastAsia="Times New Roman"/>
          <w:b w:val="false"/>
          <w:i w:val="false"/>
          <w:sz w:val="24"/>
        </w:rPr>
        <w:t xml:space="preserve"> Armazenar futuramente as respostas DSS em servidor para o funcionamento do aplicativo é uma finalidade </w:t>
      </w:r>
      <w:r>
        <w:rPr>
          <w:rFonts w:eastAsia="Times New Roman"/>
          <w:b/>
          <w:i w:val="false"/>
          <w:sz w:val="24"/>
        </w:rPr>
        <w:t>operacional</w:t>
      </w:r>
      <w:r>
        <w:rPr>
          <w:rFonts w:eastAsia="Times New Roman"/>
          <w:b w:val="false"/>
          <w:i w:val="false"/>
          <w:sz w:val="24"/>
        </w:rPr>
        <w:t xml:space="preserve">, que </w:t>
      </w:r>
      <w:r>
        <w:rPr>
          <w:rFonts w:eastAsia="Times New Roman"/>
          <w:b/>
          <w:i w:val="false"/>
          <w:sz w:val="24"/>
        </w:rPr>
        <w:t>não</w:t>
      </w:r>
      <w:r>
        <w:rPr>
          <w:rFonts w:eastAsia="Times New Roman"/>
          <w:b w:val="false"/>
          <w:i w:val="false"/>
          <w:sz w:val="24"/>
        </w:rPr>
        <w:t xml:space="preserve"> autoriza automaticamente o uso desses dados como dataset de treinamento, validação científica ou publicação. Qualquer uso científico com dados reais deverá observar consentimento, privacidade/LGPD, metodologia e os requisitos éticos aplicáveis.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240"/>
        <w:ind w:hanging="0"/>
        <w:jc w:val="start"/>
        <w:rPr/>
      </w:pPr>
      <w:bookmarkStart w:id="34" w:name="__RefHeading___Toc2225_3157870603"/>
      <w:bookmarkEnd w:id="34"/>
      <w:r>
        <w:rPr>
          <w:rFonts w:eastAsia="Times New Roman" w:ascii="Times New Roman" w:hAnsi="Times New Roman"/>
          <w:b/>
          <w:sz w:val="24"/>
        </w:rPr>
        <w:t>4 DESENVOLVIMENTO DA SOLUÇÃO</w:t>
      </w:r>
    </w:p>
    <w:p>
      <w:pPr>
        <w:pStyle w:val="EditorialStatus"/>
        <w:rPr/>
      </w:pPr>
      <w:r>
        <w:rPr>
          <w:rFonts w:eastAsia="Times New Roman"/>
          <w:b w:val="false"/>
          <w:i/>
          <w:sz w:val="20"/>
        </w:rPr>
        <w:t>STATUS EDITORIAL — descreve o estado implementado em 25/08/2026. O eixo DSS já está integrado a FastAPI/ML; o acompanhamento pré-natal ainda usa persistência local e será migrado gradualmente para API em fases posteriores.</w:t>
      </w:r>
    </w:p>
    <w:p>
      <w:pPr>
        <w:pStyle w:val="Heading2"/>
        <w:ind w:hanging="0"/>
        <w:jc w:val="start"/>
        <w:rPr/>
      </w:pPr>
      <w:bookmarkStart w:id="35" w:name="__RefHeading___Toc2227_3157870603"/>
      <w:bookmarkEnd w:id="35"/>
      <w:r>
        <w:rPr>
          <w:rFonts w:eastAsia="Times New Roman" w:ascii="Times New Roman" w:hAnsi="Times New Roman"/>
          <w:b/>
          <w:sz w:val="24"/>
        </w:rPr>
        <w:t>4.1 Arquitetura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 xml:space="preserve">A solução é composta por um </w:t>
      </w:r>
      <w:r>
        <w:rPr>
          <w:rFonts w:eastAsia="Times New Roman"/>
          <w:b/>
          <w:i w:val="false"/>
          <w:sz w:val="24"/>
        </w:rPr>
        <w:t>aplicativo móvel</w:t>
      </w:r>
      <w:r>
        <w:rPr>
          <w:rFonts w:eastAsia="Times New Roman"/>
          <w:b w:val="false"/>
          <w:i w:val="false"/>
          <w:sz w:val="24"/>
        </w:rPr>
        <w:t xml:space="preserve"> (Flutter), um </w:t>
      </w:r>
      <w:r>
        <w:rPr>
          <w:rFonts w:eastAsia="Times New Roman"/>
          <w:b/>
          <w:i w:val="false"/>
          <w:sz w:val="24"/>
        </w:rPr>
        <w:t>backend</w:t>
      </w:r>
      <w:r>
        <w:rPr>
          <w:rFonts w:eastAsia="Times New Roman"/>
          <w:b w:val="false"/>
          <w:i w:val="false"/>
          <w:sz w:val="24"/>
        </w:rPr>
        <w:t xml:space="preserve"> (FastAPI) e um </w:t>
      </w:r>
      <w:r>
        <w:rPr>
          <w:rFonts w:eastAsia="Times New Roman"/>
          <w:b/>
          <w:i w:val="false"/>
          <w:sz w:val="24"/>
        </w:rPr>
        <w:t>pacote de aprendizado de máquina</w:t>
      </w:r>
      <w:r>
        <w:rPr>
          <w:rFonts w:eastAsia="Times New Roman"/>
          <w:b w:val="false"/>
          <w:i w:val="false"/>
          <w:sz w:val="24"/>
        </w:rPr>
        <w:t xml:space="preserve"> (</w:t>
      </w:r>
      <w:r>
        <w:rPr>
          <w:rFonts w:eastAsia="Courier New" w:ascii="Courier New" w:hAnsi="Courier New"/>
          <w:b w:val="false"/>
          <w:i w:val="false"/>
          <w:sz w:val="22"/>
        </w:rPr>
        <w:t>meu_bebe_ml</w:t>
      </w:r>
      <w:r>
        <w:rPr>
          <w:rFonts w:eastAsia="Times New Roman"/>
          <w:b w:val="false"/>
          <w:i w:val="false"/>
          <w:sz w:val="24"/>
        </w:rPr>
        <w:t xml:space="preserve">, Python). O aplicativo reúne dois eixos funcionais: (i) o </w:t>
      </w:r>
      <w:r>
        <w:rPr>
          <w:rFonts w:eastAsia="Times New Roman"/>
          <w:b/>
          <w:i w:val="false"/>
          <w:sz w:val="24"/>
        </w:rPr>
        <w:t>questionário DSS</w:t>
      </w:r>
      <w:r>
        <w:rPr>
          <w:rFonts w:eastAsia="Times New Roman"/>
          <w:b w:val="false"/>
          <w:i w:val="false"/>
          <w:sz w:val="24"/>
        </w:rPr>
        <w:t xml:space="preserve"> com a estimativa experimental; e (ii) o </w:t>
      </w:r>
      <w:r>
        <w:rPr>
          <w:rFonts w:eastAsia="Times New Roman"/>
          <w:b/>
          <w:i w:val="false"/>
          <w:sz w:val="24"/>
        </w:rPr>
        <w:t>acompanhamento do pré-natal</w:t>
      </w:r>
      <w:r>
        <w:rPr>
          <w:rFonts w:eastAsia="Times New Roman"/>
          <w:b w:val="false"/>
          <w:i w:val="false"/>
          <w:sz w:val="24"/>
        </w:rPr>
        <w:t>, com armazenamento local.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 xml:space="preserve">O eixo DSS é </w:t>
      </w:r>
      <w:r>
        <w:rPr>
          <w:rFonts w:eastAsia="Times New Roman"/>
          <w:b/>
          <w:i w:val="false"/>
          <w:sz w:val="24"/>
        </w:rPr>
        <w:t>integrado de ponta a ponta</w:t>
      </w:r>
      <w:r>
        <w:rPr>
          <w:rFonts w:eastAsia="Times New Roman"/>
          <w:b w:val="false"/>
          <w:i w:val="false"/>
          <w:sz w:val="24"/>
        </w:rPr>
        <w:t xml:space="preserve"> e segue o fluxo:</w:t>
      </w:r>
    </w:p>
    <w:p>
      <w:pPr>
        <w:pStyle w:val="CodeBlock"/>
        <w:shd w:fill="F2F2F2"/>
        <w:rPr/>
      </w:pPr>
      <w:r>
        <w:rPr>
          <w:rFonts w:eastAsia="Courier New"/>
          <w:sz w:val="18"/>
        </w:rPr>
        <w:t>Flutter</w:t>
        <w:br/>
        <w:t>→ formulário DSS</w:t>
        <w:br/>
        <w:t>→ FormularioData (contrato versionado)</w:t>
        <w:br/>
        <w:t>→ RiskEstimateRepository</w:t>
        <w:br/>
        <w:t>→ cliente HTTP dedicado</w:t>
        <w:br/>
        <w:t>→ FastAPI (POST /api/v1/risk-estimate)</w:t>
        <w:br/>
        <w:t>→ meu_bebe_ml (pipeline congelado)</w:t>
        <w:br/>
        <w:t>→ RandomForestClassifier → predict_proba</w:t>
        <w:br/>
        <w:t>→ probability (classe positiva)</w:t>
        <w:br/>
        <w:t>→ resposta HTTP</w:t>
        <w:br/>
        <w:t>→ Flutter (bottom sheet de resultado)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 xml:space="preserve">A API expõe os seguintes endpoints: </w:t>
      </w:r>
      <w:r>
        <w:rPr>
          <w:rFonts w:eastAsia="Courier New" w:ascii="Courier New" w:hAnsi="Courier New"/>
          <w:b w:val="false"/>
          <w:i w:val="false"/>
          <w:sz w:val="22"/>
        </w:rPr>
        <w:t>GET /health</w:t>
      </w:r>
      <w:r>
        <w:rPr>
          <w:rFonts w:eastAsia="Times New Roman"/>
          <w:b w:val="false"/>
          <w:i w:val="false"/>
          <w:sz w:val="24"/>
        </w:rPr>
        <w:t xml:space="preserve"> (status do serviço), </w:t>
      </w:r>
      <w:r>
        <w:rPr>
          <w:rFonts w:eastAsia="Courier New" w:ascii="Courier New" w:hAnsi="Courier New"/>
          <w:b w:val="false"/>
          <w:i w:val="false"/>
          <w:sz w:val="22"/>
        </w:rPr>
        <w:t>GET /ready</w:t>
      </w:r>
      <w:r>
        <w:rPr>
          <w:rFonts w:eastAsia="Times New Roman"/>
          <w:b w:val="false"/>
          <w:i w:val="false"/>
          <w:sz w:val="24"/>
        </w:rPr>
        <w:t xml:space="preserve"> (disponibilidade do modelo) e </w:t>
      </w:r>
      <w:r>
        <w:rPr>
          <w:rFonts w:eastAsia="Courier New" w:ascii="Courier New" w:hAnsi="Courier New"/>
          <w:b w:val="false"/>
          <w:i w:val="false"/>
          <w:sz w:val="22"/>
        </w:rPr>
        <w:t>POST /api/v1/risk-estimate</w:t>
      </w:r>
      <w:r>
        <w:rPr>
          <w:rFonts w:eastAsia="Times New Roman"/>
          <w:b w:val="false"/>
          <w:i w:val="false"/>
          <w:sz w:val="24"/>
        </w:rPr>
        <w:t xml:space="preserve"> (estimativa). A API utiliza o pacote de ML como dependência, sem duplicar o código do modelo no aplicativo.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 xml:space="preserve">A camada de apresentação é construída com </w:t>
      </w:r>
      <w:r>
        <w:rPr>
          <w:rFonts w:eastAsia="Times New Roman"/>
          <w:b/>
          <w:i w:val="false"/>
          <w:sz w:val="24"/>
        </w:rPr>
        <w:t>flutter_modular + MobX</w:t>
      </w:r>
      <w:r>
        <w:rPr>
          <w:rFonts w:eastAsia="Times New Roman"/>
          <w:b w:val="false"/>
          <w:i w:val="false"/>
          <w:sz w:val="24"/>
        </w:rPr>
        <w:t>, com contratos de dados canônicos versionados.</w:t>
      </w:r>
    </w:p>
    <w:p>
      <w:pPr/>
      <w:r>
        <w:t>O backend conta, adicionalmente, com uma infraestrutura de persistência já implementada e validada, ainda que não utilizada pelo módulo de acompanhamento — que permanece em SQLite local (seção 4.4). Essa infraestrutura organiza o acesso ao banco de dados relacional em uma camada própria da API, com ciclo de vida centralizado (criação no início e encerramento no fim da aplicação):</w:t>
      </w:r>
    </w:p>
    <w:p>
      <w:pPr>
        <w:pStyle w:val="CodeBlock"/>
      </w:pPr>
      <w:r>
        <w:t>FastAPI</w:t>
        <w:br/>
        <w:t>├── Fluxo DSS atual (implementado):</w:t>
        <w:br/>
        <w:t>│     POST /api/v1/risk-estimate (stateless)</w:t>
        <w:br/>
        <w:t>│     → meu_bebe_ml (pipeline congelado)</w:t>
        <w:br/>
        <w:t>│     → RandomForestClassifier → predict_proba</w:t>
        <w:br/>
        <w:t>│     → probability (classe positiva)</w:t>
        <w:br/>
        <w:t>└── Infraestrutura persistente (implementada e validada):</w:t>
        <w:br/>
        <w:t xml:space="preserve">      SQLAlchemy 2.x (síncrono) → psycopg 3 → PostgreSQL 16</w:t>
        <w:br/>
        <w:t xml:space="preserve">      Alembic (migrações; zero revisions de domínio)</w:t>
      </w:r>
    </w:p>
    <w:p>
      <w:pPr/>
      <w:r>
        <w:t>O ramo superior representa o fluxo DSS atual, já operacional e independente de banco de dados. O ramo inferior representa a infraestrutura de persistência disponível — e, nesta etapa, ainda não conectada a entidades de acompanhamento: não há tabelas de domínio, nem persistência de consultas, exames, vacinas, medicamentos, gestações ou planos de parto. Essa infraestrutura emprega os seguintes componentes:</w:t>
      </w:r>
    </w:p>
    <w:p>
      <w:pPr>
        <w:pStyle w:val="Normal"/>
        <w:jc w:val="start"/>
        <w:keepNext/>
      </w:pPr>
      <w:r>
        <w:rPr>
          <w:b/>
          <w:sz w:val="20"/>
          <w:szCs w:val="20"/>
        </w:rPr>
        <w:t xml:space="preserve">Quadro 2 – Componentes tecnológicos da infraestrutura de persistência do backend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b/>
              </w:rPr>
              <w:t>Componente</w:t>
            </w:r>
          </w:p>
        </w:tc>
        <w:tc>
          <w:tcPr>
            <w:tcW w:type="dxa" w:w="3024"/>
          </w:tcPr>
          <w:p>
            <w:r>
              <w:rPr>
                <w:b/>
              </w:rPr>
              <w:t>Tecnologia</w:t>
            </w:r>
          </w:p>
        </w:tc>
        <w:tc>
          <w:tcPr>
            <w:tcW w:type="dxa" w:w="3024"/>
          </w:tcPr>
          <w:p>
            <w:r>
              <w:rPr>
                <w:b/>
              </w:rPr>
              <w:t>Função</w:t>
            </w:r>
          </w:p>
        </w:tc>
      </w:tr>
      <w:tr>
        <w:tc>
          <w:tcPr>
            <w:tcW w:type="dxa" w:w="3024"/>
          </w:tcPr>
          <w:p>
            <w:r>
              <w:t>API</w:t>
            </w:r>
          </w:p>
        </w:tc>
        <w:tc>
          <w:tcPr>
            <w:tcW w:type="dxa" w:w="3024"/>
          </w:tcPr>
          <w:p>
            <w:r>
              <w:t>FastAPI</w:t>
            </w:r>
          </w:p>
        </w:tc>
        <w:tc>
          <w:tcPr>
            <w:tcW w:type="dxa" w:w="3024"/>
          </w:tcPr>
          <w:p>
            <w:r>
              <w:t>comunicação HTTP e orquestração dos endpoints</w:t>
            </w:r>
          </w:p>
        </w:tc>
      </w:tr>
      <w:tr>
        <w:tc>
          <w:tcPr>
            <w:tcW w:type="dxa" w:w="3024"/>
          </w:tcPr>
          <w:p>
            <w:r>
              <w:t>ORM</w:t>
            </w:r>
          </w:p>
        </w:tc>
        <w:tc>
          <w:tcPr>
            <w:tcW w:type="dxa" w:w="3024"/>
          </w:tcPr>
          <w:p>
            <w:r>
              <w:t>SQLAlchemy 2.x</w:t>
            </w:r>
          </w:p>
        </w:tc>
        <w:tc>
          <w:tcPr>
            <w:tcW w:type="dxa" w:w="3024"/>
          </w:tcPr>
          <w:p>
            <w:r>
              <w:t>acesso estruturado aos dados, em modo síncrono</w:t>
            </w:r>
          </w:p>
        </w:tc>
      </w:tr>
      <w:tr>
        <w:tc>
          <w:tcPr>
            <w:tcW w:type="dxa" w:w="3024"/>
          </w:tcPr>
          <w:p>
            <w:r>
              <w:t>Driver</w:t>
            </w:r>
          </w:p>
        </w:tc>
        <w:tc>
          <w:tcPr>
            <w:tcW w:type="dxa" w:w="3024"/>
          </w:tcPr>
          <w:p>
            <w:r>
              <w:t>psycopg 3</w:t>
            </w:r>
          </w:p>
        </w:tc>
        <w:tc>
          <w:tcPr>
            <w:tcW w:type="dxa" w:w="3024"/>
          </w:tcPr>
          <w:p>
            <w:r>
              <w:t>comunicação entre o ORM e o banco</w:t>
            </w:r>
          </w:p>
        </w:tc>
      </w:tr>
      <w:tr>
        <w:tc>
          <w:tcPr>
            <w:tcW w:type="dxa" w:w="3024"/>
          </w:tcPr>
          <w:p>
            <w:r>
              <w:t>Banco</w:t>
            </w:r>
          </w:p>
        </w:tc>
        <w:tc>
          <w:tcPr>
            <w:tcW w:type="dxa" w:w="3024"/>
          </w:tcPr>
          <w:p>
            <w:r>
              <w:t>PostgreSQL 16</w:t>
            </w:r>
          </w:p>
        </w:tc>
        <w:tc>
          <w:tcPr>
            <w:tcW w:type="dxa" w:w="3024"/>
          </w:tcPr>
          <w:p>
            <w:r>
              <w:t>banco relacional da persistência futura</w:t>
            </w:r>
          </w:p>
        </w:tc>
      </w:tr>
      <w:tr>
        <w:tc>
          <w:tcPr>
            <w:tcW w:type="dxa" w:w="3024"/>
          </w:tcPr>
          <w:p>
            <w:r>
              <w:t>Migrações</w:t>
            </w:r>
          </w:p>
        </w:tc>
        <w:tc>
          <w:tcPr>
            <w:tcW w:type="dxa" w:w="3024"/>
          </w:tcPr>
          <w:p>
            <w:r>
              <w:t>Alembic</w:t>
            </w:r>
          </w:p>
        </w:tc>
        <w:tc>
          <w:tcPr>
            <w:tcW w:type="dxa" w:w="3024"/>
          </w:tcPr>
          <w:p>
            <w:r>
              <w:t>controle versionado da evolução do esquema</w:t>
            </w:r>
          </w:p>
        </w:tc>
      </w:tr>
    </w:tbl>
    <w:p>
      <w:pPr/>
      <w:r>
        <w:t>Fonte: elaboração própria (2026).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t>A arquitetura aqui descrita corresponde ao estado implementado — incluindo a infraestrutura de persistência do backend, pronta para receber as entidades de domínio em fases posteriores. Distingue-se, portanto, a API DSS atual (que recebe a estimativa experimental, de forma stateless) da futura API CRUD do acompanhamento pré-natal — cuja infraestrutura de persistência já existe, mas cujas entidades, autenticação e operações CRUD permanecem ainda não implementadas (seção 4.7).</w:t>
      </w:r>
    </w:p>
    <w:p>
      <w:pPr>
        <w:pStyle w:val="Heading2"/>
        <w:ind w:hanging="0"/>
        <w:jc w:val="start"/>
        <w:rPr/>
      </w:pPr>
      <w:bookmarkStart w:id="36" w:name="__RefHeading___Toc2229_3157870603"/>
      <w:bookmarkEnd w:id="36"/>
      <w:r>
        <w:rPr>
          <w:rFonts w:eastAsia="Times New Roman" w:ascii="Times New Roman" w:hAnsi="Times New Roman"/>
          <w:b/>
          <w:sz w:val="24"/>
        </w:rPr>
        <w:t>4.2 Eixo 1 — Questionário dos DSS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 xml:space="preserve">Formulário estruturado das seis dimensões; coleta informações usadas na caracterização (IV-DSS) e na estimativa experimental do modelo. O resultado apresentado no aplicativo é denominado </w:t>
      </w:r>
      <w:r>
        <w:rPr>
          <w:rFonts w:eastAsia="Times New Roman"/>
          <w:b/>
          <w:i w:val="false"/>
          <w:sz w:val="24"/>
        </w:rPr>
        <w:t>"Estimativa de acompanhamento"</w:t>
      </w:r>
      <w:r>
        <w:rPr>
          <w:rFonts w:eastAsia="Times New Roman"/>
          <w:b w:val="false"/>
          <w:i w:val="false"/>
          <w:sz w:val="24"/>
        </w:rPr>
        <w:t xml:space="preserve">, contendo </w:t>
      </w:r>
      <w:r>
        <w:rPr>
          <w:rFonts w:eastAsia="Times New Roman"/>
          <w:b/>
          <w:i w:val="false"/>
          <w:sz w:val="24"/>
        </w:rPr>
        <w:t>probabilidade percentual</w:t>
      </w:r>
      <w:r>
        <w:rPr>
          <w:rFonts w:eastAsia="Times New Roman"/>
          <w:b w:val="false"/>
          <w:i w:val="false"/>
          <w:sz w:val="24"/>
        </w:rPr>
        <w:t xml:space="preserve">, </w:t>
      </w:r>
      <w:r>
        <w:rPr>
          <w:rFonts w:eastAsia="Times New Roman"/>
          <w:b/>
          <w:i w:val="false"/>
          <w:sz w:val="24"/>
        </w:rPr>
        <w:t>texto explicativo</w:t>
      </w:r>
      <w:r>
        <w:rPr>
          <w:rFonts w:eastAsia="Times New Roman"/>
          <w:b w:val="false"/>
          <w:i w:val="false"/>
          <w:sz w:val="24"/>
        </w:rPr>
        <w:t xml:space="preserve"> e um </w:t>
      </w:r>
      <w:r>
        <w:rPr>
          <w:rFonts w:eastAsia="Times New Roman"/>
          <w:b/>
          <w:i w:val="false"/>
          <w:sz w:val="24"/>
        </w:rPr>
        <w:t>notice metodológico</w:t>
      </w:r>
      <w:r>
        <w:rPr>
          <w:rFonts w:eastAsia="Times New Roman"/>
          <w:b w:val="false"/>
          <w:i w:val="false"/>
          <w:sz w:val="24"/>
        </w:rPr>
        <w:t xml:space="preserve"> que esclarece o caráter experimental, a base em dados sintéticos e a ausência de diagnóstico ou certeza. </w:t>
      </w:r>
      <w:r>
        <w:rPr>
          <w:rFonts w:eastAsia="Times New Roman"/>
          <w:b/>
          <w:i w:val="false"/>
          <w:sz w:val="24"/>
        </w:rPr>
        <w:t>Não</w:t>
      </w:r>
      <w:r>
        <w:rPr>
          <w:rFonts w:eastAsia="Times New Roman"/>
          <w:b w:val="false"/>
          <w:i w:val="false"/>
          <w:sz w:val="24"/>
        </w:rPr>
        <w:t xml:space="preserve"> há tela de "risco" nem classificação de risco.</w:t>
      </w:r>
    </w:p>
    <w:p>
      <w:pPr>
        <w:pStyle w:val="Heading2"/>
        <w:ind w:hanging="0"/>
        <w:jc w:val="start"/>
        <w:rPr/>
      </w:pPr>
      <w:bookmarkStart w:id="37" w:name="__RefHeading___Toc2231_3157870603"/>
      <w:bookmarkEnd w:id="37"/>
      <w:r>
        <w:rPr>
          <w:rFonts w:eastAsia="Times New Roman" w:ascii="Times New Roman" w:hAnsi="Times New Roman"/>
          <w:b/>
          <w:sz w:val="24"/>
        </w:rPr>
        <w:t>4.3 Eixo 2 — Módulo de acompanhamento do pré-natal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 xml:space="preserve">O aplicativo integra, em uma mesma solução, o gerenciamento do acompanhamento pré-natal, organizado em </w:t>
      </w:r>
      <w:r>
        <w:rPr>
          <w:rFonts w:eastAsia="Times New Roman"/>
          <w:b/>
          <w:i w:val="false"/>
          <w:sz w:val="24"/>
        </w:rPr>
        <w:t>quatro abas principais</w:t>
      </w:r>
      <w:r>
        <w:rPr>
          <w:rFonts w:eastAsia="Times New Roman"/>
          <w:b w:val="false"/>
          <w:i w:val="false"/>
          <w:sz w:val="24"/>
        </w:rPr>
        <w:t xml:space="preserve">: </w:t>
      </w:r>
      <w:r>
        <w:rPr>
          <w:rFonts w:eastAsia="Times New Roman"/>
          <w:b/>
          <w:i w:val="false"/>
          <w:sz w:val="24"/>
        </w:rPr>
        <w:t>Home</w:t>
      </w:r>
      <w:r>
        <w:rPr>
          <w:rFonts w:eastAsia="Times New Roman"/>
          <w:b w:val="false"/>
          <w:i w:val="false"/>
          <w:sz w:val="24"/>
        </w:rPr>
        <w:t xml:space="preserve">, </w:t>
      </w:r>
      <w:r>
        <w:rPr>
          <w:rFonts w:eastAsia="Times New Roman"/>
          <w:b/>
          <w:i w:val="false"/>
          <w:sz w:val="24"/>
        </w:rPr>
        <w:t>Gestação</w:t>
      </w:r>
      <w:r>
        <w:rPr>
          <w:rFonts w:eastAsia="Times New Roman"/>
          <w:b w:val="false"/>
          <w:i w:val="false"/>
          <w:sz w:val="24"/>
        </w:rPr>
        <w:t xml:space="preserve">, </w:t>
      </w:r>
      <w:r>
        <w:rPr>
          <w:rFonts w:eastAsia="Times New Roman"/>
          <w:b/>
          <w:i w:val="false"/>
          <w:sz w:val="24"/>
        </w:rPr>
        <w:t>Parto</w:t>
      </w:r>
      <w:r>
        <w:rPr>
          <w:rFonts w:eastAsia="Times New Roman"/>
          <w:b w:val="false"/>
          <w:i w:val="false"/>
          <w:sz w:val="24"/>
        </w:rPr>
        <w:t xml:space="preserve"> e </w:t>
      </w:r>
      <w:r>
        <w:rPr>
          <w:rFonts w:eastAsia="Times New Roman"/>
          <w:b/>
          <w:i w:val="false"/>
          <w:sz w:val="24"/>
        </w:rPr>
        <w:t>Perfil</w:t>
      </w:r>
      <w:r>
        <w:rPr>
          <w:rFonts w:eastAsia="Times New Roman"/>
          <w:b w:val="false"/>
          <w:i w:val="false"/>
          <w:sz w:val="24"/>
        </w:rPr>
        <w:t>.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Times New Roman"/>
          <w:b/>
          <w:i w:val="false"/>
          <w:sz w:val="24"/>
        </w:rPr>
        <w:t>Home</w:t>
      </w:r>
      <w:r>
        <w:rPr>
          <w:rFonts w:eastAsia="Times New Roman"/>
          <w:b w:val="false"/>
          <w:i w:val="false"/>
          <w:sz w:val="24"/>
        </w:rPr>
        <w:t xml:space="preserve"> — reúne </w:t>
      </w:r>
      <w:r>
        <w:rPr>
          <w:rFonts w:eastAsia="Times New Roman"/>
          <w:b/>
          <w:i w:val="false"/>
          <w:sz w:val="24"/>
        </w:rPr>
        <w:t>Consultas e exames</w:t>
      </w:r>
      <w:r>
        <w:rPr>
          <w:rFonts w:eastAsia="Times New Roman"/>
          <w:b w:val="false"/>
          <w:i w:val="false"/>
          <w:sz w:val="24"/>
        </w:rPr>
        <w:t xml:space="preserve"> (cadastro, listagem e exclusão local), </w:t>
      </w:r>
      <w:r>
        <w:rPr>
          <w:rFonts w:eastAsia="Times New Roman"/>
          <w:b/>
          <w:i w:val="false"/>
          <w:sz w:val="24"/>
        </w:rPr>
        <w:t>Minhas vacinas</w:t>
      </w:r>
      <w:r>
        <w:rPr>
          <w:rFonts w:eastAsia="Times New Roman"/>
          <w:b w:val="false"/>
          <w:i w:val="false"/>
          <w:sz w:val="24"/>
        </w:rPr>
        <w:t xml:space="preserve"> (catálogo pré-cadastrado com controle de realização), </w:t>
      </w:r>
      <w:r>
        <w:rPr>
          <w:rFonts w:eastAsia="Times New Roman"/>
          <w:b/>
          <w:i w:val="false"/>
          <w:sz w:val="24"/>
        </w:rPr>
        <w:t>Meus medicamentos</w:t>
      </w:r>
      <w:r>
        <w:rPr>
          <w:rFonts w:eastAsia="Times New Roman"/>
          <w:b w:val="false"/>
          <w:i w:val="false"/>
          <w:sz w:val="24"/>
        </w:rPr>
        <w:t xml:space="preserve"> (cadastro, listagem e exclusão local) e </w:t>
      </w:r>
      <w:r>
        <w:rPr>
          <w:rFonts w:eastAsia="Times New Roman"/>
          <w:b/>
          <w:i w:val="false"/>
          <w:sz w:val="24"/>
        </w:rPr>
        <w:t>Informações básicas</w:t>
      </w:r>
      <w:r>
        <w:rPr>
          <w:rFonts w:eastAsia="Times New Roman"/>
          <w:b w:val="false"/>
          <w:i w:val="false"/>
          <w:sz w:val="24"/>
        </w:rPr>
        <w:t xml:space="preserve"> (conteúdo educativo estático, sem persistência).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Times New Roman"/>
          <w:b/>
          <w:i w:val="false"/>
          <w:sz w:val="24"/>
        </w:rPr>
        <w:t>Gestação</w:t>
      </w:r>
      <w:r>
        <w:rPr>
          <w:rFonts w:eastAsia="Times New Roman"/>
          <w:b w:val="false"/>
          <w:i w:val="false"/>
          <w:sz w:val="24"/>
        </w:rPr>
        <w:t xml:space="preserve"> — agrega identificação da gestante, </w:t>
      </w:r>
      <w:r>
        <w:rPr>
          <w:rFonts w:eastAsia="Times New Roman"/>
          <w:b/>
          <w:i w:val="false"/>
          <w:sz w:val="24"/>
        </w:rPr>
        <w:t>idade gestacional (IG)</w:t>
      </w:r>
      <w:r>
        <w:rPr>
          <w:rFonts w:eastAsia="Times New Roman"/>
          <w:b w:val="false"/>
          <w:i w:val="false"/>
          <w:sz w:val="24"/>
        </w:rPr>
        <w:t xml:space="preserve">, </w:t>
      </w:r>
      <w:r>
        <w:rPr>
          <w:rFonts w:eastAsia="Times New Roman"/>
          <w:b/>
          <w:i w:val="false"/>
          <w:sz w:val="24"/>
        </w:rPr>
        <w:t>data provável do parto (DPP)</w:t>
      </w:r>
      <w:r>
        <w:rPr>
          <w:rFonts w:eastAsia="Times New Roman"/>
          <w:b w:val="false"/>
          <w:i w:val="false"/>
          <w:sz w:val="24"/>
        </w:rPr>
        <w:t xml:space="preserve">, local do pré-natal, profissional, consultas, exames e histórico obstétrico. IG e DPP são </w:t>
      </w:r>
      <w:r>
        <w:rPr>
          <w:rFonts w:eastAsia="Times New Roman"/>
          <w:b/>
          <w:i w:val="false"/>
          <w:sz w:val="24"/>
        </w:rPr>
        <w:t>calculadas em tempo de execução</w:t>
      </w:r>
      <w:r>
        <w:rPr>
          <w:rFonts w:eastAsia="Times New Roman"/>
          <w:b w:val="false"/>
          <w:i w:val="false"/>
          <w:sz w:val="24"/>
        </w:rPr>
        <w:t xml:space="preserve"> a partir dos dados da gestação (data da última menstruação), e </w:t>
      </w:r>
      <w:r>
        <w:rPr>
          <w:rFonts w:eastAsia="Times New Roman"/>
          <w:b/>
          <w:i w:val="false"/>
          <w:sz w:val="24"/>
        </w:rPr>
        <w:t>não</w:t>
      </w:r>
      <w:r>
        <w:rPr>
          <w:rFonts w:eastAsia="Times New Roman"/>
          <w:b w:val="false"/>
          <w:i w:val="false"/>
          <w:sz w:val="24"/>
        </w:rPr>
        <w:t xml:space="preserve"> são persistidas como valores independentes.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Times New Roman"/>
          <w:b/>
          <w:i w:val="false"/>
          <w:sz w:val="24"/>
        </w:rPr>
        <w:t>Parto</w:t>
      </w:r>
      <w:r>
        <w:rPr>
          <w:rFonts w:eastAsia="Times New Roman"/>
          <w:b w:val="false"/>
          <w:i w:val="false"/>
          <w:sz w:val="24"/>
        </w:rPr>
        <w:t xml:space="preserve"> — representa um </w:t>
      </w:r>
      <w:r>
        <w:rPr>
          <w:rFonts w:eastAsia="Times New Roman"/>
          <w:b/>
          <w:i w:val="false"/>
          <w:sz w:val="24"/>
        </w:rPr>
        <w:t>plano de parto</w:t>
      </w:r>
      <w:r>
        <w:rPr>
          <w:rFonts w:eastAsia="Times New Roman"/>
          <w:b w:val="false"/>
          <w:i w:val="false"/>
          <w:sz w:val="24"/>
        </w:rPr>
        <w:t>, com seções de identificação, histórico, gestação atual, expectativas, parto, alívio da dor, nascimento, observações e resumo.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Times New Roman"/>
          <w:b/>
          <w:i w:val="false"/>
          <w:sz w:val="24"/>
        </w:rPr>
        <w:t>Perfil</w:t>
      </w:r>
      <w:r>
        <w:rPr>
          <w:rFonts w:eastAsia="Times New Roman"/>
          <w:b w:val="false"/>
          <w:i w:val="false"/>
          <w:sz w:val="24"/>
        </w:rPr>
        <w:t xml:space="preserve"> — reúne </w:t>
      </w:r>
      <w:r>
        <w:rPr>
          <w:rFonts w:eastAsia="Times New Roman"/>
          <w:b/>
          <w:i w:val="false"/>
          <w:sz w:val="24"/>
        </w:rPr>
        <w:t>Meus Dados</w:t>
      </w:r>
      <w:r>
        <w:rPr>
          <w:rFonts w:eastAsia="Times New Roman"/>
          <w:b w:val="false"/>
          <w:i w:val="false"/>
          <w:sz w:val="24"/>
        </w:rPr>
        <w:t xml:space="preserve">, </w:t>
      </w:r>
      <w:r>
        <w:rPr>
          <w:rFonts w:eastAsia="Times New Roman"/>
          <w:b/>
          <w:i w:val="false"/>
          <w:sz w:val="24"/>
        </w:rPr>
        <w:t>Notificações</w:t>
      </w:r>
      <w:r>
        <w:rPr>
          <w:rFonts w:eastAsia="Times New Roman"/>
          <w:b w:val="false"/>
          <w:i w:val="false"/>
          <w:sz w:val="24"/>
        </w:rPr>
        <w:t xml:space="preserve">, </w:t>
      </w:r>
      <w:r>
        <w:rPr>
          <w:rFonts w:eastAsia="Times New Roman"/>
          <w:b/>
          <w:i w:val="false"/>
          <w:sz w:val="24"/>
        </w:rPr>
        <w:t>Configurações</w:t>
      </w:r>
      <w:r>
        <w:rPr>
          <w:rFonts w:eastAsia="Times New Roman"/>
          <w:b w:val="false"/>
          <w:i w:val="false"/>
          <w:sz w:val="24"/>
        </w:rPr>
        <w:t xml:space="preserve">, </w:t>
      </w:r>
      <w:r>
        <w:rPr>
          <w:rFonts w:eastAsia="Times New Roman"/>
          <w:b/>
          <w:i w:val="false"/>
          <w:sz w:val="24"/>
        </w:rPr>
        <w:t>Sobre o app</w:t>
      </w:r>
      <w:r>
        <w:rPr>
          <w:rFonts w:eastAsia="Times New Roman"/>
          <w:b w:val="false"/>
          <w:i w:val="false"/>
          <w:sz w:val="24"/>
        </w:rPr>
        <w:t xml:space="preserve"> e </w:t>
      </w:r>
      <w:r>
        <w:rPr>
          <w:rFonts w:eastAsia="Times New Roman"/>
          <w:b/>
          <w:i w:val="false"/>
          <w:sz w:val="24"/>
        </w:rPr>
        <w:t>Sair</w:t>
      </w:r>
      <w:r>
        <w:rPr>
          <w:rFonts w:eastAsia="Times New Roman"/>
          <w:b w:val="false"/>
          <w:i w:val="false"/>
          <w:sz w:val="24"/>
        </w:rPr>
        <w:t>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 xml:space="preserve">Conceitualmente, no plano de parto, </w:t>
      </w:r>
      <w:r>
        <w:rPr>
          <w:rFonts w:eastAsia="Times New Roman"/>
          <w:b/>
          <w:i w:val="false"/>
          <w:sz w:val="24"/>
        </w:rPr>
        <w:t>identificação</w:t>
      </w:r>
      <w:r>
        <w:rPr>
          <w:rFonts w:eastAsia="Times New Roman"/>
          <w:b w:val="false"/>
          <w:i w:val="false"/>
          <w:sz w:val="24"/>
        </w:rPr>
        <w:t xml:space="preserve">, </w:t>
      </w:r>
      <w:r>
        <w:rPr>
          <w:rFonts w:eastAsia="Times New Roman"/>
          <w:b/>
          <w:i w:val="false"/>
          <w:sz w:val="24"/>
        </w:rPr>
        <w:t>histórico</w:t>
      </w:r>
      <w:r>
        <w:rPr>
          <w:rFonts w:eastAsia="Times New Roman"/>
          <w:b w:val="false"/>
          <w:i w:val="false"/>
          <w:sz w:val="24"/>
        </w:rPr>
        <w:t xml:space="preserve"> e </w:t>
      </w:r>
      <w:r>
        <w:rPr>
          <w:rFonts w:eastAsia="Times New Roman"/>
          <w:b/>
          <w:i w:val="false"/>
          <w:sz w:val="24"/>
        </w:rPr>
        <w:t>gestação atual</w:t>
      </w:r>
      <w:r>
        <w:rPr>
          <w:rFonts w:eastAsia="Times New Roman"/>
          <w:b w:val="false"/>
          <w:i w:val="false"/>
          <w:sz w:val="24"/>
        </w:rPr>
        <w:t xml:space="preserve"> são </w:t>
      </w:r>
      <w:r>
        <w:rPr>
          <w:rFonts w:eastAsia="Times New Roman"/>
          <w:b/>
          <w:i w:val="false"/>
          <w:sz w:val="24"/>
        </w:rPr>
        <w:t>dados de contexto</w:t>
      </w:r>
      <w:r>
        <w:rPr>
          <w:rFonts w:eastAsia="Times New Roman"/>
          <w:b w:val="false"/>
          <w:i w:val="false"/>
          <w:sz w:val="24"/>
        </w:rPr>
        <w:t xml:space="preserve"> reutilizados de outras entidades; as </w:t>
      </w:r>
      <w:r>
        <w:rPr>
          <w:rFonts w:eastAsia="Times New Roman"/>
          <w:b/>
          <w:i w:val="false"/>
          <w:sz w:val="24"/>
        </w:rPr>
        <w:t>preferências específicas do plano</w:t>
      </w:r>
      <w:r>
        <w:rPr>
          <w:rFonts w:eastAsia="Times New Roman"/>
          <w:b w:val="false"/>
          <w:i w:val="false"/>
          <w:sz w:val="24"/>
        </w:rPr>
        <w:t xml:space="preserve"> são: </w:t>
      </w:r>
      <w:r>
        <w:rPr>
          <w:rFonts w:eastAsia="Times New Roman"/>
          <w:b/>
          <w:i w:val="false"/>
          <w:sz w:val="24"/>
        </w:rPr>
        <w:t>expectativas</w:t>
      </w:r>
      <w:r>
        <w:rPr>
          <w:rFonts w:eastAsia="Times New Roman"/>
          <w:b w:val="false"/>
          <w:i w:val="false"/>
          <w:sz w:val="24"/>
        </w:rPr>
        <w:t xml:space="preserve">, </w:t>
      </w:r>
      <w:r>
        <w:rPr>
          <w:rFonts w:eastAsia="Times New Roman"/>
          <w:b/>
          <w:i w:val="false"/>
          <w:sz w:val="24"/>
        </w:rPr>
        <w:t>momento do parto</w:t>
      </w:r>
      <w:r>
        <w:rPr>
          <w:rFonts w:eastAsia="Times New Roman"/>
          <w:b w:val="false"/>
          <w:i w:val="false"/>
          <w:sz w:val="24"/>
        </w:rPr>
        <w:t xml:space="preserve">, </w:t>
      </w:r>
      <w:r>
        <w:rPr>
          <w:rFonts w:eastAsia="Times New Roman"/>
          <w:b/>
          <w:i w:val="false"/>
          <w:sz w:val="24"/>
        </w:rPr>
        <w:t>alívio da dor</w:t>
      </w:r>
      <w:r>
        <w:rPr>
          <w:rFonts w:eastAsia="Times New Roman"/>
          <w:b w:val="false"/>
          <w:i w:val="false"/>
          <w:sz w:val="24"/>
        </w:rPr>
        <w:t xml:space="preserve">, </w:t>
      </w:r>
      <w:r>
        <w:rPr>
          <w:rFonts w:eastAsia="Times New Roman"/>
          <w:b/>
          <w:i w:val="false"/>
          <w:sz w:val="24"/>
        </w:rPr>
        <w:t>nascimento</w:t>
      </w:r>
      <w:r>
        <w:rPr>
          <w:rFonts w:eastAsia="Times New Roman"/>
          <w:b w:val="false"/>
          <w:i w:val="false"/>
          <w:sz w:val="24"/>
        </w:rPr>
        <w:t xml:space="preserve"> e </w:t>
      </w:r>
      <w:r>
        <w:rPr>
          <w:rFonts w:eastAsia="Times New Roman"/>
          <w:b/>
          <w:i w:val="false"/>
          <w:sz w:val="24"/>
        </w:rPr>
        <w:t>observações</w:t>
      </w:r>
      <w:r>
        <w:rPr>
          <w:rFonts w:eastAsia="Times New Roman"/>
          <w:b w:val="false"/>
          <w:i w:val="false"/>
          <w:sz w:val="24"/>
        </w:rPr>
        <w:t xml:space="preserve">. Essas informações representam </w:t>
      </w:r>
      <w:r>
        <w:rPr>
          <w:rFonts w:eastAsia="Times New Roman"/>
          <w:b/>
          <w:i w:val="false"/>
          <w:sz w:val="24"/>
        </w:rPr>
        <w:t>preferências e expectativas</w:t>
      </w:r>
      <w:r>
        <w:rPr>
          <w:rFonts w:eastAsia="Times New Roman"/>
          <w:b w:val="false"/>
          <w:i w:val="false"/>
          <w:sz w:val="24"/>
        </w:rPr>
        <w:t xml:space="preserve">, e </w:t>
      </w:r>
      <w:r>
        <w:rPr>
          <w:rFonts w:eastAsia="Times New Roman"/>
          <w:b/>
          <w:i w:val="false"/>
          <w:sz w:val="24"/>
        </w:rPr>
        <w:t>não</w:t>
      </w:r>
      <w:r>
        <w:rPr>
          <w:rFonts w:eastAsia="Times New Roman"/>
          <w:b w:val="false"/>
          <w:i w:val="false"/>
          <w:sz w:val="24"/>
        </w:rPr>
        <w:t xml:space="preserve"> o registro do desfecho real do parto.</w:t>
      </w:r>
    </w:p>
    <w:p>
      <w:pPr>
        <w:pStyle w:val="Heading2"/>
        <w:ind w:hanging="0"/>
        <w:jc w:val="start"/>
        <w:rPr/>
      </w:pPr>
      <w:bookmarkStart w:id="38" w:name="__RefHeading___Toc2233_3157870603"/>
      <w:bookmarkEnd w:id="38"/>
      <w:r>
        <w:rPr>
          <w:rFonts w:eastAsia="Times New Roman" w:ascii="Times New Roman" w:hAnsi="Times New Roman"/>
          <w:b/>
          <w:sz w:val="24"/>
        </w:rPr>
        <w:t>4.4 Armazenamento local / offline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 xml:space="preserve">O módulo de acompanhamento </w:t>
      </w:r>
      <w:r>
        <w:rPr>
          <w:rFonts w:eastAsia="Times New Roman"/>
          <w:b/>
          <w:i w:val="false"/>
          <w:sz w:val="24"/>
        </w:rPr>
        <w:t>não depende de API</w:t>
      </w:r>
      <w:r>
        <w:rPr>
          <w:rFonts w:eastAsia="Times New Roman"/>
          <w:b w:val="false"/>
          <w:i w:val="false"/>
          <w:sz w:val="24"/>
        </w:rPr>
        <w:t xml:space="preserve"> para armazenar essas informações; funciona offline. Esta é uma característica arquitetural e funcional — </w:t>
      </w:r>
      <w:r>
        <w:rPr>
          <w:rFonts w:eastAsia="Times New Roman"/>
          <w:b/>
          <w:i w:val="false"/>
          <w:sz w:val="24"/>
        </w:rPr>
        <w:t>não</w:t>
      </w:r>
      <w:r>
        <w:rPr>
          <w:rFonts w:eastAsia="Times New Roman"/>
          <w:b w:val="false"/>
          <w:i w:val="false"/>
          <w:sz w:val="24"/>
        </w:rPr>
        <w:t xml:space="preserve"> um preditor do modelo.</w:t>
      </w:r>
    </w:p>
    <w:p>
      <w:pPr>
        <w:pStyle w:val="EditorialStatus"/>
        <w:rPr/>
      </w:pPr>
      <w:r>
        <w:rPr>
          <w:rFonts w:eastAsia="Times New Roman"/>
          <w:b w:val="false"/>
          <w:i/>
          <w:sz w:val="20"/>
        </w:rPr>
        <w:t xml:space="preserve">O módulo de acompanhamento é </w:t>
      </w:r>
      <w:r>
        <w:rPr>
          <w:rFonts w:eastAsia="Times New Roman"/>
          <w:b/>
          <w:i/>
          <w:sz w:val="20"/>
        </w:rPr>
        <w:t>funcionalidade da aplicação</w:t>
      </w:r>
      <w:r>
        <w:rPr>
          <w:rFonts w:eastAsia="Times New Roman"/>
          <w:b w:val="false"/>
          <w:i/>
          <w:sz w:val="20"/>
        </w:rPr>
        <w:t xml:space="preserve"> e </w:t>
      </w:r>
      <w:r>
        <w:rPr>
          <w:rFonts w:eastAsia="Times New Roman"/>
          <w:b/>
          <w:i/>
          <w:sz w:val="20"/>
        </w:rPr>
        <w:t>não</w:t>
      </w:r>
      <w:r>
        <w:rPr>
          <w:rFonts w:eastAsia="Times New Roman"/>
          <w:b w:val="false"/>
          <w:i/>
          <w:sz w:val="20"/>
        </w:rPr>
        <w:t xml:space="preserve"> faz</w:t>
      </w:r>
    </w:p>
    <w:p>
      <w:pPr>
        <w:pStyle w:val="EditorialStatus"/>
        <w:rPr/>
      </w:pPr>
      <w:r>
        <w:rPr>
          <w:rFonts w:eastAsia="Times New Roman"/>
          <w:b w:val="false"/>
          <w:i/>
          <w:sz w:val="20"/>
        </w:rPr>
        <w:t>parte diretamente do modelo de predição.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 xml:space="preserve">A persistência local é realizada com </w:t>
      </w:r>
      <w:r>
        <w:rPr>
          <w:rFonts w:eastAsia="Times New Roman"/>
          <w:b/>
          <w:i w:val="false"/>
          <w:sz w:val="24"/>
        </w:rPr>
        <w:t>SQLite</w:t>
      </w:r>
      <w:r>
        <w:rPr>
          <w:rFonts w:eastAsia="Times New Roman"/>
          <w:b w:val="false"/>
          <w:i w:val="false"/>
          <w:sz w:val="24"/>
        </w:rPr>
        <w:t xml:space="preserve"> por meio do pacote </w:t>
      </w:r>
      <w:r>
        <w:rPr>
          <w:rFonts w:eastAsia="Times New Roman"/>
          <w:b/>
          <w:i w:val="false"/>
          <w:sz w:val="24"/>
        </w:rPr>
        <w:t>sqflite</w:t>
      </w:r>
      <w:r>
        <w:rPr>
          <w:rFonts w:eastAsia="Times New Roman"/>
          <w:b w:val="false"/>
          <w:i w:val="false"/>
          <w:sz w:val="24"/>
        </w:rPr>
        <w:t xml:space="preserve">, com </w:t>
      </w:r>
      <w:r>
        <w:rPr>
          <w:rFonts w:eastAsia="Times New Roman"/>
          <w:b/>
          <w:i w:val="false"/>
          <w:sz w:val="24"/>
        </w:rPr>
        <w:t>SQL bruto</w:t>
      </w:r>
      <w:r>
        <w:rPr>
          <w:rFonts w:eastAsia="Times New Roman"/>
          <w:b w:val="false"/>
          <w:i w:val="false"/>
          <w:sz w:val="24"/>
        </w:rPr>
        <w:t xml:space="preserve"> (sem Drift/codegen). O banco </w:t>
      </w:r>
      <w:r>
        <w:rPr>
          <w:rFonts w:eastAsia="Courier New" w:ascii="Courier New" w:hAnsi="Courier New"/>
          <w:b w:val="false"/>
          <w:i w:val="false"/>
          <w:sz w:val="22"/>
        </w:rPr>
        <w:t>meu_bebe.db</w:t>
      </w:r>
      <w:r>
        <w:rPr>
          <w:rFonts w:eastAsia="Times New Roman"/>
          <w:b w:val="false"/>
          <w:i w:val="false"/>
          <w:sz w:val="24"/>
        </w:rPr>
        <w:t xml:space="preserve"> (versão 1) contém </w:t>
      </w:r>
      <w:r>
        <w:rPr>
          <w:rFonts w:eastAsia="Times New Roman"/>
          <w:b/>
          <w:i w:val="false"/>
          <w:sz w:val="24"/>
        </w:rPr>
        <w:t>13 models</w:t>
      </w:r>
      <w:r>
        <w:rPr>
          <w:rFonts w:eastAsia="Times New Roman"/>
          <w:b w:val="false"/>
          <w:i w:val="false"/>
          <w:sz w:val="24"/>
        </w:rPr>
        <w:t xml:space="preserve"> e </w:t>
      </w:r>
      <w:r>
        <w:rPr>
          <w:rFonts w:eastAsia="Times New Roman"/>
          <w:b/>
          <w:i w:val="false"/>
          <w:sz w:val="24"/>
        </w:rPr>
        <w:t>13 tabelas</w:t>
      </w:r>
      <w:r>
        <w:rPr>
          <w:rFonts w:eastAsia="Times New Roman"/>
          <w:b w:val="false"/>
          <w:i w:val="false"/>
          <w:sz w:val="24"/>
        </w:rPr>
        <w:t xml:space="preserve"> locais.</w:t>
      </w:r>
    </w:p>
    <w:p>
      <w:pPr>
        <w:pStyle w:val="EditorialStatus"/>
        <w:rPr/>
      </w:pPr>
      <w:r>
        <w:rPr>
          <w:rFonts w:eastAsia="Times New Roman"/>
          <w:b/>
          <w:i/>
          <w:sz w:val="20"/>
        </w:rPr>
        <w:t>Limitação relacional da implementação atual:</w:t>
      </w:r>
      <w:r>
        <w:rPr>
          <w:rFonts w:eastAsia="Times New Roman"/>
          <w:b w:val="false"/>
          <w:i/>
          <w:sz w:val="20"/>
        </w:rPr>
        <w:t xml:space="preserve"> as tabelas locais </w:t>
      </w:r>
      <w:r>
        <w:rPr>
          <w:rFonts w:eastAsia="Times New Roman"/>
          <w:b/>
          <w:i/>
          <w:sz w:val="20"/>
        </w:rPr>
        <w:t>não</w:t>
      </w:r>
    </w:p>
    <w:p>
      <w:pPr>
        <w:pStyle w:val="EditorialStatus"/>
        <w:rPr/>
      </w:pPr>
      <w:r>
        <w:rPr>
          <w:rFonts w:eastAsia="Times New Roman"/>
          <w:b w:val="false"/>
          <w:i/>
          <w:sz w:val="20"/>
        </w:rPr>
        <w:t>possuem relacionamentos formais (foreign keys) entre os registros de domínio.</w:t>
      </w:r>
    </w:p>
    <w:p>
      <w:pPr>
        <w:pStyle w:val="EditorialStatus"/>
        <w:rPr/>
      </w:pPr>
      <w:r>
        <w:rPr>
          <w:rFonts w:eastAsia="Times New Roman"/>
          <w:b w:val="false"/>
          <w:i/>
          <w:sz w:val="20"/>
        </w:rPr>
        <w:t xml:space="preserve">Embora a configuração do banco ative </w:t>
      </w:r>
      <w:r>
        <w:rPr>
          <w:rFonts w:eastAsia="Courier New" w:ascii="Courier New" w:hAnsi="Courier New"/>
          <w:b w:val="false"/>
          <w:i w:val="false"/>
          <w:sz w:val="18"/>
        </w:rPr>
        <w:t>PRAGMA foreign_keys</w:t>
      </w:r>
      <w:r>
        <w:rPr>
          <w:rFonts w:eastAsia="Times New Roman"/>
          <w:b w:val="false"/>
          <w:i/>
          <w:sz w:val="20"/>
        </w:rPr>
        <w:t>, nenhuma restrição</w:t>
      </w:r>
    </w:p>
    <w:p>
      <w:pPr>
        <w:pStyle w:val="EditorialStatus"/>
        <w:rPr/>
      </w:pPr>
      <w:r>
        <w:rPr>
          <w:rFonts w:eastAsia="Times New Roman"/>
          <w:b w:val="false"/>
          <w:i/>
          <w:sz w:val="20"/>
        </w:rPr>
        <w:t xml:space="preserve">de </w:t>
      </w:r>
      <w:r>
        <w:rPr>
          <w:rFonts w:eastAsia="Courier New" w:ascii="Courier New" w:hAnsi="Courier New"/>
          <w:b w:val="false"/>
          <w:i w:val="false"/>
          <w:sz w:val="18"/>
        </w:rPr>
        <w:t>FOREIGN KEY</w:t>
      </w:r>
      <w:r>
        <w:rPr>
          <w:rFonts w:eastAsia="Times New Roman"/>
          <w:b w:val="false"/>
          <w:i/>
          <w:sz w:val="20"/>
        </w:rPr>
        <w:t>/</w:t>
      </w:r>
      <w:r>
        <w:rPr>
          <w:rFonts w:eastAsia="Courier New" w:ascii="Courier New" w:hAnsi="Courier New"/>
          <w:b w:val="false"/>
          <w:i w:val="false"/>
          <w:sz w:val="18"/>
        </w:rPr>
        <w:t>REFERENCES</w:t>
      </w:r>
      <w:r>
        <w:rPr>
          <w:rFonts w:eastAsia="Times New Roman"/>
          <w:b w:val="false"/>
          <w:i/>
          <w:sz w:val="20"/>
        </w:rPr>
        <w:t xml:space="preserve"> foi declarada. A implementação local assume</w:t>
      </w:r>
    </w:p>
    <w:p>
      <w:pPr>
        <w:pStyle w:val="EditorialStatus"/>
        <w:rPr/>
      </w:pPr>
      <w:r>
        <w:rPr>
          <w:rFonts w:eastAsia="Times New Roman"/>
          <w:b w:val="false"/>
          <w:i/>
          <w:sz w:val="20"/>
        </w:rPr>
        <w:t xml:space="preserve">implicitamente </w:t>
      </w:r>
      <w:r>
        <w:rPr>
          <w:rFonts w:eastAsia="Times New Roman"/>
          <w:b/>
          <w:i/>
          <w:sz w:val="20"/>
        </w:rPr>
        <w:t>uma única gestante/gestação por instalação/dispositivo</w:t>
      </w:r>
      <w:r>
        <w:rPr>
          <w:rFonts w:eastAsia="Times New Roman"/>
          <w:b w:val="false"/>
          <w:i/>
          <w:sz w:val="20"/>
        </w:rPr>
        <w:t>. Essa</w:t>
      </w:r>
    </w:p>
    <w:p>
      <w:pPr>
        <w:pStyle w:val="EditorialStatus"/>
        <w:rPr/>
      </w:pPr>
      <w:r>
        <w:rPr>
          <w:rFonts w:eastAsia="Times New Roman"/>
          <w:b w:val="false"/>
          <w:i/>
          <w:sz w:val="20"/>
        </w:rPr>
        <w:t xml:space="preserve">é uma </w:t>
      </w:r>
      <w:r>
        <w:rPr>
          <w:rFonts w:eastAsia="Times New Roman"/>
          <w:b/>
          <w:i/>
          <w:sz w:val="20"/>
        </w:rPr>
        <w:t>limitação da implementação atual</w:t>
      </w:r>
      <w:r>
        <w:rPr>
          <w:rFonts w:eastAsia="Times New Roman"/>
          <w:b w:val="false"/>
          <w:i/>
          <w:sz w:val="20"/>
        </w:rPr>
        <w:t xml:space="preserve">, e </w:t>
      </w:r>
      <w:r>
        <w:rPr>
          <w:rFonts w:eastAsia="Times New Roman"/>
          <w:b/>
          <w:i/>
          <w:sz w:val="20"/>
        </w:rPr>
        <w:t>não</w:t>
      </w:r>
      <w:r>
        <w:rPr>
          <w:rFonts w:eastAsia="Times New Roman"/>
          <w:b w:val="false"/>
          <w:i/>
          <w:sz w:val="20"/>
        </w:rPr>
        <w:t xml:space="preserve"> uma decisão desejada para</w:t>
      </w:r>
    </w:p>
    <w:p>
      <w:pPr>
        <w:pStyle w:val="EditorialStatus"/>
        <w:rPr/>
      </w:pPr>
      <w:r>
        <w:rPr>
          <w:rFonts w:eastAsia="Times New Roman"/>
          <w:b w:val="false"/>
          <w:i/>
          <w:sz w:val="20"/>
        </w:rPr>
        <w:t xml:space="preserve">a arquitetura futura (seção 4.7).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 xml:space="preserve">A estratégia de evolução aprovada para a persistência do acompanhamento prevê que a API/backend passe a ser a fonte de verdade, substituindo progressivamente a dependência do SQLite local. A transição será feature por feature: cada recurso migra da implementação local para uma implementação REST, validada de ponta a ponta, e só então a API passa a ser a fonte de verdade daquela feature. Não haverá, nesta etapa, migração automática dos registros SQLite existentes, nem offline-first, sincronização ou cache distribuído (seção 4.7).</w:t>
      </w:r>
    </w:p>
    <w:p>
      <w:pPr/>
      <w:r>
        <w:t>A infraestrutura de persistência do backend — PostgreSQL 16, SQLAlchemy 2.x (síncrono) e Alembic — já foi implementada e validada (seções 4.1 e 5.9). Ainda assim, o SQLite continua sendo o estado atual da persistência no aplicativo: a troca por essa infraestrutura permanece planejada para etapas posteriores, feature por feature, por meio da API.</w:t>
      </w:r>
    </w:p>
    <w:p>
      <w:pPr>
        <w:pStyle w:val="Heading2"/>
        <w:ind w:hanging="0"/>
        <w:jc w:val="start"/>
        <w:rPr/>
      </w:pPr>
      <w:bookmarkStart w:id="39" w:name="__RefHeading___Toc2235_3157870603"/>
      <w:bookmarkEnd w:id="39"/>
      <w:r>
        <w:rPr>
          <w:rFonts w:eastAsia="Times New Roman" w:ascii="Times New Roman" w:hAnsi="Times New Roman"/>
          <w:b/>
          <w:sz w:val="24"/>
        </w:rPr>
        <w:t>4.5 Autenticação e estado atual do DSS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 xml:space="preserve">O aplicativo possui uma </w:t>
      </w:r>
      <w:r>
        <w:rPr>
          <w:rFonts w:eastAsia="Times New Roman"/>
          <w:b/>
          <w:i w:val="false"/>
          <w:sz w:val="24"/>
        </w:rPr>
        <w:t>tela visual de login</w:t>
      </w:r>
      <w:r>
        <w:rPr>
          <w:rFonts w:eastAsia="Times New Roman"/>
          <w:b w:val="false"/>
          <w:i w:val="false"/>
          <w:sz w:val="24"/>
        </w:rPr>
        <w:t xml:space="preserve">; entretanto, </w:t>
      </w:r>
      <w:r>
        <w:rPr>
          <w:rFonts w:eastAsia="Times New Roman"/>
          <w:b/>
          <w:i w:val="false"/>
          <w:sz w:val="24"/>
        </w:rPr>
        <w:t>não existe um fluxo funcional completo de autenticação e sessão</w:t>
      </w:r>
      <w:r>
        <w:rPr>
          <w:rFonts w:eastAsia="Times New Roman"/>
          <w:b w:val="false"/>
          <w:i w:val="false"/>
          <w:sz w:val="24"/>
        </w:rPr>
        <w:t xml:space="preserve">. O botão "Entrar" atualmente navega sem autenticar de fato; o botão "Criar nova conta" direciona ao questionário DSS e </w:t>
      </w:r>
      <w:r>
        <w:rPr>
          <w:rFonts w:eastAsia="Times New Roman"/>
          <w:b/>
          <w:i w:val="false"/>
          <w:sz w:val="24"/>
        </w:rPr>
        <w:t>não</w:t>
      </w:r>
      <w:r>
        <w:rPr>
          <w:rFonts w:eastAsia="Times New Roman"/>
          <w:b w:val="false"/>
          <w:i w:val="false"/>
          <w:sz w:val="24"/>
        </w:rPr>
        <w:t xml:space="preserve"> cria conta. Existe código parcial/legado de autenticação (repositório de usuário, serviço de login e armazenamento de token), mas ele </w:t>
      </w:r>
      <w:r>
        <w:rPr>
          <w:rFonts w:eastAsia="Times New Roman"/>
          <w:b/>
          <w:i w:val="false"/>
          <w:sz w:val="24"/>
        </w:rPr>
        <w:t>não</w:t>
      </w:r>
      <w:r>
        <w:rPr>
          <w:rFonts w:eastAsia="Times New Roman"/>
          <w:b w:val="false"/>
          <w:i w:val="false"/>
          <w:sz w:val="24"/>
        </w:rPr>
        <w:t xml:space="preserve"> compõe um sistema real completo de autenticação/sessão.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 xml:space="preserve">O fluxo DSS atual é </w:t>
      </w:r>
      <w:r>
        <w:rPr>
          <w:rFonts w:eastAsia="Times New Roman"/>
          <w:b/>
          <w:i w:val="false"/>
          <w:sz w:val="24"/>
        </w:rPr>
        <w:t>stateless</w:t>
      </w:r>
      <w:r>
        <w:rPr>
          <w:rFonts w:eastAsia="Times New Roman"/>
          <w:b w:val="false"/>
          <w:i w:val="false"/>
          <w:sz w:val="24"/>
        </w:rPr>
        <w:t xml:space="preserve"> do ponto de vista da API: </w:t>
      </w:r>
      <w:r>
        <w:rPr>
          <w:rFonts w:eastAsia="Times New Roman"/>
          <w:b/>
          <w:i w:val="false"/>
          <w:sz w:val="24"/>
        </w:rPr>
        <w:t>não</w:t>
      </w:r>
      <w:r>
        <w:rPr>
          <w:rFonts w:eastAsia="Times New Roman"/>
          <w:b w:val="false"/>
          <w:i w:val="false"/>
          <w:sz w:val="24"/>
        </w:rPr>
        <w:t xml:space="preserve"> exige login, </w:t>
      </w:r>
      <w:r>
        <w:rPr>
          <w:rFonts w:eastAsia="Times New Roman"/>
          <w:b/>
          <w:i w:val="false"/>
          <w:sz w:val="24"/>
        </w:rPr>
        <w:t>não</w:t>
      </w:r>
      <w:r>
        <w:rPr>
          <w:rFonts w:eastAsia="Times New Roman"/>
          <w:b w:val="false"/>
          <w:i w:val="false"/>
          <w:sz w:val="24"/>
        </w:rPr>
        <w:t xml:space="preserve"> envia token e </w:t>
      </w:r>
      <w:r>
        <w:rPr>
          <w:rFonts w:eastAsia="Times New Roman"/>
          <w:b/>
          <w:i w:val="false"/>
          <w:sz w:val="24"/>
        </w:rPr>
        <w:t>não</w:t>
      </w:r>
      <w:r>
        <w:rPr>
          <w:rFonts w:eastAsia="Times New Roman"/>
          <w:b w:val="false"/>
          <w:i w:val="false"/>
          <w:sz w:val="24"/>
        </w:rPr>
        <w:t xml:space="preserve"> possui identificador de usuária/gestante/gestação; a API </w:t>
      </w:r>
      <w:r>
        <w:rPr>
          <w:rFonts w:eastAsia="Times New Roman"/>
          <w:b/>
          <w:i w:val="false"/>
          <w:sz w:val="24"/>
        </w:rPr>
        <w:t>não</w:t>
      </w:r>
      <w:r>
        <w:rPr>
          <w:rFonts w:eastAsia="Times New Roman"/>
          <w:b w:val="false"/>
          <w:i w:val="false"/>
          <w:sz w:val="24"/>
        </w:rPr>
        <w:t xml:space="preserve"> persiste a avaliação.</w:t>
      </w:r>
    </w:p>
    <w:p>
      <w:pPr>
        <w:pStyle w:val="EditorialStatus"/>
        <w:rPr/>
      </w:pPr>
      <w:r>
        <w:rPr>
          <w:rFonts w:eastAsia="Times New Roman"/>
          <w:b w:val="false"/>
          <w:i/>
          <w:sz w:val="20"/>
        </w:rPr>
        <w:t>O item "Sair" da aba Perfil atualmente corresponde a navegação para a tela de</w:t>
      </w:r>
    </w:p>
    <w:p>
      <w:pPr>
        <w:pStyle w:val="EditorialStatus"/>
        <w:rPr/>
      </w:pPr>
      <w:r>
        <w:rPr>
          <w:rFonts w:eastAsia="Times New Roman"/>
          <w:b w:val="false"/>
          <w:i/>
          <w:sz w:val="20"/>
        </w:rPr>
        <w:t xml:space="preserve">login, e </w:t>
      </w:r>
      <w:r>
        <w:rPr>
          <w:rFonts w:eastAsia="Times New Roman"/>
          <w:b/>
          <w:i/>
          <w:sz w:val="20"/>
        </w:rPr>
        <w:t>não</w:t>
      </w:r>
      <w:r>
        <w:rPr>
          <w:rFonts w:eastAsia="Times New Roman"/>
          <w:b w:val="false"/>
          <w:i/>
          <w:sz w:val="20"/>
        </w:rPr>
        <w:t xml:space="preserve"> a um logout autenticado real. Da mesma forma, </w:t>
      </w:r>
      <w:r>
        <w:rPr>
          <w:rFonts w:eastAsia="Times New Roman"/>
          <w:b/>
          <w:i/>
          <w:sz w:val="20"/>
        </w:rPr>
        <w:t>Notificações</w:t>
      </w:r>
    </w:p>
    <w:p>
      <w:pPr>
        <w:pStyle w:val="EditorialStatus"/>
        <w:rPr/>
      </w:pPr>
      <w:r>
        <w:rPr>
          <w:rFonts w:eastAsia="Times New Roman"/>
          <w:b w:val="false"/>
          <w:i/>
          <w:sz w:val="20"/>
        </w:rPr>
        <w:t xml:space="preserve">e parte das </w:t>
      </w:r>
      <w:r>
        <w:rPr>
          <w:rFonts w:eastAsia="Times New Roman"/>
          <w:b/>
          <w:i/>
          <w:sz w:val="20"/>
        </w:rPr>
        <w:t>Configurações</w:t>
      </w:r>
      <w:r>
        <w:rPr>
          <w:rFonts w:eastAsia="Times New Roman"/>
          <w:b w:val="false"/>
          <w:i/>
          <w:sz w:val="20"/>
        </w:rPr>
        <w:t xml:space="preserve"> ainda não representam subsistemas persistentes</w:t>
      </w:r>
    </w:p>
    <w:p>
      <w:pPr>
        <w:pStyle w:val="EditorialStatus"/>
        <w:rPr/>
      </w:pPr>
      <w:r>
        <w:rPr>
          <w:rFonts w:eastAsia="Times New Roman"/>
          <w:b w:val="false"/>
          <w:i/>
          <w:sz w:val="20"/>
        </w:rPr>
        <w:t>completos.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 xml:space="preserve">A arquitetura futura aprovada prevê autenticação real — cadastro, login, sessão, token de acesso e token de renovação, com hash de senha moderno — e a relação USER ↔ GESTANTE, com autorização por ownership. Distinguem-se autenticação (quem é a usuária) de autorização (quais registros ela pode acessar); o CPF, quando utilizado, pertence ao perfil da gestante e não é chave primária nem login automático. Tudo isso permanece planejado, e não implementado (seção 4.7).</w:t>
      </w:r>
    </w:p>
    <w:p>
      <w:pPr>
        <w:pStyle w:val="Heading2"/>
        <w:ind w:hanging="0"/>
        <w:jc w:val="start"/>
        <w:rPr/>
      </w:pPr>
      <w:bookmarkStart w:id="40" w:name="__RefHeading___Toc2237_3157870603"/>
      <w:bookmarkEnd w:id="40"/>
      <w:r>
        <w:rPr>
          <w:rFonts w:eastAsia="Times New Roman" w:ascii="Times New Roman" w:hAnsi="Times New Roman"/>
          <w:b/>
          <w:sz w:val="24"/>
        </w:rPr>
        <w:t>4.6 Onde o IV-DSS é calculado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 xml:space="preserve">O IV-DSS é calculado em </w:t>
      </w:r>
      <w:r>
        <w:rPr>
          <w:rFonts w:eastAsia="Times New Roman"/>
          <w:b/>
          <w:i w:val="false"/>
          <w:sz w:val="24"/>
        </w:rPr>
        <w:t>etapa analítica independente</w:t>
      </w:r>
      <w:r>
        <w:rPr>
          <w:rFonts w:eastAsia="Times New Roman"/>
          <w:b w:val="false"/>
          <w:i w:val="false"/>
          <w:sz w:val="24"/>
        </w:rPr>
        <w:t xml:space="preserve"> no pipeline Python (</w:t>
      </w:r>
      <w:r>
        <w:rPr>
          <w:rFonts w:eastAsia="Courier New" w:ascii="Courier New" w:hAnsi="Courier New"/>
          <w:b w:val="false"/>
          <w:i w:val="false"/>
          <w:sz w:val="22"/>
        </w:rPr>
        <w:t>meu_bebe_ml</w:t>
      </w:r>
      <w:r>
        <w:rPr>
          <w:rFonts w:eastAsia="Times New Roman"/>
          <w:b w:val="false"/>
          <w:i w:val="false"/>
          <w:sz w:val="24"/>
        </w:rPr>
        <w:t xml:space="preserve">), e </w:t>
      </w:r>
      <w:r>
        <w:rPr>
          <w:rFonts w:eastAsia="Times New Roman"/>
          <w:b/>
          <w:i w:val="false"/>
          <w:sz w:val="24"/>
        </w:rPr>
        <w:t>não</w:t>
      </w:r>
      <w:r>
        <w:rPr>
          <w:rFonts w:eastAsia="Times New Roman"/>
          <w:b w:val="false"/>
          <w:i w:val="false"/>
          <w:sz w:val="24"/>
        </w:rPr>
        <w:t xml:space="preserve"> no aplicativo nem na API — nesta versão. Distinção explícita: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Times New Roman"/>
          <w:b/>
          <w:i w:val="false"/>
          <w:sz w:val="24"/>
        </w:rPr>
        <w:t>IV-DSS</w:t>
      </w:r>
      <w:r>
        <w:rPr>
          <w:rFonts w:eastAsia="Times New Roman"/>
          <w:b w:val="false"/>
          <w:i w:val="false"/>
          <w:sz w:val="24"/>
        </w:rPr>
        <w:t xml:space="preserve"> = cálculo analítico independente a partir de </w:t>
      </w:r>
      <w:r>
        <w:rPr>
          <w:rFonts w:eastAsia="Courier New" w:ascii="Courier New" w:hAnsi="Courier New"/>
          <w:b w:val="false"/>
          <w:i w:val="false"/>
          <w:sz w:val="22"/>
        </w:rPr>
        <w:t>Q_full</w:t>
      </w:r>
      <w:r>
        <w:rPr>
          <w:rFonts w:eastAsia="Times New Roman"/>
          <w:b w:val="false"/>
          <w:i w:val="false"/>
          <w:sz w:val="24"/>
        </w:rPr>
        <w:t xml:space="preserve">; </w:t>
      </w:r>
      <w:r>
        <w:rPr>
          <w:rFonts w:eastAsia="Times New Roman"/>
          <w:b/>
          <w:i w:val="false"/>
          <w:sz w:val="24"/>
        </w:rPr>
        <w:t>não</w:t>
      </w:r>
      <w:r>
        <w:rPr>
          <w:rFonts w:eastAsia="Times New Roman"/>
          <w:b w:val="false"/>
          <w:i w:val="false"/>
          <w:sz w:val="24"/>
        </w:rPr>
        <w:t xml:space="preserve"> entra no pré-processamento do modelo principal como feature.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Times New Roman"/>
          <w:b/>
          <w:i w:val="false"/>
          <w:sz w:val="24"/>
        </w:rPr>
        <w:t>Pré-processamento de ML</w:t>
      </w:r>
      <w:r>
        <w:rPr>
          <w:rFonts w:eastAsia="Times New Roman"/>
          <w:b w:val="false"/>
          <w:i w:val="false"/>
          <w:sz w:val="24"/>
        </w:rPr>
        <w:t xml:space="preserve"> = preparação de </w:t>
      </w:r>
      <w:r>
        <w:rPr>
          <w:rFonts w:eastAsia="Courier New" w:ascii="Courier New" w:hAnsi="Courier New"/>
          <w:b w:val="false"/>
          <w:i w:val="false"/>
          <w:sz w:val="22"/>
        </w:rPr>
        <w:t>X_model</w:t>
      </w:r>
      <w:r>
        <w:rPr>
          <w:rFonts w:eastAsia="Times New Roman"/>
          <w:b w:val="false"/>
          <w:i w:val="false"/>
          <w:sz w:val="24"/>
        </w:rPr>
        <w:t xml:space="preserve"> para os classificadores (one-hot, multi-hot, ordinais, booleanos).</w:t>
      </w:r>
    </w:p>
    <w:p>
      <w:pPr>
        <w:pStyle w:val="Heading2"/>
        <w:ind w:hanging="0"/>
        <w:jc w:val="start"/>
        <w:rPr/>
      </w:pPr>
      <w:bookmarkStart w:id="41" w:name="__RefHeading___Toc2239_3157870603"/>
      <w:bookmarkEnd w:id="41"/>
      <w:r>
        <w:rPr>
          <w:rFonts w:eastAsia="Times New Roman" w:ascii="Times New Roman" w:hAnsi="Times New Roman"/>
          <w:b/>
          <w:sz w:val="24"/>
        </w:rPr>
        <w:t xml:space="preserve">4.7 Arquitetura futura aprovada (evolução planejada)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 xml:space="preserve">A arquitetura descrita até aqui corresponde ao estado atual implementado — o módulo de acompanhamento do pré-natal persiste localmente em SQLite, e o fluxo DSS utiliza a API apenas para a estimativa experimental, de forma stateless. A seguir apresenta-se a arquitetura futura aprovada, planejada mas ainda não implementada, que estabelece a direção de evolução da persistência e da identidade do acompanhamento pré-natal.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 xml:space="preserve">Conceitualmente, o domínio evoluirá para as seguintes entidades e relacionamentos:</w:t>
      </w:r>
    </w:p>
    <w:p>
      <w:pPr>
        <w:pStyle w:val="CodeBlock"/>
        <w:shd w:fill="F2F2F2"/>
        <w:rPr/>
      </w:pPr>
      <w:r>
        <w:rPr>
          <w:rFonts w:eastAsia="Courier New"/>
          <w:sz w:val="18"/>
        </w:rPr>
        <w:t xml:space="preserve">USER 1 ─ 1 GESTANTE</w:t>
        <w:br/>
        <w:t xml:space="preserve">GESTANTE 1 ─ N GESTACAO</w:t>
        <w:br/>
        <w:t xml:space="preserve">GESTANTE 1 ─ 1 HISTORICO_OBSTETRICO</w:t>
        <w:br/>
        <w:t xml:space="preserve">GESTACAO 1 ─ N CONSULTA</w:t>
        <w:br/>
        <w:t xml:space="preserve">GESTACAO 1 ─ N EXAME</w:t>
        <w:br/>
        <w:t xml:space="preserve">GESTACAO 1 ─ N MEDICACAO</w:t>
        <w:br/>
        <w:t xml:space="preserve">GESTACAO 1 ─ N VACINA</w:t>
        <w:br/>
        <w:t xml:space="preserve">GESTACAO 1 ─ 0..1 PLANO_DE_PARTO</w:t>
        <w:br/>
        <w:t xml:space="preserve">GESTACAO 1 ─ N AVALIACAO_DSS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 xml:space="preserve">Nessa arquitetura, USER representa a identidade/autenticação e GESTANTE o perfil pessoal (nome, nome social, data de nascimento, CPF — se utilizado — e Cartão Nacional de Saúde). O histórico obstétrico atual (números agregados de gravidezes, partos e abortos) pertence à GESTANTE e não representa uma gestação anterior individual, sendo modelado como HISTORICO_OBSTETRICO. Cada GESTACAO possui identidade própria, e as entidades do pré-natal (consultas, exames, medicamentos, vacinas, plano de parto e avaliação DSS) ficam associadas à gestação.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t>A persistência futura aprovada prevê PostgreSQL como banco, SQLAlchemy 2.x como camada ORM e Alembic para migrações versionadas, com integridade referencial formal (chaves estrangeiras), timestamps e identificadores UUID v4 para as novas entidades persistentes. A infraestrutura de persistência correspondente já foi implementada e validada — PostgreSQL 16, SQLAlchemy 2.x em modo síncrono e Alembic configurado (seções 4.1 e 5.9); permanecem futuras a criação das entidades de domínio, as migrations de domínio, a autenticação e o CRUD do acompanhamento. A adoção do modo síncrono decorreu da adequação às características desta solução — endpoints síncronos, ausência de demanda concreta por I/O concorrente intenso, menor complexidade de implementação e maior simplicidade em transações, testes e manutenção — sem que isso constitua juízo de que a abordagem assíncrona seja inferior em geral. O CPF, quando utilizado, pertence ao perfil da gestante e não é chave primária nem credencial de login automática.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 xml:space="preserve">A API/backend passará a ser a fonte de verdade do acompanhamento pré-natal, com autenticação (cadastro, login e sessão) e autorização por ownership, aplicada pelo caminho USER → GESTANTE → GESTACAO → recurso, para impedir o acesso a registros de outra usuária. Distinguem-se, assim, autenticação ("quem é a usuária") de autorização ("quais registros ela pode acessar"); trata-se de controle de propriedade/autorização, e não de "multi-tenancy".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 xml:space="preserve">A transição do SQLite para a API será incremental, feature por feature: cada recurso migra da implementação local para a implementação REST, validado de ponta a ponta, e só então a API passa a ser a fonte de verdade daquela feature. Não haverá, nesta etapa, migração automática dos registros SQLite existentes, nem offline-first, sincronização ou cache distribuído; essas capacidades poderão ser avaliadas apenas posteriormente.</w:t>
      </w:r>
    </w:p>
    <w:p>
      <w:pPr>
        <w:pStyle w:val="EditorialStatus"/>
        <w:rPr/>
      </w:pPr>
      <w:r>
        <w:rPr>
          <w:rFonts w:eastAsia="Times New Roman"/>
          <w:b/>
          <w:i/>
          <w:sz w:val="20"/>
        </w:rPr>
        <w:t xml:space="preserve">Não implementado ainda. </w:t>
      </w:r>
      <w:r>
        <w:rPr>
          <w:rFonts w:eastAsia="Times New Roman"/>
          <w:b w:val="false"/>
          <w:i/>
          <w:sz w:val="20"/>
        </w:rPr>
        <w:t xml:space="preserve">Esta subseção registra uma arquitetura aprovada e planejada, e não deve ser lida como descrição do estado atual nem como resultado de implementação. O fluxo DSS (POST /api/v1/risk-estimate) permanece inalterado: stateless, sem autenticação e sem persistência operacional.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240"/>
        <w:ind w:hanging="0"/>
        <w:jc w:val="start"/>
        <w:rPr/>
      </w:pPr>
      <w:bookmarkStart w:id="42" w:name="__RefHeading___Toc2241_3157870603"/>
      <w:bookmarkEnd w:id="42"/>
      <w:r>
        <w:rPr>
          <w:rFonts w:eastAsia="Times New Roman" w:ascii="Times New Roman" w:hAnsi="Times New Roman"/>
          <w:b/>
          <w:sz w:val="24"/>
        </w:rPr>
        <w:t>5 RESULTADOS E DISCUSSÃO</w:t>
      </w:r>
    </w:p>
    <w:p>
      <w:pPr>
        <w:pStyle w:val="EditorialStatus"/>
        <w:rPr/>
      </w:pPr>
      <w:r>
        <w:rPr>
          <w:rFonts w:eastAsia="Times New Roman"/>
          <w:b w:val="false"/>
          <w:i/>
          <w:sz w:val="20"/>
        </w:rPr>
        <w:t>STATUS EDITORIAL — resultados experimentais e de integração atuais incorporados. A interpretação científica será aprofundada com a bibliografia já validada antes do congelamento do capítulo.</w:t>
      </w:r>
    </w:p>
    <w:p>
      <w:pPr>
        <w:pStyle w:val="Heading2"/>
        <w:ind w:hanging="0"/>
        <w:jc w:val="start"/>
        <w:rPr/>
      </w:pPr>
      <w:bookmarkStart w:id="43" w:name="__RefHeading___Toc2243_3157870603"/>
      <w:bookmarkEnd w:id="43"/>
      <w:r>
        <w:rPr>
          <w:rFonts w:eastAsia="Times New Roman" w:ascii="Times New Roman" w:hAnsi="Times New Roman"/>
          <w:b/>
          <w:sz w:val="24"/>
        </w:rPr>
        <w:t>5.1 Conjunto sintético e protocolo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 xml:space="preserve">O experimento utilizou um dataset sintético de </w:t>
      </w:r>
      <w:r>
        <w:rPr>
          <w:rFonts w:eastAsia="Times New Roman"/>
          <w:b/>
          <w:i w:val="false"/>
          <w:sz w:val="24"/>
        </w:rPr>
        <w:t>5.000 registros</w:t>
      </w:r>
      <w:r>
        <w:rPr>
          <w:rFonts w:eastAsia="Times New Roman"/>
          <w:b w:val="false"/>
          <w:i w:val="false"/>
          <w:sz w:val="24"/>
        </w:rPr>
        <w:t xml:space="preserve"> (seed fixa </w:t>
      </w:r>
      <w:r>
        <w:rPr>
          <w:rFonts w:eastAsia="Courier New" w:ascii="Courier New" w:hAnsi="Courier New"/>
          <w:b w:val="false"/>
          <w:i w:val="false"/>
          <w:sz w:val="22"/>
        </w:rPr>
        <w:t>42</w:t>
      </w:r>
      <w:r>
        <w:rPr>
          <w:rFonts w:eastAsia="Times New Roman"/>
          <w:b w:val="false"/>
          <w:i w:val="false"/>
          <w:sz w:val="24"/>
        </w:rPr>
        <w:t xml:space="preserve">), com proporção sintética planejada de ~25% de casos positivos. A divisão estratificada resultou em </w:t>
      </w:r>
      <w:r>
        <w:rPr>
          <w:rFonts w:eastAsia="Times New Roman"/>
          <w:b/>
          <w:i w:val="false"/>
          <w:sz w:val="24"/>
        </w:rPr>
        <w:t>4.000 registros de treino</w:t>
      </w:r>
      <w:r>
        <w:rPr>
          <w:rFonts w:eastAsia="Times New Roman"/>
          <w:b w:val="false"/>
          <w:i w:val="false"/>
          <w:sz w:val="24"/>
        </w:rPr>
        <w:t xml:space="preserve"> e </w:t>
      </w:r>
      <w:r>
        <w:rPr>
          <w:rFonts w:eastAsia="Times New Roman"/>
          <w:b/>
          <w:i w:val="false"/>
          <w:sz w:val="24"/>
        </w:rPr>
        <w:t>1.000 de teste</w:t>
      </w:r>
      <w:r>
        <w:rPr>
          <w:rFonts w:eastAsia="Times New Roman"/>
          <w:b w:val="false"/>
          <w:i w:val="false"/>
          <w:sz w:val="24"/>
        </w:rPr>
        <w:t xml:space="preserve">, com razão de positivos preservada (~24,4%). O pré-processamento transformou as </w:t>
      </w:r>
      <w:r>
        <w:rPr>
          <w:rFonts w:eastAsia="Times New Roman"/>
          <w:b/>
          <w:i w:val="false"/>
          <w:sz w:val="24"/>
        </w:rPr>
        <w:t>34 variáveis brutas</w:t>
      </w:r>
      <w:r>
        <w:rPr>
          <w:rFonts w:eastAsia="Times New Roman"/>
          <w:b w:val="false"/>
          <w:i w:val="false"/>
          <w:sz w:val="24"/>
        </w:rPr>
        <w:t xml:space="preserve"> de </w:t>
      </w:r>
      <w:r>
        <w:rPr>
          <w:rFonts w:eastAsia="Courier New" w:ascii="Courier New" w:hAnsi="Courier New"/>
          <w:b w:val="false"/>
          <w:i w:val="false"/>
          <w:sz w:val="22"/>
        </w:rPr>
        <w:t>X_model</w:t>
      </w:r>
      <w:r>
        <w:rPr>
          <w:rFonts w:eastAsia="Times New Roman"/>
          <w:b w:val="false"/>
          <w:i w:val="false"/>
          <w:sz w:val="24"/>
        </w:rPr>
        <w:t xml:space="preserve"> em </w:t>
      </w:r>
      <w:r>
        <w:rPr>
          <w:rFonts w:eastAsia="Times New Roman"/>
          <w:b/>
          <w:i w:val="false"/>
          <w:sz w:val="24"/>
        </w:rPr>
        <w:t>96 features</w:t>
      </w:r>
      <w:r>
        <w:rPr>
          <w:rFonts w:eastAsia="Times New Roman"/>
          <w:b w:val="false"/>
          <w:i w:val="false"/>
          <w:sz w:val="24"/>
        </w:rPr>
        <w:t xml:space="preserve"> numéricas.</w:t>
      </w:r>
    </w:p>
    <w:p>
      <w:pPr>
        <w:pStyle w:val="Heading2"/>
        <w:ind w:hanging="0"/>
        <w:jc w:val="start"/>
        <w:rPr/>
      </w:pPr>
      <w:bookmarkStart w:id="44" w:name="__RefHeading___Toc2245_3157870603"/>
      <w:bookmarkEnd w:id="44"/>
      <w:r>
        <w:rPr>
          <w:rFonts w:eastAsia="Times New Roman" w:ascii="Times New Roman" w:hAnsi="Times New Roman"/>
          <w:b/>
          <w:sz w:val="24"/>
        </w:rPr>
        <w:t>5.2 Comparação e seleção de modelos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 xml:space="preserve">Três modelos foram comparados por validação cruzada 5-fold (folds congelados, somente sobre o treino), tendo como métrica primária a </w:t>
      </w:r>
      <w:r>
        <w:rPr>
          <w:rFonts w:eastAsia="Times New Roman"/>
          <w:b/>
          <w:i w:val="false"/>
          <w:sz w:val="24"/>
        </w:rPr>
        <w:t>PR-AUC média</w:t>
      </w:r>
      <w:r>
        <w:rPr>
          <w:rFonts w:eastAsia="Times New Roman"/>
          <w:b w:val="false"/>
          <w:i w:val="false"/>
          <w:sz w:val="24"/>
        </w:rPr>
        <w:t>:</w:t>
      </w:r>
    </w:p>
    <w:p>
      <w:pPr>
        <w:pStyle w:val="Normal"/>
        <w:jc w:val="start"/>
        <w:keepNext/>
      </w:pPr>
      <w:r>
        <w:rPr>
          <w:b/>
          <w:sz w:val="20"/>
          <w:szCs w:val="20"/>
        </w:rPr>
        <w:t xml:space="preserve">Tabela 1 – Comparação dos modelos na validação cruzada</w:t>
      </w:r>
    </w:p>
    <w:tbl>
      <w:tblPr>
        <w:tblStyle w:val="TableGrid"/>
        <w:tblW w:w="9072" w:type="dxa"/>
        <w:jc w:val="center"/>
        <w:tblInd w:w="0" w:type="dxa"/>
        <w:tblLayout w:type="fixed"/>
        <w:tblCellMar>
          <w:top w:w="80" w:type="dxa"/>
          <w:start w:w="80" w:type="dxa"/>
          <w:bottom w:w="80" w:type="dxa"/>
          <w:end w:w="80" w:type="dxa"/>
        </w:tblCellMar>
        <w:tblLook w:val="04a0" w:noHBand="0" w:noVBand="1" w:firstColumn="1" w:lastRow="0" w:lastColumn="0" w:firstRow="1"/>
      </w:tblPr>
      <w:tblGrid>
        <w:gridCol w:w="3024"/>
        <w:gridCol w:w="3024"/>
        <w:gridCol w:w="3024"/>
      </w:tblGrid>
      <w:tr>
        <w:trPr>
          <w:tblHeader/>
        </w:trPr>
        <w:tc>
          <w:tcPr>
            <w:tcW w:w="3024" w:type="dxa"/>
            <w:tcBorders/>
            <w:shd w:fill="E7E6E6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Modelo</w:t>
            </w:r>
          </w:p>
        </w:tc>
        <w:tc>
          <w:tcPr>
            <w:tcW w:w="3024" w:type="dxa"/>
            <w:tcBorders/>
            <w:shd w:fill="E7E6E6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PR-AUC média (CV)</w:t>
            </w:r>
          </w:p>
        </w:tc>
        <w:tc>
          <w:tcPr>
            <w:tcW w:w="3024" w:type="dxa"/>
            <w:tcBorders/>
            <w:shd w:fill="E7E6E6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ROC-AUC média (CV)</w:t>
            </w:r>
          </w:p>
        </w:tc>
      </w:tr>
      <w:tr>
        <w:trPr/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Regressão logística</w:t>
            </w:r>
          </w:p>
        </w:tc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0,3370</w:t>
            </w:r>
          </w:p>
        </w:tc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0,6087</w:t>
            </w:r>
          </w:p>
        </w:tc>
      </w:tr>
      <w:tr>
        <w:trPr/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Random Forest</w:t>
            </w:r>
          </w:p>
        </w:tc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0,3508</w:t>
            </w:r>
          </w:p>
        </w:tc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0,6098</w:t>
            </w:r>
          </w:p>
        </w:tc>
      </w:tr>
      <w:tr>
        <w:trPr/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XGBoost</w:t>
            </w:r>
          </w:p>
        </w:tc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0,3346</w:t>
            </w:r>
          </w:p>
        </w:tc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0,6054</w:t>
            </w:r>
          </w:p>
        </w:tc>
      </w:tr>
    </w:tbl>
    <w:p>
      <w:pPr>
        <w:pStyle w:val="Normal"/>
        <w:spacing w:before="40" w:after="120"/>
        <w:rPr/>
      </w:pPr>
      <w:r>
        <w:rPr>
          <w:rFonts w:eastAsia="Times New Roman"/>
          <w:sz w:val="18"/>
        </w:rPr>
        <w:t>Fonte: elaboração própria (2026), a partir dos artefatos técnicos do projeto.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 xml:space="preserve">O </w:t>
      </w:r>
      <w:r>
        <w:rPr>
          <w:rFonts w:eastAsia="Times New Roman"/>
          <w:b/>
          <w:i w:val="false"/>
          <w:sz w:val="24"/>
        </w:rPr>
        <w:t>Random Forest</w:t>
      </w:r>
      <w:r>
        <w:rPr>
          <w:rFonts w:eastAsia="Times New Roman"/>
          <w:b w:val="false"/>
          <w:i w:val="false"/>
          <w:sz w:val="24"/>
        </w:rPr>
        <w:t xml:space="preserve"> foi selecionado por apresentar a maior PR-AUC média, sem empate numérico no critério de desempate (recall → F1). Esse é o </w:t>
      </w:r>
      <w:r>
        <w:rPr>
          <w:rFonts w:eastAsia="Times New Roman"/>
          <w:b/>
          <w:i w:val="false"/>
          <w:sz w:val="24"/>
        </w:rPr>
        <w:t>modelo selecionado para o experimento técnico</w:t>
      </w:r>
      <w:r>
        <w:rPr>
          <w:rFonts w:eastAsia="Times New Roman"/>
          <w:b w:val="false"/>
          <w:i w:val="false"/>
          <w:sz w:val="24"/>
        </w:rPr>
        <w:t xml:space="preserve"> realizado sobre dados sintéticos — não um modelo validado clinicamente, nem superior para a população real, nem uma ferramenta diagnóstica.</w:t>
      </w:r>
    </w:p>
    <w:p>
      <w:pPr>
        <w:pStyle w:val="Heading2"/>
        <w:ind w:hanging="0"/>
        <w:jc w:val="start"/>
        <w:rPr/>
      </w:pPr>
      <w:bookmarkStart w:id="45" w:name="__RefHeading___Toc2247_3157870603"/>
      <w:bookmarkEnd w:id="45"/>
      <w:r>
        <w:rPr>
          <w:rFonts w:eastAsia="Times New Roman" w:ascii="Times New Roman" w:hAnsi="Times New Roman"/>
          <w:b/>
          <w:sz w:val="24"/>
        </w:rPr>
        <w:t>5.3 Desempenho do modelo selecionado (hold-out)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 xml:space="preserve">O modelo selecionado foi avaliado </w:t>
      </w:r>
      <w:r>
        <w:rPr>
          <w:rFonts w:eastAsia="Times New Roman"/>
          <w:b/>
          <w:i w:val="false"/>
          <w:sz w:val="24"/>
        </w:rPr>
        <w:t>uma única vez</w:t>
      </w:r>
      <w:r>
        <w:rPr>
          <w:rFonts w:eastAsia="Times New Roman"/>
          <w:b w:val="false"/>
          <w:i w:val="false"/>
          <w:sz w:val="24"/>
        </w:rPr>
        <w:t xml:space="preserve"> no conjunto de teste (1.000 registros), após a seleção. Resultados históricos:</w:t>
      </w:r>
    </w:p>
    <w:p>
      <w:pPr>
        <w:pStyle w:val="Normal"/>
        <w:jc w:val="start"/>
        <w:keepNext/>
      </w:pPr>
      <w:r>
        <w:rPr>
          <w:b/>
          <w:sz w:val="20"/>
          <w:szCs w:val="20"/>
        </w:rPr>
        <w:t xml:space="preserve">Tabela 2 – Desempenho do modelo selecionado no conjunto hold-out</w:t>
      </w:r>
    </w:p>
    <w:tbl>
      <w:tblPr>
        <w:tblStyle w:val="TableGrid"/>
        <w:tblW w:w="9070" w:type="dxa"/>
        <w:jc w:val="center"/>
        <w:tblInd w:w="0" w:type="dxa"/>
        <w:tblLayout w:type="fixed"/>
        <w:tblCellMar>
          <w:top w:w="80" w:type="dxa"/>
          <w:start w:w="80" w:type="dxa"/>
          <w:bottom w:w="80" w:type="dxa"/>
          <w:end w:w="80" w:type="dxa"/>
        </w:tblCellMar>
        <w:tblLook w:val="04a0" w:noHBand="0" w:noVBand="1" w:firstColumn="1" w:lastRow="0" w:lastColumn="0" w:firstRow="1"/>
      </w:tblPr>
      <w:tblGrid>
        <w:gridCol w:w="4535"/>
        <w:gridCol w:w="4534"/>
      </w:tblGrid>
      <w:tr>
        <w:trPr>
          <w:tblHeader/>
        </w:trPr>
        <w:tc>
          <w:tcPr>
            <w:tcW w:w="4535" w:type="dxa"/>
            <w:tcBorders/>
            <w:shd w:fill="E7E6E6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Métrica</w:t>
            </w:r>
          </w:p>
        </w:tc>
        <w:tc>
          <w:tcPr>
            <w:tcW w:w="4534" w:type="dxa"/>
            <w:tcBorders/>
            <w:shd w:fill="E7E6E6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Valor</w:t>
            </w:r>
          </w:p>
        </w:tc>
      </w:tr>
      <w:tr>
        <w:trPr/>
        <w:tc>
          <w:tcPr>
            <w:tcW w:w="453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ROC-AUC</w:t>
            </w:r>
          </w:p>
        </w:tc>
        <w:tc>
          <w:tcPr>
            <w:tcW w:w="453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≈ </w:t>
            </w: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0,6174</w:t>
            </w:r>
          </w:p>
        </w:tc>
      </w:tr>
      <w:tr>
        <w:trPr/>
        <w:tc>
          <w:tcPr>
            <w:tcW w:w="453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PR-AUC</w:t>
            </w:r>
          </w:p>
        </w:tc>
        <w:tc>
          <w:tcPr>
            <w:tcW w:w="453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≈ </w:t>
            </w: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0,3356</w:t>
            </w:r>
          </w:p>
        </w:tc>
      </w:tr>
      <w:tr>
        <w:trPr/>
        <w:tc>
          <w:tcPr>
            <w:tcW w:w="453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Brier Score</w:t>
            </w:r>
          </w:p>
        </w:tc>
        <w:tc>
          <w:tcPr>
            <w:tcW w:w="453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 xml:space="preserve">≈ </w:t>
            </w: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0,1787</w:t>
            </w:r>
          </w:p>
        </w:tc>
      </w:tr>
    </w:tbl>
    <w:p>
      <w:pPr>
        <w:pStyle w:val="Normal"/>
        <w:spacing w:before="40" w:after="120"/>
        <w:rPr/>
      </w:pPr>
      <w:r>
        <w:rPr>
          <w:rFonts w:eastAsia="Times New Roman"/>
          <w:sz w:val="18"/>
        </w:rPr>
        <w:t>Fonte: elaboração própria (2026), a partir dos artefatos técnicos do projeto.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>No limiar de decisão 0,5, a matriz de confusão foi:</w:t>
      </w:r>
    </w:p>
    <w:p>
      <w:pPr>
        <w:pStyle w:val="Normal"/>
        <w:jc w:val="start"/>
        <w:keepNext/>
      </w:pPr>
      <w:r>
        <w:rPr>
          <w:b/>
          <w:sz w:val="20"/>
          <w:szCs w:val="20"/>
        </w:rPr>
        <w:t xml:space="preserve">Tabela 3 – Matriz de confusão no limiar de referência 0,5</w:t>
      </w:r>
    </w:p>
    <w:tbl>
      <w:tblPr>
        <w:tblStyle w:val="TableGrid"/>
        <w:tblW w:w="9072" w:type="dxa"/>
        <w:jc w:val="center"/>
        <w:tblInd w:w="0" w:type="dxa"/>
        <w:tblLayout w:type="fixed"/>
        <w:tblCellMar>
          <w:top w:w="80" w:type="dxa"/>
          <w:start w:w="80" w:type="dxa"/>
          <w:bottom w:w="80" w:type="dxa"/>
          <w:end w:w="80" w:type="dxa"/>
        </w:tblCellMar>
        <w:tblLook w:val="04a0" w:noHBand="0" w:noVBand="1" w:firstColumn="1" w:lastRow="0" w:lastColumn="0" w:firstRow="1"/>
      </w:tblPr>
      <w:tblGrid>
        <w:gridCol w:w="3024"/>
        <w:gridCol w:w="3024"/>
        <w:gridCol w:w="3024"/>
      </w:tblGrid>
      <w:tr>
        <w:trPr>
          <w:tblHeader/>
        </w:trPr>
        <w:tc>
          <w:tcPr>
            <w:tcW w:w="3024" w:type="dxa"/>
            <w:tcBorders/>
            <w:shd w:fill="E7E6E6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  <w:tc>
          <w:tcPr>
            <w:tcW w:w="3024" w:type="dxa"/>
            <w:tcBorders/>
            <w:shd w:fill="E7E6E6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Predito negativo</w:t>
            </w:r>
          </w:p>
        </w:tc>
        <w:tc>
          <w:tcPr>
            <w:tcW w:w="3024" w:type="dxa"/>
            <w:tcBorders/>
            <w:shd w:fill="E7E6E6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Predito positivo</w:t>
            </w:r>
          </w:p>
        </w:tc>
      </w:tr>
      <w:tr>
        <w:trPr/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Real negativo</w:t>
            </w:r>
          </w:p>
        </w:tc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755 (TN)</w:t>
            </w:r>
          </w:p>
        </w:tc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1 (FP)</w:t>
            </w:r>
          </w:p>
        </w:tc>
      </w:tr>
      <w:tr>
        <w:trPr/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Real positivo</w:t>
            </w:r>
          </w:p>
        </w:tc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244 (FN)</w:t>
            </w:r>
          </w:p>
        </w:tc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0 (TP)</w:t>
            </w:r>
          </w:p>
        </w:tc>
      </w:tr>
    </w:tbl>
    <w:p>
      <w:pPr>
        <w:pStyle w:val="Normal"/>
        <w:spacing w:before="40" w:after="120"/>
        <w:rPr/>
      </w:pPr>
      <w:r>
        <w:rPr>
          <w:rFonts w:eastAsia="Times New Roman"/>
          <w:sz w:val="18"/>
        </w:rPr>
        <w:t>Fonte: elaboração própria (2026), a partir dos artefatos técnicos do projeto.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 xml:space="preserve">Ou seja, </w:t>
      </w:r>
      <w:r>
        <w:rPr>
          <w:rFonts w:eastAsia="Times New Roman"/>
          <w:b/>
          <w:i w:val="false"/>
          <w:sz w:val="24"/>
        </w:rPr>
        <w:t>no threshold 0,5 houve recall zero para a classe positiva</w:t>
      </w:r>
      <w:r>
        <w:rPr>
          <w:rFonts w:eastAsia="Times New Roman"/>
          <w:b w:val="false"/>
          <w:i w:val="false"/>
          <w:sz w:val="24"/>
        </w:rPr>
        <w:t xml:space="preserve">: nenhum dos 244 casos positivos do teste foi classificado como positivo. Esse resultado é apresentado de forma explícita e </w:t>
      </w:r>
      <w:r>
        <w:rPr>
          <w:rFonts w:eastAsia="Times New Roman"/>
          <w:b/>
          <w:i w:val="false"/>
          <w:sz w:val="24"/>
        </w:rPr>
        <w:t>não</w:t>
      </w:r>
      <w:r>
        <w:rPr>
          <w:rFonts w:eastAsia="Times New Roman"/>
          <w:b w:val="false"/>
          <w:i w:val="false"/>
          <w:sz w:val="24"/>
        </w:rPr>
        <w:t xml:space="preserve"> deve ser interpretado como desempenho clínico. A AUC modesta, o recall zero no limiar 0,5 e a natureza sintética dos dados impedem qualquer leitura de "bom desempenho" ou "capacidade preditiva validada".</w:t>
      </w:r>
    </w:p>
    <w:p>
      <w:pPr>
        <w:pStyle w:val="EditorialStatus"/>
        <w:rPr/>
      </w:pPr>
      <w:r>
        <w:rPr>
          <w:rFonts w:eastAsia="Times New Roman"/>
          <w:b/>
          <w:i/>
          <w:sz w:val="20"/>
        </w:rPr>
        <w:t>O threshold 0,5 não foi adotado operacionalmente.</w:t>
      </w:r>
      <w:r>
        <w:rPr>
          <w:rFonts w:eastAsia="Times New Roman"/>
          <w:b w:val="false"/>
          <w:i/>
          <w:sz w:val="20"/>
        </w:rPr>
        <w:t xml:space="preserve"> O aplicativo </w:t>
      </w:r>
      <w:r>
        <w:rPr>
          <w:rFonts w:eastAsia="Times New Roman"/>
          <w:b/>
          <w:i/>
          <w:sz w:val="20"/>
        </w:rPr>
        <w:t>não</w:t>
      </w:r>
    </w:p>
    <w:p>
      <w:pPr>
        <w:pStyle w:val="EditorialStatus"/>
        <w:rPr/>
      </w:pPr>
      <w:r>
        <w:rPr>
          <w:rFonts w:eastAsia="Times New Roman"/>
          <w:b w:val="false"/>
          <w:i/>
          <w:sz w:val="20"/>
        </w:rPr>
        <w:t>retorna classe, faixa de risco ou previsão de abandono; retorna somente a</w:t>
      </w:r>
    </w:p>
    <w:p>
      <w:pPr>
        <w:pStyle w:val="EditorialStatus"/>
        <w:rPr/>
      </w:pPr>
      <w:r>
        <w:rPr>
          <w:rFonts w:eastAsia="Times New Roman"/>
          <w:b/>
          <w:i/>
          <w:sz w:val="20"/>
        </w:rPr>
        <w:t>probabilidade</w:t>
      </w:r>
      <w:r>
        <w:rPr>
          <w:rFonts w:eastAsia="Times New Roman"/>
          <w:b w:val="false"/>
          <w:i/>
          <w:sz w:val="20"/>
        </w:rPr>
        <w:t>.</w:t>
      </w:r>
    </w:p>
    <w:p>
      <w:pPr>
        <w:pStyle w:val="Heading2"/>
        <w:ind w:hanging="0"/>
        <w:jc w:val="start"/>
        <w:rPr/>
      </w:pPr>
      <w:bookmarkStart w:id="46" w:name="__RefHeading___Toc2249_3157870603"/>
      <w:bookmarkEnd w:id="46"/>
      <w:r>
        <w:rPr>
          <w:rFonts w:eastAsia="Times New Roman" w:ascii="Times New Roman" w:hAnsi="Times New Roman"/>
          <w:b/>
          <w:sz w:val="24"/>
        </w:rPr>
        <w:t>5.4 Análise de threshold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 xml:space="preserve">Foi realizada uma análise exploratória de sensibilidade a diferentes limiares de decisão (grade de 0,05 a 0,5), sobre as probabilidades out-of-fold do treino. As probabilidades preditas concentraram-se em uma faixa restrita (aproximadamente 0,05 a 0,54, média ≈ 0,25), consistente com a baixa separação entre classes já evidenciada pelas AUCs. </w:t>
      </w:r>
      <w:r>
        <w:rPr>
          <w:rFonts w:eastAsia="Times New Roman"/>
          <w:b/>
          <w:i w:val="false"/>
          <w:sz w:val="24"/>
        </w:rPr>
        <w:t>Nenhum threshold foi adotado operacionalmente</w:t>
      </w:r>
      <w:r>
        <w:rPr>
          <w:rFonts w:eastAsia="Times New Roman"/>
          <w:b w:val="false"/>
          <w:i w:val="false"/>
          <w:sz w:val="24"/>
        </w:rPr>
        <w:t>; a análise serve apenas para caracterizar o comportamento do modelo.</w:t>
      </w:r>
    </w:p>
    <w:p>
      <w:pPr>
        <w:pStyle w:val="Heading2"/>
        <w:ind w:hanging="0"/>
        <w:jc w:val="start"/>
        <w:rPr/>
      </w:pPr>
      <w:bookmarkStart w:id="47" w:name="__RefHeading___Toc2251_3157870603"/>
      <w:bookmarkEnd w:id="47"/>
      <w:r>
        <w:rPr>
          <w:rFonts w:eastAsia="Times New Roman" w:ascii="Times New Roman" w:hAnsi="Times New Roman"/>
          <w:b/>
          <w:sz w:val="24"/>
        </w:rPr>
        <w:t>5.5 Calibração e estabilidade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 xml:space="preserve">A calibração do modelo foi avaliada por três indicadores complementares, todos sobre as previsões out-of-fold do treino: (i) o </w:t>
      </w:r>
      <w:r>
        <w:rPr>
          <w:rFonts w:eastAsia="Times New Roman"/>
          <w:b/>
          <w:i w:val="false"/>
          <w:sz w:val="24"/>
        </w:rPr>
        <w:t>Brier score</w:t>
      </w:r>
      <w:r>
        <w:rPr>
          <w:rFonts w:eastAsia="Times New Roman"/>
          <w:b w:val="false"/>
          <w:i w:val="false"/>
          <w:sz w:val="24"/>
        </w:rPr>
        <w:t xml:space="preserve">; (ii) a </w:t>
      </w:r>
      <w:r>
        <w:rPr>
          <w:rFonts w:eastAsia="Times New Roman"/>
          <w:b/>
          <w:i w:val="false"/>
          <w:sz w:val="24"/>
        </w:rPr>
        <w:t>calibração em escala ampla</w:t>
      </w:r>
      <w:r>
        <w:rPr>
          <w:rFonts w:eastAsia="Times New Roman"/>
          <w:b w:val="false"/>
          <w:i w:val="false"/>
          <w:sz w:val="24"/>
        </w:rPr>
        <w:t xml:space="preserve"> (calibration-in-the-large), comparando a probabilidade média predita com a taxa observada de positivos; e (iii) a </w:t>
      </w:r>
      <w:r>
        <w:rPr>
          <w:rFonts w:eastAsia="Times New Roman"/>
          <w:b/>
          <w:i w:val="false"/>
          <w:sz w:val="24"/>
        </w:rPr>
        <w:t>curva de calibração</w:t>
      </w:r>
      <w:r>
        <w:rPr>
          <w:rFonts w:eastAsia="Times New Roman"/>
          <w:b w:val="false"/>
          <w:i w:val="false"/>
          <w:sz w:val="24"/>
        </w:rPr>
        <w:t xml:space="preserve"> (em bins), comparando probabilidade média predita com a fração observada de positivos em cada bin.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Times New Roman"/>
          <w:b w:val="false"/>
          <w:i w:val="false"/>
          <w:sz w:val="24"/>
        </w:rPr>
        <w:t xml:space="preserve">O </w:t>
      </w:r>
      <w:r>
        <w:rPr>
          <w:rFonts w:eastAsia="Times New Roman"/>
          <w:b/>
          <w:i w:val="false"/>
          <w:sz w:val="24"/>
        </w:rPr>
        <w:t>Brier score</w:t>
      </w:r>
      <w:r>
        <w:rPr>
          <w:rFonts w:eastAsia="Times New Roman"/>
          <w:b w:val="false"/>
          <w:i w:val="false"/>
          <w:sz w:val="24"/>
        </w:rPr>
        <w:t xml:space="preserve"> médio foi ≈ 0,1789, ligeiramente inferior ao baseline (≈ 0,1846), uma melhora relativa de ≈ 3,1%. O Brier combina discriminação e calibração e, isoladamente, </w:t>
      </w:r>
      <w:r>
        <w:rPr>
          <w:rFonts w:eastAsia="Times New Roman"/>
          <w:b/>
          <w:i w:val="false"/>
          <w:sz w:val="24"/>
        </w:rPr>
        <w:t>não</w:t>
      </w:r>
      <w:r>
        <w:rPr>
          <w:rFonts w:eastAsia="Times New Roman"/>
          <w:b w:val="false"/>
          <w:i w:val="false"/>
          <w:sz w:val="24"/>
        </w:rPr>
        <w:t xml:space="preserve"> é uma medida exclusiva de calibração.</w:t>
      </w:r>
      <w:r>
        <w:rPr>
          <w:b w:val="0"/>
          <w:sz w:val="24"/>
        </w:rPr>
        <w:t xml:space="preserve"> </w:t>
      </w:r>
      <w:r>
        <w:rPr>
          <w:b w:val="0"/>
          <w:sz w:val="24"/>
        </w:rPr>
        <w:t>Esse Brier out-of-fold (≈ 0,1789) distingue-se do Brier hold-out (≈ 0,1787) reportado na Tabela 2, calculado uma única vez sobre o conjunto de teste.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Times New Roman"/>
          <w:b w:val="false"/>
          <w:i w:val="false"/>
          <w:sz w:val="24"/>
        </w:rPr>
        <w:t xml:space="preserve">A </w:t>
      </w:r>
      <w:r>
        <w:rPr>
          <w:rFonts w:eastAsia="Times New Roman"/>
          <w:b/>
          <w:i w:val="false"/>
          <w:sz w:val="24"/>
        </w:rPr>
        <w:t>calibração em escala ampla</w:t>
      </w:r>
      <w:r>
        <w:rPr>
          <w:rFonts w:eastAsia="Times New Roman"/>
          <w:b w:val="false"/>
          <w:i w:val="false"/>
          <w:sz w:val="24"/>
        </w:rPr>
        <w:t xml:space="preserve"> apresentou diferença pequena (≈ 0,0018) entre a probabilidade média predita (≈ 0,246) e a taxa observada (≈ 0,244), indicando boa calibração global.</w:t>
      </w:r>
    </w:p>
    <w:p>
      <w:pPr>
        <w:pStyle w:val="ListBullet"/>
        <w:numPr>
          <w:ilvl w:val="0"/>
          <w:numId w:val="1"/>
        </w:numPr>
        <w:spacing w:lineRule="auto" w:line="360"/>
        <w:ind w:hanging="227" w:start="454"/>
        <w:rPr/>
      </w:pPr>
      <w:r>
        <w:rPr>
          <w:rFonts w:eastAsia="Times New Roman"/>
          <w:b w:val="false"/>
          <w:i w:val="false"/>
          <w:sz w:val="24"/>
        </w:rPr>
        <w:t xml:space="preserve">A </w:t>
      </w:r>
      <w:r>
        <w:rPr>
          <w:rFonts w:eastAsia="Times New Roman"/>
          <w:b/>
          <w:i w:val="false"/>
          <w:sz w:val="24"/>
        </w:rPr>
        <w:t>curva de calibração</w:t>
      </w:r>
      <w:r>
        <w:rPr>
          <w:rFonts w:eastAsia="Times New Roman"/>
          <w:b w:val="false"/>
          <w:i w:val="false"/>
          <w:sz w:val="24"/>
        </w:rPr>
        <w:t xml:space="preserve"> apresentou desvios médios por bin da ordem de 0,015, com maiores desvios nos bins extremos (probabilidades muito baixas e muito altas).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 xml:space="preserve">A </w:t>
      </w:r>
      <w:r>
        <w:rPr>
          <w:rFonts w:eastAsia="Times New Roman"/>
          <w:b/>
          <w:i w:val="false"/>
          <w:sz w:val="24"/>
        </w:rPr>
        <w:t>estabilidade entre folds</w:t>
      </w:r>
      <w:r>
        <w:rPr>
          <w:rFonts w:eastAsia="Times New Roman"/>
          <w:b w:val="false"/>
          <w:i w:val="false"/>
          <w:sz w:val="24"/>
        </w:rPr>
        <w:t xml:space="preserve"> foi avaliada pela dispersão das métricas: o desvio padrão do Brier entre folds foi ≈ 0,0017, o da ROC-AUC ≈ 0,017 e o da PR-AUC ≈ 0,025 — uma variação moderada, sem indício de instabilidade grave entre os folds.</w:t>
      </w:r>
    </w:p>
    <w:p>
      <w:pPr>
        <w:pStyle w:val="Heading2"/>
        <w:ind w:hanging="0"/>
        <w:jc w:val="start"/>
        <w:rPr/>
      </w:pPr>
      <w:bookmarkStart w:id="48" w:name="__RefHeading___Toc2253_3157870603"/>
      <w:bookmarkEnd w:id="48"/>
      <w:r>
        <w:rPr>
          <w:rFonts w:eastAsia="Times New Roman" w:ascii="Times New Roman" w:hAnsi="Times New Roman"/>
          <w:b/>
          <w:sz w:val="24"/>
        </w:rPr>
        <w:t>5.6 Sensibilidade metodológica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>A análise de sensibilidade comparou o modelo principal (</w:t>
      </w:r>
      <w:r>
        <w:rPr>
          <w:rFonts w:eastAsia="Courier New" w:ascii="Courier New" w:hAnsi="Courier New"/>
          <w:b w:val="false"/>
          <w:i w:val="false"/>
          <w:sz w:val="22"/>
        </w:rPr>
        <w:t>X_model</w:t>
      </w:r>
      <w:r>
        <w:rPr>
          <w:rFonts w:eastAsia="Times New Roman"/>
          <w:b w:val="false"/>
          <w:i w:val="false"/>
          <w:sz w:val="24"/>
        </w:rPr>
        <w:t>, 34 variáveis) com uma variante estendida (</w:t>
      </w:r>
      <w:r>
        <w:rPr>
          <w:rFonts w:eastAsia="Courier New" w:ascii="Courier New" w:hAnsi="Courier New"/>
          <w:b w:val="false"/>
          <w:i w:val="false"/>
          <w:sz w:val="22"/>
        </w:rPr>
        <w:t>X_sens</w:t>
      </w:r>
      <w:r>
        <w:rPr>
          <w:rFonts w:eastAsia="Times New Roman"/>
          <w:b w:val="false"/>
          <w:i w:val="false"/>
          <w:sz w:val="24"/>
        </w:rPr>
        <w:t>, 36 variáveis), que acrescenta duas variáveis de sensibilidade (</w:t>
      </w:r>
      <w:r>
        <w:rPr>
          <w:rFonts w:eastAsia="Courier New" w:ascii="Courier New" w:hAnsi="Courier New"/>
          <w:b w:val="false"/>
          <w:i w:val="false"/>
          <w:sz w:val="22"/>
        </w:rPr>
        <w:t>problema_saude_agua</w:t>
      </w:r>
      <w:r>
        <w:rPr>
          <w:rFonts w:eastAsia="Times New Roman"/>
          <w:b w:val="false"/>
          <w:i w:val="false"/>
          <w:sz w:val="24"/>
        </w:rPr>
        <w:t xml:space="preserve">, </w:t>
      </w:r>
      <w:r>
        <w:rPr>
          <w:rFonts w:eastAsia="Courier New" w:ascii="Courier New" w:hAnsi="Courier New"/>
          <w:b w:val="false"/>
          <w:i w:val="false"/>
          <w:sz w:val="22"/>
        </w:rPr>
        <w:t>facil_acesso_saude</w:t>
      </w:r>
      <w:r>
        <w:rPr>
          <w:rFonts w:eastAsia="Times New Roman"/>
          <w:b w:val="false"/>
          <w:i w:val="false"/>
          <w:sz w:val="24"/>
        </w:rPr>
        <w:t xml:space="preserve">). Essas duas variáveis </w:t>
      </w:r>
      <w:r>
        <w:rPr>
          <w:rFonts w:eastAsia="Times New Roman"/>
          <w:b/>
          <w:i w:val="false"/>
          <w:sz w:val="24"/>
        </w:rPr>
        <w:t>não</w:t>
      </w:r>
      <w:r>
        <w:rPr>
          <w:rFonts w:eastAsia="Times New Roman"/>
          <w:b w:val="false"/>
          <w:i w:val="false"/>
          <w:sz w:val="24"/>
        </w:rPr>
        <w:t xml:space="preserve"> fazem parte do modelo principal congelado; foram usadas apenas para avaliar a estabilidade dos resultados à inclusão de informação adicional.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 xml:space="preserve">Os resultados (validação cruzada, out-of-fold) indicaram que a inclusão das duas variáveis </w:t>
      </w:r>
      <w:r>
        <w:rPr>
          <w:rFonts w:eastAsia="Times New Roman"/>
          <w:b/>
          <w:i w:val="false"/>
          <w:sz w:val="24"/>
        </w:rPr>
        <w:t>não alterou materialmente o desempenho</w:t>
      </w:r>
      <w:r>
        <w:rPr>
          <w:rFonts w:eastAsia="Times New Roman"/>
          <w:b w:val="false"/>
          <w:i w:val="false"/>
          <w:sz w:val="24"/>
        </w:rPr>
        <w:t xml:space="preserve"> do modelo: a diferença média de PR-AUC foi de ≈ −0,004 e a de ROC-AUC de ≈ −0,003, com variação de Brier praticamente nula (≈ +0,0004). Trata-se de uma </w:t>
      </w:r>
      <w:r>
        <w:rPr>
          <w:rFonts w:eastAsia="Times New Roman"/>
          <w:b/>
          <w:i w:val="false"/>
          <w:sz w:val="24"/>
        </w:rPr>
        <w:t>conclusão estritamente experimental</w:t>
      </w:r>
      <w:r>
        <w:rPr>
          <w:rFonts w:eastAsia="Times New Roman"/>
          <w:b w:val="false"/>
          <w:i w:val="false"/>
          <w:sz w:val="24"/>
        </w:rPr>
        <w:t xml:space="preserve">: os resultados do modelo principal mostram-se estáveis à adição dessas duas variáveis, e este exercício </w:t>
      </w:r>
      <w:r>
        <w:rPr>
          <w:rFonts w:eastAsia="Times New Roman"/>
          <w:b/>
          <w:i w:val="false"/>
          <w:sz w:val="24"/>
        </w:rPr>
        <w:t>não</w:t>
      </w:r>
      <w:r>
        <w:rPr>
          <w:rFonts w:eastAsia="Times New Roman"/>
          <w:b w:val="false"/>
          <w:i w:val="false"/>
          <w:sz w:val="24"/>
        </w:rPr>
        <w:t xml:space="preserve"> constitui validação clínica.</w:t>
      </w:r>
    </w:p>
    <w:p>
      <w:pPr>
        <w:pStyle w:val="Heading2"/>
        <w:ind w:hanging="0"/>
        <w:jc w:val="start"/>
        <w:rPr/>
      </w:pPr>
      <w:bookmarkStart w:id="49" w:name="__RefHeading___Toc2255_3157870603"/>
      <w:bookmarkEnd w:id="49"/>
      <w:r>
        <w:rPr>
          <w:rFonts w:eastAsia="Times New Roman" w:ascii="Times New Roman" w:hAnsi="Times New Roman"/>
          <w:b/>
          <w:sz w:val="24"/>
        </w:rPr>
        <w:t>5.7 Interpretabilidade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 xml:space="preserve">A interpretabilidade foi avaliada por </w:t>
      </w:r>
      <w:r>
        <w:rPr>
          <w:rFonts w:eastAsia="Times New Roman"/>
          <w:b/>
          <w:i w:val="false"/>
          <w:sz w:val="24"/>
        </w:rPr>
        <w:t>importância por permutação</w:t>
      </w:r>
      <w:r>
        <w:rPr>
          <w:rFonts w:eastAsia="Times New Roman"/>
          <w:b w:val="false"/>
          <w:i w:val="false"/>
          <w:sz w:val="24"/>
        </w:rPr>
        <w:t xml:space="preserve"> (out-of-fold, múltiplas repetições, métrica PR-AUC). As variáveis com maior impacto na permutação incluíram, em ordem aproximada, </w:t>
      </w:r>
      <w:r>
        <w:rPr>
          <w:rFonts w:eastAsia="Courier New" w:ascii="Courier New" w:hAnsi="Courier New"/>
          <w:b w:val="false"/>
          <w:i w:val="false"/>
          <w:sz w:val="22"/>
        </w:rPr>
        <w:t>dificuldades_saude</w:t>
      </w:r>
      <w:r>
        <w:rPr>
          <w:rFonts w:eastAsia="Times New Roman"/>
          <w:b w:val="false"/>
          <w:i w:val="false"/>
          <w:sz w:val="24"/>
        </w:rPr>
        <w:t xml:space="preserve">, </w:t>
      </w:r>
      <w:r>
        <w:rPr>
          <w:rFonts w:eastAsia="Courier New" w:ascii="Courier New" w:hAnsi="Courier New"/>
          <w:b w:val="false"/>
          <w:i w:val="false"/>
          <w:sz w:val="22"/>
        </w:rPr>
        <w:t>faixa_renda</w:t>
      </w:r>
      <w:r>
        <w:rPr>
          <w:rFonts w:eastAsia="Times New Roman"/>
          <w:b w:val="false"/>
          <w:i w:val="false"/>
          <w:sz w:val="24"/>
        </w:rPr>
        <w:t xml:space="preserve">, </w:t>
      </w:r>
      <w:r>
        <w:rPr>
          <w:rFonts w:eastAsia="Courier New" w:ascii="Courier New" w:hAnsi="Courier New"/>
          <w:b w:val="false"/>
          <w:i w:val="false"/>
          <w:sz w:val="22"/>
        </w:rPr>
        <w:t>deixou_de_comer_falta_dinheiro</w:t>
      </w:r>
      <w:r>
        <w:rPr>
          <w:rFonts w:eastAsia="Times New Roman"/>
          <w:b w:val="false"/>
          <w:i w:val="false"/>
          <w:sz w:val="24"/>
        </w:rPr>
        <w:t xml:space="preserve">, </w:t>
      </w:r>
      <w:r>
        <w:rPr>
          <w:rFonts w:eastAsia="Courier New" w:ascii="Courier New" w:hAnsi="Courier New"/>
          <w:b w:val="false"/>
          <w:i w:val="false"/>
          <w:sz w:val="22"/>
        </w:rPr>
        <w:t>escolaridade</w:t>
      </w:r>
      <w:r>
        <w:rPr>
          <w:rFonts w:eastAsia="Times New Roman"/>
          <w:b w:val="false"/>
          <w:i w:val="false"/>
          <w:sz w:val="24"/>
        </w:rPr>
        <w:t xml:space="preserve">, </w:t>
      </w:r>
      <w:r>
        <w:rPr>
          <w:rFonts w:eastAsia="Courier New" w:ascii="Courier New" w:hAnsi="Courier New"/>
          <w:b w:val="false"/>
          <w:i w:val="false"/>
          <w:sz w:val="22"/>
        </w:rPr>
        <w:t>distancia_ubs</w:t>
      </w:r>
      <w:r>
        <w:rPr>
          <w:rFonts w:eastAsia="Times New Roman"/>
          <w:b w:val="false"/>
          <w:i w:val="false"/>
          <w:sz w:val="24"/>
        </w:rPr>
        <w:t xml:space="preserve"> e </w:t>
      </w:r>
      <w:r>
        <w:rPr>
          <w:rFonts w:eastAsia="Courier New" w:ascii="Courier New" w:hAnsi="Courier New"/>
          <w:b w:val="false"/>
          <w:i w:val="false"/>
          <w:sz w:val="22"/>
        </w:rPr>
        <w:t>acesso_ubs</w:t>
      </w:r>
      <w:r>
        <w:rPr>
          <w:rFonts w:eastAsia="Times New Roman"/>
          <w:b w:val="false"/>
          <w:i w:val="false"/>
          <w:sz w:val="24"/>
        </w:rPr>
        <w:t>.</w:t>
      </w:r>
    </w:p>
    <w:p>
      <w:pPr>
        <w:pStyle w:val="EditorialStatus"/>
        <w:rPr/>
      </w:pPr>
      <w:r>
        <w:rPr>
          <w:rFonts w:eastAsia="Times New Roman"/>
          <w:b w:val="false"/>
          <w:i/>
          <w:sz w:val="20"/>
        </w:rPr>
        <w:t xml:space="preserve">A importância de variável </w:t>
      </w:r>
      <w:r>
        <w:rPr>
          <w:rFonts w:eastAsia="Times New Roman"/>
          <w:b/>
          <w:i/>
          <w:sz w:val="20"/>
        </w:rPr>
        <w:t>no modelo sintético</w:t>
      </w:r>
      <w:r>
        <w:rPr>
          <w:rFonts w:eastAsia="Times New Roman"/>
          <w:b w:val="false"/>
          <w:i/>
          <w:sz w:val="20"/>
        </w:rPr>
        <w:t xml:space="preserve"> é uma propriedade do modelo</w:t>
      </w:r>
    </w:p>
    <w:p>
      <w:pPr>
        <w:pStyle w:val="EditorialStatus"/>
        <w:rPr/>
      </w:pPr>
      <w:r>
        <w:rPr>
          <w:rFonts w:eastAsia="Times New Roman"/>
          <w:b w:val="false"/>
          <w:i/>
          <w:sz w:val="20"/>
        </w:rPr>
        <w:t xml:space="preserve">treinado, e </w:t>
      </w:r>
      <w:r>
        <w:rPr>
          <w:rFonts w:eastAsia="Times New Roman"/>
          <w:b/>
          <w:i/>
          <w:sz w:val="20"/>
        </w:rPr>
        <w:t>não</w:t>
      </w:r>
      <w:r>
        <w:rPr>
          <w:rFonts w:eastAsia="Times New Roman"/>
          <w:b w:val="false"/>
          <w:i/>
          <w:sz w:val="20"/>
        </w:rPr>
        <w:t xml:space="preserve"> deve ser lida como associação causal nem como determinante</w:t>
      </w:r>
    </w:p>
    <w:p>
      <w:pPr>
        <w:pStyle w:val="EditorialStatus"/>
        <w:rPr/>
      </w:pPr>
      <w:r>
        <w:rPr>
          <w:rFonts w:eastAsia="Times New Roman"/>
          <w:b w:val="false"/>
          <w:i/>
          <w:sz w:val="20"/>
        </w:rPr>
        <w:t>clinicamente comprovado de descontinuidade.</w:t>
      </w:r>
    </w:p>
    <w:p>
      <w:pPr>
        <w:pStyle w:val="Heading2"/>
        <w:ind w:hanging="0"/>
        <w:jc w:val="start"/>
        <w:rPr/>
      </w:pPr>
      <w:bookmarkStart w:id="50" w:name="__RefHeading___Toc2257_3157870603"/>
      <w:bookmarkEnd w:id="50"/>
      <w:r>
        <w:rPr>
          <w:rFonts w:eastAsia="Times New Roman" w:ascii="Times New Roman" w:hAnsi="Times New Roman"/>
          <w:b/>
          <w:sz w:val="24"/>
        </w:rPr>
        <w:t>5.8 IV-DSS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 xml:space="preserve">O IV-DSS foi </w:t>
      </w:r>
      <w:r>
        <w:rPr>
          <w:rFonts w:eastAsia="Times New Roman"/>
          <w:b/>
          <w:i w:val="false"/>
          <w:sz w:val="24"/>
        </w:rPr>
        <w:t>implementado e calculado</w:t>
      </w:r>
      <w:r>
        <w:rPr>
          <w:rFonts w:eastAsia="Times New Roman"/>
          <w:b w:val="false"/>
          <w:i w:val="false"/>
          <w:sz w:val="24"/>
        </w:rPr>
        <w:t xml:space="preserve"> sobre os 5.000 registros sintéticos, com as seis dimensões (educação; trabalho e renda; saneamento; acesso aos serviços de saúde; habitação; alimentação). O índice principal (cobertura 6/6) foi calculável para </w:t>
      </w:r>
      <w:r>
        <w:rPr>
          <w:rFonts w:eastAsia="Times New Roman"/>
          <w:b/>
          <w:i w:val="false"/>
          <w:sz w:val="24"/>
        </w:rPr>
        <w:t>4.643 registros</w:t>
      </w:r>
      <w:r>
        <w:rPr>
          <w:rFonts w:eastAsia="Times New Roman"/>
          <w:b w:val="false"/>
          <w:i w:val="false"/>
          <w:sz w:val="24"/>
        </w:rPr>
        <w:t xml:space="preserve">; o índice parcial (cobertura 5/6), para </w:t>
      </w:r>
      <w:r>
        <w:rPr>
          <w:rFonts w:eastAsia="Times New Roman"/>
          <w:b/>
          <w:i w:val="false"/>
          <w:sz w:val="24"/>
        </w:rPr>
        <w:t>352 registros</w:t>
      </w:r>
      <w:r>
        <w:rPr>
          <w:rFonts w:eastAsia="Times New Roman"/>
          <w:b w:val="false"/>
          <w:i w:val="false"/>
          <w:sz w:val="24"/>
        </w:rPr>
        <w:t xml:space="preserve">; e </w:t>
      </w:r>
      <w:r>
        <w:rPr>
          <w:rFonts w:eastAsia="Times New Roman"/>
          <w:b/>
          <w:i w:val="false"/>
          <w:sz w:val="24"/>
        </w:rPr>
        <w:t>5 registros</w:t>
      </w:r>
      <w:r>
        <w:rPr>
          <w:rFonts w:eastAsia="Times New Roman"/>
          <w:b w:val="false"/>
          <w:i w:val="false"/>
          <w:sz w:val="24"/>
        </w:rPr>
        <w:t xml:space="preserve"> apresentaram cobertura inferior (4/6), permanecendo não calculáveis. O IV-DSS é um </w:t>
      </w:r>
      <w:r>
        <w:rPr>
          <w:rFonts w:eastAsia="Times New Roman"/>
          <w:b/>
          <w:i w:val="false"/>
          <w:sz w:val="24"/>
        </w:rPr>
        <w:t>índice descritivo experimental de vulnerabilidade social</w:t>
      </w:r>
      <w:r>
        <w:rPr>
          <w:rFonts w:eastAsia="Times New Roman"/>
          <w:b w:val="false"/>
          <w:i w:val="false"/>
          <w:sz w:val="24"/>
        </w:rPr>
        <w:t xml:space="preserve">, e permanece conceitualmente separado da probabilidade do modelo: </w:t>
      </w:r>
      <w:r>
        <w:rPr>
          <w:rFonts w:eastAsia="Times New Roman"/>
          <w:b/>
          <w:i w:val="false"/>
          <w:sz w:val="24"/>
        </w:rPr>
        <w:t>IV-DSS ≠ P(Y) ≠ probability do Random Forest ≠ diagnóstico ≠ classificador</w:t>
      </w:r>
      <w:r>
        <w:rPr>
          <w:rFonts w:eastAsia="Times New Roman"/>
          <w:b w:val="false"/>
          <w:i w:val="false"/>
          <w:sz w:val="24"/>
        </w:rPr>
        <w:t>.</w:t>
      </w:r>
    </w:p>
    <w:p>
      <w:pPr>
        <w:pStyle w:val="Heading2"/>
        <w:ind w:hanging="0"/>
        <w:jc w:val="start"/>
        <w:rPr/>
      </w:pPr>
      <w:bookmarkStart w:id="51" w:name="__RefHeading___Toc2259_3157870603"/>
      <w:bookmarkEnd w:id="51"/>
      <w:r>
        <w:rPr>
          <w:rFonts w:eastAsia="Times New Roman" w:ascii="Times New Roman" w:hAnsi="Times New Roman"/>
          <w:b/>
          <w:sz w:val="24"/>
        </w:rPr>
        <w:t>5.9 Validação da implementação de software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 xml:space="preserve">A integração </w:t>
      </w:r>
      <w:r>
        <w:rPr>
          <w:rFonts w:eastAsia="Times New Roman"/>
          <w:b/>
          <w:i w:val="false"/>
          <w:sz w:val="24"/>
        </w:rPr>
        <w:t>Flutter → FastAPI → IA → Flutter</w:t>
      </w:r>
      <w:r>
        <w:rPr>
          <w:rFonts w:eastAsia="Times New Roman"/>
          <w:b w:val="false"/>
          <w:i w:val="false"/>
          <w:sz w:val="24"/>
        </w:rPr>
        <w:t xml:space="preserve"> foi validada de ponta a ponta em </w:t>
      </w:r>
      <w:r>
        <w:rPr>
          <w:rFonts w:eastAsia="Times New Roman"/>
          <w:b/>
          <w:i w:val="false"/>
          <w:sz w:val="24"/>
        </w:rPr>
        <w:t>Android Emulator</w:t>
      </w:r>
      <w:r>
        <w:rPr>
          <w:rFonts w:eastAsia="Times New Roman"/>
          <w:b w:val="false"/>
          <w:i w:val="false"/>
          <w:sz w:val="24"/>
        </w:rPr>
        <w:t xml:space="preserve">. Trata-se de uma </w:t>
      </w:r>
      <w:r>
        <w:rPr>
          <w:rFonts w:eastAsia="Times New Roman"/>
          <w:b/>
          <w:i w:val="false"/>
          <w:sz w:val="24"/>
        </w:rPr>
        <w:t>validação de integração de software</w:t>
      </w:r>
      <w:r>
        <w:rPr>
          <w:rFonts w:eastAsia="Times New Roman"/>
          <w:b w:val="false"/>
          <w:i w:val="false"/>
          <w:sz w:val="24"/>
        </w:rPr>
        <w:t xml:space="preserve"> (smoke test), e </w:t>
      </w:r>
      <w:r>
        <w:rPr>
          <w:rFonts w:eastAsia="Times New Roman"/>
          <w:b/>
          <w:i w:val="false"/>
          <w:sz w:val="24"/>
        </w:rPr>
        <w:t>não</w:t>
      </w:r>
      <w:r>
        <w:rPr>
          <w:rFonts w:eastAsia="Times New Roman"/>
          <w:b w:val="false"/>
          <w:i w:val="false"/>
          <w:sz w:val="24"/>
        </w:rPr>
        <w:t xml:space="preserve"> de validação clínica, validação externa do modelo ou evidência científica sobre a população real.</w:t>
      </w:r>
    </w:p>
    <w:p>
      <w:pPr/>
      <w:r>
        <w:t>Além disso, a infraestrutura de persistência do backend foi validada contra PostgreSQL real (bancos locais meu_bebe e meu_bebe_test). Foram verificados: a abertura de conexão; o teste de conectividade (SELECT 1); a criação e o encerramento de sessões do SQLAlchemy; a execução de transação e o respectivo rollback; o acesso do Alembic ao banco (com zero revisions de domínio); a ausência de tabelas residuais; e o descarte explícito do engine no encerramento da aplicação. A suíte de testes da API encerrou com 202 testes aprovados e nenhum pulado. Reitera-se que esses testes validam a infraestrutura de software, e não a validade clínica do modelo de ML.</w:t>
      </w:r>
    </w:p>
    <w:p>
      <w:pPr>
        <w:pStyle w:val="Heading2"/>
        <w:ind w:hanging="0"/>
        <w:jc w:val="start"/>
        <w:rPr/>
      </w:pPr>
      <w:bookmarkStart w:id="52" w:name="__RefHeading___Toc2261_3157870603"/>
      <w:bookmarkEnd w:id="52"/>
      <w:r>
        <w:rPr>
          <w:rFonts w:eastAsia="Times New Roman" w:ascii="Times New Roman" w:hAnsi="Times New Roman"/>
          <w:b/>
          <w:sz w:val="24"/>
        </w:rPr>
        <w:t>5.10 Discussão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 xml:space="preserve">Os resultados devem ser interpretados com cautela. A capacidade discriminativa do modelo é </w:t>
      </w:r>
      <w:r>
        <w:rPr>
          <w:rFonts w:eastAsia="Times New Roman"/>
          <w:b/>
          <w:i w:val="false"/>
          <w:sz w:val="24"/>
        </w:rPr>
        <w:t>limitada</w:t>
      </w:r>
      <w:r>
        <w:rPr>
          <w:rFonts w:eastAsia="Times New Roman"/>
          <w:b w:val="false"/>
          <w:i w:val="false"/>
          <w:sz w:val="24"/>
        </w:rPr>
        <w:t xml:space="preserve"> (ROC-AUC ≈ 0,62; PR-AUC ≈ 0,34), e o </w:t>
      </w:r>
      <w:r>
        <w:rPr>
          <w:rFonts w:eastAsia="Times New Roman"/>
          <w:b/>
          <w:i w:val="false"/>
          <w:sz w:val="24"/>
        </w:rPr>
        <w:t>recall zero no threshold 0,5</w:t>
      </w:r>
      <w:r>
        <w:rPr>
          <w:rFonts w:eastAsia="Times New Roman"/>
          <w:b w:val="false"/>
          <w:i w:val="false"/>
          <w:sz w:val="24"/>
        </w:rPr>
        <w:t xml:space="preserve"> evidencia que o modelo, sob um limiar de decisão convencional, não consegue identificar os casos positivos sintéticos. Não há threshold operacional adotado, e o produto apresenta apenas a probabilidade, evitando classificação individual.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 xml:space="preserve">Esse </w:t>
      </w:r>
      <w:r>
        <w:rPr>
          <w:rFonts w:eastAsia="Times New Roman"/>
          <w:b/>
          <w:i w:val="false"/>
          <w:sz w:val="24"/>
        </w:rPr>
        <w:t>desempenho limitado é um resultado observado no experimento sintético</w:t>
      </w:r>
      <w:r>
        <w:rPr>
          <w:rFonts w:eastAsia="Times New Roman"/>
          <w:b w:val="false"/>
          <w:i w:val="false"/>
          <w:sz w:val="24"/>
        </w:rPr>
        <w:t xml:space="preserve"> e, por si só, descreve o comportamento do modelo sobre esses dados. Já a </w:t>
      </w:r>
      <w:r>
        <w:rPr>
          <w:rFonts w:eastAsia="Times New Roman"/>
          <w:b/>
          <w:i w:val="false"/>
          <w:sz w:val="24"/>
        </w:rPr>
        <w:t>natureza sintética</w:t>
      </w:r>
      <w:r>
        <w:rPr>
          <w:rFonts w:eastAsia="Times New Roman"/>
          <w:b w:val="false"/>
          <w:i w:val="false"/>
          <w:sz w:val="24"/>
        </w:rPr>
        <w:t xml:space="preserve"> dos dados e a </w:t>
      </w:r>
      <w:r>
        <w:rPr>
          <w:rFonts w:eastAsia="Times New Roman"/>
          <w:b/>
          <w:i w:val="false"/>
          <w:sz w:val="24"/>
        </w:rPr>
        <w:t>ausência de validação externa</w:t>
      </w:r>
      <w:r>
        <w:rPr>
          <w:rFonts w:eastAsia="Times New Roman"/>
          <w:b w:val="false"/>
          <w:i w:val="false"/>
          <w:sz w:val="24"/>
        </w:rPr>
        <w:t xml:space="preserve"> implicam, de forma distinta, que tais resultados </w:t>
      </w:r>
      <w:r>
        <w:rPr>
          <w:rFonts w:eastAsia="Times New Roman"/>
          <w:b/>
          <w:i w:val="false"/>
          <w:sz w:val="24"/>
        </w:rPr>
        <w:t>não representam desempenho clínico nem generalizam para a população real</w:t>
      </w:r>
      <w:r>
        <w:rPr>
          <w:rFonts w:eastAsia="Times New Roman"/>
          <w:b w:val="false"/>
          <w:i w:val="false"/>
          <w:sz w:val="24"/>
        </w:rPr>
        <w:t xml:space="preserve"> — não são a causa das métricas observadas. O valor do trabalho, nesta etapa, está </w:t>
      </w:r>
      <w:r>
        <w:rPr>
          <w:rFonts w:eastAsia="Times New Roman"/>
          <w:b/>
          <w:i w:val="false"/>
          <w:sz w:val="24"/>
        </w:rPr>
        <w:t>menos</w:t>
      </w:r>
      <w:r>
        <w:rPr>
          <w:rFonts w:eastAsia="Times New Roman"/>
          <w:b w:val="false"/>
          <w:i w:val="false"/>
          <w:sz w:val="24"/>
        </w:rPr>
        <w:t xml:space="preserve"> no desempenho preditivo e </w:t>
      </w:r>
      <w:r>
        <w:rPr>
          <w:rFonts w:eastAsia="Times New Roman"/>
          <w:b/>
          <w:i w:val="false"/>
          <w:sz w:val="24"/>
        </w:rPr>
        <w:t>mais</w:t>
      </w:r>
      <w:r>
        <w:rPr>
          <w:rFonts w:eastAsia="Times New Roman"/>
          <w:b w:val="false"/>
          <w:i w:val="false"/>
          <w:sz w:val="24"/>
        </w:rPr>
        <w:t xml:space="preserve"> na consolidação de um pipeline experimental reproduzível (contrato de dados, geração controlada, protocolo de treinamento/validação, métricas de desbalanceamento, calibração, sensibilidade, interpretabilidade e integração de software) que poderá ser reutilizado em etapas futuras com dados reais.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 xml:space="preserve">A integração tecnológica — questionário DSS, modelo de ML e módulo de acompanhamento pré-natal em uma única aplicação — constitui um resultado de engenharia válido </w:t>
      </w:r>
      <w:r>
        <w:rPr>
          <w:rFonts w:eastAsia="Times New Roman"/>
          <w:b/>
          <w:i w:val="false"/>
          <w:sz w:val="24"/>
        </w:rPr>
        <w:t>independentemente</w:t>
      </w:r>
      <w:r>
        <w:rPr>
          <w:rFonts w:eastAsia="Times New Roman"/>
          <w:b w:val="false"/>
          <w:i w:val="false"/>
          <w:sz w:val="24"/>
        </w:rPr>
        <w:t xml:space="preserve"> da validade clínica do modelo.</w:t>
      </w:r>
    </w:p>
    <w:p>
      <w:pPr>
        <w:pStyle w:val="Normal"/>
        <w:spacing w:before="120" w:after="80"/>
        <w:jc w:val="start"/>
        <w:rPr/>
        <w:keepNext/>
      </w:pPr>
      <w:r>
        <w:rPr>
          <w:rFonts w:eastAsia="Times New Roman"/>
          <w:b/>
          <w:sz w:val="20"/>
        </w:rPr>
        <w:t>Tabela 4 – Cobertura do IV-DSS no dataset sintético</w:t>
      </w:r>
    </w:p>
    <w:tbl>
      <w:tblPr>
        <w:tblStyle w:val="TableGrid"/>
        <w:tblW w:w="9072" w:type="dxa"/>
        <w:jc w:val="center"/>
        <w:tblInd w:w="0" w:type="dxa"/>
        <w:tblLayout w:type="fixed"/>
        <w:tblCellMar>
          <w:top w:w="80" w:type="dxa"/>
          <w:start w:w="80" w:type="dxa"/>
          <w:bottom w:w="80" w:type="dxa"/>
          <w:end w:w="80" w:type="dxa"/>
        </w:tblCellMar>
        <w:tblLook w:val="04a0" w:noHBand="0" w:noVBand="1" w:firstColumn="1" w:lastRow="0" w:lastColumn="0" w:firstRow="1"/>
      </w:tblPr>
      <w:tblGrid>
        <w:gridCol w:w="3024"/>
        <w:gridCol w:w="3024"/>
        <w:gridCol w:w="3024"/>
      </w:tblGrid>
      <w:tr>
        <w:trPr>
          <w:tblHeader/>
        </w:trPr>
        <w:tc>
          <w:tcPr>
            <w:tcW w:w="3024" w:type="dxa"/>
            <w:tcBorders/>
            <w:shd w:fill="E7E6E6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Cobertura</w:t>
            </w:r>
          </w:p>
        </w:tc>
        <w:tc>
          <w:tcPr>
            <w:tcW w:w="3024" w:type="dxa"/>
            <w:tcBorders/>
            <w:shd w:fill="E7E6E6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Registros</w:t>
            </w:r>
          </w:p>
        </w:tc>
        <w:tc>
          <w:tcPr>
            <w:tcW w:w="3024" w:type="dxa"/>
            <w:tcBorders/>
            <w:shd w:fill="E7E6E6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/>
                <w:i w:val="false"/>
                <w:kern w:val="0"/>
                <w:sz w:val="18"/>
                <w:szCs w:val="22"/>
                <w:lang w:val="en-US" w:eastAsia="en-US" w:bidi="ar-SA"/>
              </w:rPr>
              <w:t>Interpretação</w:t>
            </w:r>
          </w:p>
        </w:tc>
      </w:tr>
      <w:tr>
        <w:trPr/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6/6 dimensões</w:t>
            </w:r>
          </w:p>
        </w:tc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4.643</w:t>
            </w:r>
          </w:p>
        </w:tc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IV-DSS principal calculável</w:t>
            </w:r>
          </w:p>
        </w:tc>
      </w:tr>
      <w:tr>
        <w:trPr/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5/6 dimensões</w:t>
            </w:r>
          </w:p>
        </w:tc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352</w:t>
            </w:r>
          </w:p>
        </w:tc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IV-DSS parcial auxiliar</w:t>
            </w:r>
          </w:p>
        </w:tc>
      </w:tr>
      <w:tr>
        <w:trPr/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4/6 dimensões</w:t>
            </w:r>
          </w:p>
        </w:tc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5</w:t>
            </w:r>
          </w:p>
        </w:tc>
        <w:tc>
          <w:tcPr>
            <w:tcW w:w="3024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Times New Roman" w:cs=""/>
                <w:b w:val="false"/>
                <w:i w:val="false"/>
                <w:kern w:val="0"/>
                <w:sz w:val="18"/>
                <w:szCs w:val="22"/>
                <w:lang w:val="en-US" w:eastAsia="en-US" w:bidi="ar-SA"/>
              </w:rPr>
              <w:t>Não calculável</w:t>
            </w:r>
          </w:p>
        </w:tc>
      </w:tr>
    </w:tbl>
    <w:p>
      <w:pPr>
        <w:pStyle w:val="Normal"/>
        <w:spacing w:before="40" w:after="120"/>
        <w:rPr/>
      </w:pPr>
      <w:r>
        <w:rPr>
          <w:rFonts w:eastAsia="Times New Roman"/>
          <w:sz w:val="18"/>
        </w:rPr>
        <w:t>Fonte: elaboração própria (2026), a partir dos artefatos do experimento.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240"/>
        <w:ind w:hanging="0"/>
        <w:jc w:val="start"/>
        <w:rPr/>
      </w:pPr>
      <w:bookmarkStart w:id="53" w:name="__RefHeading___Toc2263_3157870603"/>
      <w:bookmarkEnd w:id="53"/>
      <w:r>
        <w:rPr>
          <w:rFonts w:eastAsia="Times New Roman" w:ascii="Times New Roman" w:hAnsi="Times New Roman"/>
          <w:b/>
          <w:sz w:val="24"/>
        </w:rPr>
        <w:t>6 CONCLUSÃO</w:t>
      </w:r>
    </w:p>
    <w:p>
      <w:pPr>
        <w:pStyle w:val="EditorialStatus"/>
        <w:rPr/>
      </w:pPr>
      <w:r>
        <w:rPr>
          <w:rFonts w:eastAsia="Times New Roman"/>
          <w:b w:val="false"/>
          <w:i/>
          <w:sz w:val="20"/>
        </w:rPr>
        <w:t>STATUS EDITORIAL — conclusão provisória. Será reescrita após a implementação da API do acompanhamento pré-natal e a consolidação final dos capítulos 3–5.</w:t>
      </w:r>
    </w:p>
    <w:p>
      <w:pPr>
        <w:pStyle w:val="Heading2"/>
        <w:ind w:hanging="0"/>
        <w:jc w:val="start"/>
        <w:rPr/>
      </w:pPr>
      <w:bookmarkStart w:id="54" w:name="__RefHeading___Toc2265_3157870603"/>
      <w:bookmarkEnd w:id="54"/>
      <w:r>
        <w:rPr>
          <w:rFonts w:eastAsia="Times New Roman" w:ascii="Times New Roman" w:hAnsi="Times New Roman"/>
          <w:b/>
          <w:sz w:val="24"/>
        </w:rPr>
        <w:t>6.1 Síntese dos resultados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>Este trabalho propôs estimar, a partir dos Determinantes Sociais da Saúde coletados de forma estruturada, a propensão de gestantes à descontinuidade do acompanhamento pré-natal, por meio de aprendizado de máquina, integrando a essa função um módulo de acompanhamento do pré-natal.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 xml:space="preserve">Foram desenvolvidos: um contrato de dados canônico e versionado (schema 1.13, 6 dimensões, 48 variáveis); um </w:t>
      </w:r>
      <w:r>
        <w:rPr>
          <w:rFonts w:eastAsia="Times New Roman"/>
          <w:b/>
          <w:i w:val="false"/>
          <w:sz w:val="24"/>
        </w:rPr>
        <w:t>índice descritivo experimental de vulnerabilidade (IV-DSS)</w:t>
      </w:r>
      <w:r>
        <w:rPr>
          <w:rFonts w:eastAsia="Times New Roman"/>
          <w:b w:val="false"/>
          <w:i w:val="false"/>
          <w:sz w:val="24"/>
        </w:rPr>
        <w:t xml:space="preserve">; um </w:t>
      </w:r>
      <w:r>
        <w:rPr>
          <w:rFonts w:eastAsia="Times New Roman"/>
          <w:b/>
          <w:i w:val="false"/>
          <w:sz w:val="24"/>
        </w:rPr>
        <w:t>dataset sintético reproduzível</w:t>
      </w:r>
      <w:r>
        <w:rPr>
          <w:rFonts w:eastAsia="Times New Roman"/>
          <w:b w:val="false"/>
          <w:i w:val="false"/>
          <w:sz w:val="24"/>
        </w:rPr>
        <w:t xml:space="preserve"> (5.000 registros); um protocolo de treinamento/validação com controle de leakage; a comparação de três modelos e a seleção do </w:t>
      </w:r>
      <w:r>
        <w:rPr>
          <w:rFonts w:eastAsia="Times New Roman"/>
          <w:b/>
          <w:i w:val="false"/>
          <w:sz w:val="24"/>
        </w:rPr>
        <w:t>Random Forest</w:t>
      </w:r>
      <w:r>
        <w:rPr>
          <w:rFonts w:eastAsia="Times New Roman"/>
          <w:b w:val="false"/>
          <w:i w:val="false"/>
          <w:sz w:val="24"/>
        </w:rPr>
        <w:t xml:space="preserve">; análises de calibração, sensibilidade e interpretabilidade; e a </w:t>
      </w:r>
      <w:r>
        <w:rPr>
          <w:rFonts w:eastAsia="Times New Roman"/>
          <w:b/>
          <w:i w:val="false"/>
          <w:sz w:val="24"/>
        </w:rPr>
        <w:t>integração de software</w:t>
      </w:r>
      <w:r>
        <w:rPr>
          <w:rFonts w:eastAsia="Times New Roman"/>
          <w:b w:val="false"/>
          <w:i w:val="false"/>
          <w:sz w:val="24"/>
        </w:rPr>
        <w:t xml:space="preserve"> Flutter ↔ FastAPI ↔ IA, validada de ponta a ponta</w:t>
      </w:r>
      <w:r>
        <w:t>; e a infraestrutura de persistência do backend (PostgreSQL 16, SQLAlchemy 2.x e Alembic), implementada e validada.</w:t>
      </w:r>
    </w:p>
    <w:p>
      <w:pPr>
        <w:pStyle w:val="Heading2"/>
        <w:ind w:hanging="0"/>
        <w:jc w:val="start"/>
        <w:rPr/>
      </w:pPr>
      <w:bookmarkStart w:id="55" w:name="__RefHeading___Toc2267_3157870603"/>
      <w:bookmarkEnd w:id="55"/>
      <w:r>
        <w:rPr>
          <w:rFonts w:eastAsia="Times New Roman" w:ascii="Times New Roman" w:hAnsi="Times New Roman"/>
          <w:b/>
          <w:sz w:val="24"/>
        </w:rPr>
        <w:t>6.2 Limitações do estudo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 xml:space="preserve">O modelo selecionado apresentou desempenho discriminativo </w:t>
      </w:r>
      <w:r>
        <w:rPr>
          <w:rFonts w:eastAsia="Times New Roman"/>
          <w:b/>
          <w:i w:val="false"/>
          <w:sz w:val="24"/>
        </w:rPr>
        <w:t>limitado</w:t>
      </w:r>
      <w:r>
        <w:rPr>
          <w:rFonts w:eastAsia="Times New Roman"/>
          <w:b w:val="false"/>
          <w:i w:val="false"/>
          <w:sz w:val="24"/>
        </w:rPr>
        <w:t xml:space="preserve"> e </w:t>
      </w:r>
      <w:r>
        <w:rPr>
          <w:rFonts w:eastAsia="Times New Roman"/>
          <w:b/>
          <w:i w:val="false"/>
          <w:sz w:val="24"/>
        </w:rPr>
        <w:t>recall zero no limiar 0,5</w:t>
      </w:r>
      <w:r>
        <w:rPr>
          <w:rFonts w:eastAsia="Times New Roman"/>
          <w:b w:val="false"/>
          <w:i w:val="false"/>
          <w:sz w:val="24"/>
        </w:rPr>
        <w:t xml:space="preserve">, reforçando que os resultados são </w:t>
      </w:r>
      <w:r>
        <w:rPr>
          <w:rFonts w:eastAsia="Times New Roman"/>
          <w:b/>
          <w:i w:val="false"/>
          <w:sz w:val="24"/>
        </w:rPr>
        <w:t>experimentais</w:t>
      </w:r>
      <w:r>
        <w:rPr>
          <w:rFonts w:eastAsia="Times New Roman"/>
          <w:b w:val="false"/>
          <w:i w:val="false"/>
          <w:sz w:val="24"/>
        </w:rPr>
        <w:t xml:space="preserve"> e não constituem validação clínica. O aplicativo, por sua vez, entrega um diferencial funcional ao integrar, em uma mesma solução, o questionário DSS, a estimativa experimental e o acompanhamento do pré-natal (incluindo plano de parto), com armazenamento local/offline.</w:t>
      </w:r>
    </w:p>
    <w:p>
      <w:pPr>
        <w:pStyle w:val="Heading2"/>
        <w:ind w:hanging="0"/>
        <w:jc w:val="start"/>
        <w:rPr/>
      </w:pPr>
      <w:bookmarkStart w:id="56" w:name="__RefHeading___Toc2269_3157870603"/>
      <w:bookmarkEnd w:id="56"/>
      <w:r>
        <w:rPr>
          <w:rFonts w:eastAsia="Times New Roman" w:ascii="Times New Roman" w:hAnsi="Times New Roman"/>
          <w:b/>
          <w:sz w:val="24"/>
        </w:rPr>
        <w:t>6.3 Trabalhos futuros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rFonts w:eastAsia="Times New Roman"/>
          <w:b w:val="false"/>
          <w:i w:val="false"/>
          <w:sz w:val="24"/>
        </w:rPr>
        <w:t>Entre as limitações, destacam-se: uso de dados sintéticos (sem validade externa), ausência de validação clínica, recall zero no limiar 0,5, autenticação ainda não funcional, e a ausência de relacionamentos formais na persistência local (modelo implicitamente monousuário).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t>O problema da descontinuidade do pré-natal não foi resolvido; este trabalho estabeleceu, antes, uma base metodológica e tecnológica experimental que poderá ser estendida a dados reais. Como trabalhos futuros, indicam-se: a operacionalização longitudinal do desfecho com dados reais (fundamentada e ajustada pela duração gestacional); a implementação das entidades de domínio, da autenticação e do CRUD do acompanhamento pré-natal (seção 4.7) — cuja infraestrutura de persistência já foi implementada e validada; e a condução de estudos com dados reais sob os devidos requisitos éticos e de consentimento.</w:t>
      </w:r>
    </w:p>
    <w:p>
      <w:pPr>
        <w:pStyle w:val="Heading1"/>
        <w:pageBreakBefore/>
        <w:spacing w:before="0" w:after="240"/>
        <w:ind w:hanging="0"/>
        <w:jc w:val="start"/>
        <w:rPr/>
      </w:pPr>
      <w:bookmarkStart w:id="57" w:name="__RefHeading___Toc2271_3157870603"/>
      <w:bookmarkEnd w:id="57"/>
      <w:r>
        <w:rPr>
          <w:rFonts w:eastAsia="Times New Roman" w:ascii="Times New Roman" w:hAnsi="Times New Roman"/>
          <w:b/>
          <w:sz w:val="24"/>
        </w:rPr>
        <w:t>REFERÊNCIAS</w:t>
      </w:r>
    </w:p>
    <w:p>
      <w:pPr>
        <w:pStyle w:val="EditorialStatus"/>
        <w:rPr/>
      </w:pPr>
      <w:r>
        <w:rPr>
          <w:rFonts w:eastAsia="Times New Roman"/>
          <w:b w:val="false"/>
          <w:i/>
          <w:sz w:val="20"/>
        </w:rPr>
        <w:t>STATUS EDITORIAL — lista corrente das obras efetivamente citadas no Capítulo 1 e das fontes metodológicas já mencionadas no rascunho. A lista final conterá somente obras efetivamente citadas e será normalizada integralmente conforme NBR 6023:2025.</w:t>
      </w:r>
    </w:p>
    <w:p>
      <w:pPr>
        <w:pStyle w:val="ReferenceEntry"/>
        <w:jc w:val="start"/>
        <w:rPr/>
      </w:pPr>
      <w:r>
        <w:rPr>
          <w:rFonts w:eastAsia="Times New Roman"/>
          <w:b w:val="false"/>
          <w:i w:val="false"/>
          <w:sz w:val="24"/>
        </w:rPr>
        <w:t>ALVES, G. G.; TERAZIMA, S. S.; LIMA, J. F. P. K. Inteligência artificial na saúde pública: potenciais e desafios no SUS. Asclepius International Journal of Scientific Health Science, v. 4, n. 3, p. 262–267, 2025. DOI: 10.70779/aijshs.v4i3.67.</w:t>
      </w:r>
    </w:p>
    <w:p>
      <w:pPr>
        <w:pStyle w:val="ReferenceEntry"/>
        <w:jc w:val="start"/>
        <w:rPr/>
      </w:pPr>
      <w:r>
        <w:rPr>
          <w:rFonts w:eastAsia="Times New Roman"/>
          <w:b w:val="false"/>
          <w:i w:val="false"/>
          <w:sz w:val="24"/>
        </w:rPr>
        <w:t>AYRES, J. R. C. M.; FRANÇA JÚNIOR, I.; CALAZANS, G. J.; SALETTI FILHO, H. C. O conceito de vulnerabilidade e as práticas de saúde: novas perspectivas e desafios. In: CZERESNIA, D.; FREITAS, C. M. (org.). Promoção da saúde: conceitos, reflexões, tendências. Rio de Janeiro: Fiocruz, 2003.</w:t>
      </w:r>
    </w:p>
    <w:p>
      <w:pPr>
        <w:pStyle w:val="ReferenceEntry"/>
        <w:jc w:val="start"/>
        <w:rPr/>
      </w:pPr>
      <w:r>
        <w:rPr>
          <w:rFonts w:eastAsia="Times New Roman"/>
          <w:b w:val="false"/>
          <w:i w:val="false"/>
          <w:sz w:val="24"/>
        </w:rPr>
        <w:t>BRASIL. Ministério da Saúde. Estratégia de Saúde Digital para o Brasil 2020–2028. Brasília, DF: Ministério da Saúde, 2020.</w:t>
      </w:r>
    </w:p>
    <w:p>
      <w:pPr>
        <w:pStyle w:val="ReferenceEntry"/>
        <w:jc w:val="start"/>
        <w:rPr/>
      </w:pPr>
      <w:r>
        <w:rPr>
          <w:rFonts w:eastAsia="Times New Roman"/>
          <w:b w:val="false"/>
          <w:i w:val="false"/>
          <w:sz w:val="24"/>
        </w:rPr>
        <w:t>BRASIL. Ministério da Saúde. Portaria GM/MS nº 5.350, de 12 de setembro de 2024. Altera a Portaria de Consolidação GM/MS nº 3, de 28 de setembro de 2017, para dispor sobre a Rede Alyne. Brasília, DF: Ministério da Saúde, 2024.</w:t>
      </w:r>
    </w:p>
    <w:p>
      <w:pPr>
        <w:pStyle w:val="ReferenceEntry"/>
        <w:jc w:val="start"/>
        <w:rPr/>
      </w:pPr>
      <w:r>
        <w:rPr>
          <w:rFonts w:eastAsia="Times New Roman"/>
          <w:b w:val="false"/>
          <w:i w:val="false"/>
          <w:sz w:val="24"/>
        </w:rPr>
        <w:t>BUSS, P. M.; PELLEGRINI FILHO, A. A saúde e seus determinantes sociais. Physis: Revista de Saúde Coletiva, v. 17, n. 1, p. 77–93, 2007. DOI: 10.1590/S0103-73312007000100006.</w:t>
      </w:r>
    </w:p>
    <w:p>
      <w:pPr>
        <w:pStyle w:val="ReferenceEntry"/>
        <w:jc w:val="start"/>
        <w:rPr/>
      </w:pPr>
      <w:r>
        <w:rPr>
          <w:rFonts w:eastAsia="Times New Roman"/>
          <w:b w:val="false"/>
          <w:i w:val="false"/>
          <w:sz w:val="24"/>
        </w:rPr>
        <w:t>CNDSS/BRASIL. As causas sociais das iniquidades em saúde no Brasil. Rio de Janeiro: Fiocruz, 2008.</w:t>
      </w:r>
    </w:p>
    <w:p>
      <w:pPr>
        <w:pStyle w:val="ReferenceEntry"/>
        <w:jc w:val="start"/>
        <w:rPr/>
      </w:pPr>
      <w:r>
        <w:rPr>
          <w:rFonts w:eastAsia="Times New Roman"/>
          <w:b w:val="false"/>
          <w:i w:val="false"/>
          <w:sz w:val="24"/>
        </w:rPr>
        <w:t>DEGLI ESPOSTI, C. D. et al. Desigualdades sociais e geográficas no desempenho da assistência pré-natal. Ciência &amp; Saúde Coletiva, v. 25, n. 5, p. 1735–1750, 2020. DOI: 10.1590/1413-81232020255.32852019.</w:t>
      </w:r>
    </w:p>
    <w:p>
      <w:pPr>
        <w:pStyle w:val="ReferenceEntry"/>
        <w:jc w:val="start"/>
        <w:rPr/>
      </w:pPr>
      <w:r>
        <w:rPr>
          <w:rFonts w:eastAsia="Times New Roman"/>
          <w:b w:val="false"/>
          <w:i w:val="false"/>
          <w:sz w:val="24"/>
        </w:rPr>
        <w:t>FEROZ, A.; PERVEEN, S.; AFTAB, W. Role of mHealth applications for improving antenatal and postnatal care in low and middle income countries: a systematic review. BMC Health Services Research, v. 17, art. 704, 2017. DOI: 10.1186/s12913-017-2664-7.</w:t>
      </w:r>
    </w:p>
    <w:p>
      <w:pPr>
        <w:pStyle w:val="ReferenceEntry"/>
        <w:jc w:val="start"/>
        <w:rPr/>
      </w:pPr>
      <w:r>
        <w:rPr>
          <w:rFonts w:eastAsia="Times New Roman"/>
          <w:b w:val="false"/>
          <w:i w:val="false"/>
          <w:sz w:val="24"/>
        </w:rPr>
        <w:t>IYAWA, G. E.; DANSHARIF, A. R.; KHAN, A. Mobile apps for self-management in pregnancy. Health and Technology, v. 11, n. 2, p. 283–294, 2021. DOI: 10.1007/s12553-021-00523-z.</w:t>
      </w:r>
    </w:p>
    <w:p>
      <w:pPr>
        <w:pStyle w:val="ReferenceEntry"/>
        <w:jc w:val="start"/>
        <w:rPr/>
      </w:pPr>
      <w:r>
        <w:rPr>
          <w:rFonts w:eastAsia="Times New Roman"/>
          <w:b w:val="false"/>
          <w:i w:val="false"/>
          <w:sz w:val="24"/>
        </w:rPr>
        <w:t>OECD; EUROPEAN COMMISSION; JOINT RESEARCH CENTRE. Handbook on constructing composite indicators: methodology and user guide. Paris: OECD Publishing, 2008. DOI: 10.1787/9789264043466-en.</w:t>
      </w:r>
    </w:p>
    <w:p>
      <w:pPr>
        <w:pStyle w:val="ReferenceEntry"/>
        <w:jc w:val="start"/>
        <w:rPr/>
      </w:pPr>
      <w:r>
        <w:rPr>
          <w:rFonts w:eastAsia="Times New Roman"/>
          <w:b w:val="false"/>
          <w:i w:val="false"/>
          <w:sz w:val="24"/>
        </w:rPr>
        <w:t>ROSA, C. Q.; SILVEIRA, D. S.; COSTA, J. S. D. Fatores associados à não realização de pré-natal em município de grande porte. Revista de Saúde Pública, v. 48, n. 6, p. 977–984, 2014. DOI: 10.1590/S0034-8910.2014048005283.</w:t>
      </w:r>
    </w:p>
    <w:p>
      <w:pPr>
        <w:pStyle w:val="ReferenceEntry"/>
        <w:jc w:val="start"/>
        <w:rPr/>
      </w:pPr>
      <w:r>
        <w:rPr>
          <w:rFonts w:eastAsia="Times New Roman"/>
          <w:b w:val="false"/>
          <w:i w:val="false"/>
          <w:sz w:val="24"/>
        </w:rPr>
        <w:t>SANTORIO, K. T.; SANTORIO, K. T.; BARBOSA, C. N. B. Fatores determinantes na realização do pré-natal no Brasil: uma investigação com dados da PNS. Brazilian Journal of Health Review, v. 7, n. 10, e74857, 2024. DOI: 10.34119/bjhrv7n10-033.</w:t>
      </w:r>
    </w:p>
    <w:p>
      <w:pPr>
        <w:pStyle w:val="ReferenceEntry"/>
        <w:jc w:val="start"/>
        <w:rPr/>
      </w:pPr>
      <w:r>
        <w:rPr>
          <w:rFonts w:eastAsia="Times New Roman"/>
          <w:b w:val="false"/>
          <w:i w:val="false"/>
          <w:sz w:val="24"/>
        </w:rPr>
        <w:t>SOLAR, O.; IRWIN, A. A conceptual framework for action on the social determinants of health. Geneva: World Health Organization, 2010.</w:t>
      </w:r>
    </w:p>
    <w:p>
      <w:pPr>
        <w:pStyle w:val="ReferenceEntry"/>
        <w:jc w:val="start"/>
        <w:rPr/>
      </w:pPr>
      <w:r>
        <w:rPr>
          <w:rFonts w:eastAsia="Times New Roman"/>
          <w:b w:val="false"/>
          <w:i w:val="false"/>
          <w:sz w:val="24"/>
        </w:rPr>
        <w:t>VIELLAS, E. F. et al. Assistência pré-natal no Brasil. Cadernos de Saúde Pública, v. 30, supl. 1, p. S85–S100, 2014. DOI: 10.1590/0102-311X00126013.</w:t>
      </w:r>
    </w:p>
    <w:p>
      <w:pPr>
        <w:pStyle w:val="ReferenceEntry"/>
        <w:jc w:val="start"/>
        <w:rPr/>
      </w:pPr>
      <w:r>
        <w:rPr>
          <w:rFonts w:eastAsia="Times New Roman"/>
          <w:b w:val="false"/>
          <w:i w:val="false"/>
          <w:sz w:val="24"/>
        </w:rPr>
        <w:t>WORLD HEALTH ORGANIZATION. WHO recommendations on antenatal care for a positive pregnancy experience. Geneva: WHO, 2016.</w:t>
      </w:r>
    </w:p>
    <w:p>
      <w:pPr>
        <w:pStyle w:val="ReferenceEntry"/>
        <w:jc w:val="start"/>
        <w:rPr/>
      </w:pPr>
      <w:r>
        <w:rPr>
          <w:rFonts w:eastAsia="Times New Roman"/>
          <w:b w:val="false"/>
          <w:i w:val="false"/>
          <w:sz w:val="24"/>
        </w:rPr>
        <w:t>WORLD HEALTH ORGANIZATION. Trends in maternal mortality 2000 to 2017. Geneva: WHO, 2019.</w:t>
      </w:r>
    </w:p>
    <w:p>
      <w:pPr>
        <w:pStyle w:val="ReferenceEntry"/>
        <w:jc w:val="start"/>
        <w:rPr/>
      </w:pPr>
      <w:r>
        <w:rPr>
          <w:rFonts w:eastAsia="Times New Roman"/>
          <w:b w:val="false"/>
          <w:i w:val="false"/>
          <w:sz w:val="24"/>
        </w:rPr>
        <w:t>WORLD HEALTH ORGANIZATION. Maternal mortality. Geneva: WHO, 2024. Fact sheet.</w:t>
      </w:r>
    </w:p>
    <w:p>
      <w:pPr>
        <w:pStyle w:val="ReferenceEntry"/>
        <w:jc w:val="start"/>
        <w:rPr/>
      </w:pPr>
      <w:r>
        <w:rPr>
          <w:rFonts w:eastAsia="Times New Roman"/>
          <w:b w:val="false"/>
          <w:i w:val="false"/>
          <w:sz w:val="24"/>
        </w:rPr>
        <w:t>WORLD HEALTH ORGANIZATION. World report on social determinants of health equity. Geneva: WHO, 2025. ISBN 9789240107588.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240"/>
        <w:ind w:hanging="0"/>
        <w:jc w:val="start"/>
        <w:rPr/>
      </w:pPr>
      <w:bookmarkStart w:id="58" w:name="__RefHeading___Toc2273_3157870603"/>
      <w:bookmarkEnd w:id="58"/>
      <w:r>
        <w:rPr>
          <w:rFonts w:eastAsia="Times New Roman" w:ascii="Times New Roman" w:hAnsi="Times New Roman"/>
          <w:b/>
          <w:sz w:val="24"/>
        </w:rPr>
        <w:t>APÊNDICE A — DECISÕES METODOLÓGICAS CONSOLIDADAS E EM ABERTO</w:t>
      </w:r>
    </w:p>
    <w:p>
      <w:pPr>
        <w:pStyle w:val="EditorialStatus"/>
        <w:rPr/>
      </w:pPr>
      <w:r>
        <w:rPr>
          <w:rFonts w:eastAsia="Times New Roman"/>
          <w:b w:val="false"/>
          <w:i/>
          <w:sz w:val="20"/>
        </w:rPr>
        <w:t>CONTROLE EDITORIAL — conteúdo será consolidado ao final, evitando duplicação excessiva do Capítulo 3.</w:t>
      </w:r>
    </w:p>
    <w:p>
      <w:pPr>
        <w:pStyle w:val="Normal"/>
        <w:spacing w:lineRule="auto" w:line="360" w:before="0" w:after="0"/>
        <w:ind w:hanging="0"/>
        <w:jc w:val="both"/>
        <w:rPr/>
      </w:pPr>
      <w:r>
        <w:rPr>
          <w:rFonts w:eastAsia="Times New Roman"/>
          <w:b w:val="false"/>
          <w:i w:val="false"/>
          <w:sz w:val="24"/>
        </w:rPr>
        <w:t>Este apêndice será reservado para registrar decisões metodológicas que precisem permanecer auditáveis sem sobrecarregar o corpo principal da monografia.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240"/>
        <w:ind w:hanging="0"/>
        <w:jc w:val="start"/>
        <w:rPr/>
      </w:pPr>
      <w:bookmarkStart w:id="59" w:name="__RefHeading___Toc2275_3157870603"/>
      <w:bookmarkEnd w:id="59"/>
      <w:r>
        <w:rPr>
          <w:rFonts w:eastAsia="Times New Roman" w:ascii="Times New Roman" w:hAnsi="Times New Roman"/>
          <w:b/>
          <w:sz w:val="24"/>
        </w:rPr>
        <w:t>APÊNDICE B — FUNDAMENTAÇÃO DA ESCOLHA DO TÍTULO</w:t>
      </w:r>
    </w:p>
    <w:p>
      <w:pPr>
        <w:pStyle w:val="EditorialStatus"/>
        <w:rPr/>
      </w:pPr>
      <w:r>
        <w:rPr>
          <w:rFonts w:eastAsia="Times New Roman"/>
          <w:b w:val="false"/>
          <w:i/>
          <w:sz w:val="20"/>
        </w:rPr>
        <w:t>CONTROLE EDITORIAL — manter apenas se o orientador considerar útil; caso contrário, remover antes da entrega.</w:t>
      </w:r>
    </w:p>
    <w:p>
      <w:pPr>
        <w:pStyle w:val="Normal"/>
        <w:spacing w:lineRule="auto" w:line="360" w:before="0" w:after="0"/>
        <w:ind w:hanging="0"/>
        <w:jc w:val="both"/>
        <w:rPr/>
      </w:pPr>
      <w:r>
        <w:rPr>
          <w:rFonts w:eastAsia="Times New Roman"/>
          <w:b w:val="false"/>
          <w:i w:val="false"/>
          <w:sz w:val="24"/>
        </w:rPr>
        <w:t>O título definitivo deverá ser confirmado com o orientador. A formulação atual privilegia os termos “descontinuidade”, “Determinantes Sociais da Saúde”, “aprendizado de máquina” e “índice de vulnerabilidade”, evitando conotação diagnóstica ou clínica não sustentada.</w:t>
      </w:r>
    </w:p>
    <w:sectPr>
      <w:headerReference w:type="even" r:id="rId2"/>
      <w:headerReference w:type="default" r:id="rId3"/>
      <w:headerReference w:type="first" r:id="rId4"/>
      <w:type w:val="nextPage"/>
      <w:pgSz w:w="11906" w:h="16838"/>
      <w:pgMar w:left="1701" w:right="1134" w:gutter="0" w:header="709" w:top="1701" w:footer="0" w:bottom="1134"/>
      <w:pgNumType w:start="1"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mbria"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Courier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Courier New">
    <w:charset w:val="01" w:characterSet="utf-8"/>
    <w:family w:val="roman"/>
    <w:pitch w:val="variable"/>
  </w:font>
  <w:font w:name="Symbol">
    <w:charset w:val="02"/>
    <w:family w:val="auto"/>
    <w:pitch w:val="default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0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30</w:t>
    </w:r>
    <w:r>
      <w:rPr/>
      <w:fldChar w:fldCharType="end"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0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30</w:t>
    </w:r>
    <w:r>
      <w:rPr/>
      <w:fldChar w:fldCharType="end"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start"/>
    </w:pPr>
    <w:rPr>
      <w:rFonts w:ascii="Times New Roman" w:hAnsi="Times New Roman" w:eastAsia="ＭＳ 明朝" w:cs="" w:cstheme="minorBidi" w:eastAsiaTheme="minorEastAsia"/>
      <w:color w:val="auto"/>
      <w:kern w:val="0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lineRule="auto" w:line="240" w:before="360" w:after="24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lineRule="auto" w:line="240" w:before="240" w:after="12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lineRule="auto" w:line="240" w:before="160" w:after="8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EditorialStatus" w:customStyle="1">
    <w:name w:val="Editorial Status"/>
    <w:qFormat/>
    <w:pPr>
      <w:widowControl/>
      <w:bidi w:val="0"/>
      <w:spacing w:lineRule="auto" w:line="240" w:before="80" w:after="160"/>
      <w:ind w:start="227" w:end="227"/>
      <w:jc w:val="start"/>
    </w:pPr>
    <w:rPr>
      <w:rFonts w:ascii="Times New Roman" w:hAnsi="Times New Roman" w:eastAsia="ＭＳ 明朝" w:cs="" w:cstheme="minorBidi" w:eastAsiaTheme="minorEastAsia"/>
      <w:i/>
      <w:color w:val="auto"/>
      <w:kern w:val="0"/>
      <w:sz w:val="20"/>
      <w:szCs w:val="22"/>
      <w:lang w:val="en-US" w:eastAsia="en-US" w:bidi="ar-SA"/>
    </w:rPr>
  </w:style>
  <w:style w:type="paragraph" w:styleId="CodeBlock" w:customStyle="1">
    <w:name w:val="Code Block"/>
    <w:qFormat/>
    <w:pPr>
      <w:widowControl/>
      <w:bidi w:val="0"/>
      <w:spacing w:lineRule="auto" w:line="240" w:before="80" w:after="120"/>
      <w:ind w:start="283" w:end="283"/>
      <w:jc w:val="start"/>
    </w:pPr>
    <w:rPr>
      <w:rFonts w:ascii="Courier New" w:hAnsi="Courier New" w:eastAsia="ＭＳ 明朝" w:cs="" w:cstheme="minorBidi" w:eastAsiaTheme="minorEastAsia"/>
      <w:color w:val="auto"/>
      <w:kern w:val="0"/>
      <w:sz w:val="18"/>
      <w:szCs w:val="22"/>
      <w:lang w:val="en-US" w:eastAsia="en-US" w:bidi="ar-SA"/>
    </w:rPr>
  </w:style>
  <w:style w:type="paragraph" w:styleId="ReferenceEntry" w:customStyle="1">
    <w:name w:val="Reference Entry"/>
    <w:qFormat/>
    <w:pPr>
      <w:widowControl/>
      <w:bidi w:val="0"/>
      <w:spacing w:lineRule="auto" w:line="240" w:before="0" w:after="240"/>
      <w:ind w:hanging="0"/>
      <w:jc w:val="start"/>
    </w:pPr>
    <w:rPr>
      <w:rFonts w:ascii="Times New Roman" w:hAnsi="Times New Roman" w:eastAsia="ＭＳ 明朝" w:cs="" w:cstheme="minorBidi" w:eastAsiaTheme="minorEastAsia"/>
      <w:color w:val="auto"/>
      <w:kern w:val="0"/>
      <w:sz w:val="24"/>
      <w:szCs w:val="22"/>
      <w:lang w:val="en-US" w:eastAsia="en-US" w:bidi="ar-SA"/>
    </w:rPr>
  </w:style>
  <w:style w:type="paragraph" w:styleId="TOC1">
    <w:name w:val="toc 1"/>
    <w:basedOn w:val="Index"/>
    <w:pPr>
      <w:tabs>
        <w:tab w:val="clear" w:pos="720"/>
        <w:tab w:val="right" w:pos="9071" w:leader="dot"/>
      </w:tabs>
      <w:ind w:hanging="0" w:start="0"/>
    </w:pPr>
    <w:rPr/>
  </w:style>
  <w:style w:type="paragraph" w:styleId="TOC2">
    <w:name w:val="toc 2"/>
    <w:basedOn w:val="Index"/>
    <w:pPr>
      <w:tabs>
        <w:tab w:val="clear" w:pos="720"/>
        <w:tab w:val="right" w:pos="8788" w:leader="dot"/>
      </w:tabs>
      <w:ind w:hanging="0" w:start="283"/>
    </w:pPr>
    <w:rPr/>
  </w:style>
  <w:style w:type="paragraph" w:styleId="TOC3">
    <w:name w:val="toc 3"/>
    <w:basedOn w:val="Index"/>
    <w:pPr>
      <w:tabs>
        <w:tab w:val="clear" w:pos="720"/>
        <w:tab w:val="right" w:pos="8504" w:leader="dot"/>
      </w:tabs>
      <w:ind w:hanging="0" w:start="567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LibreOffice/25.2.3.2$Linux_X86_64 LibreOffice_project/520$Build-2</Application>
  <AppVersion>15.0000</AppVersion>
  <Pages>40</Pages>
  <Words>8004</Words>
  <Characters>48258</Characters>
  <CharactersWithSpaces>56038</CharactersWithSpaces>
  <Paragraphs>471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Antônio Hárliton Martins de Souza</dc:creator>
  <dc:description>Documento mestre de trabalho. Capítulo 1 congelado; capítulos 2–6 em evolução sincronizada com o projeto.</dc:description>
  <dc:language>en-US</dc:language>
  <cp:lastModifiedBy/>
  <dcterms:modified xsi:type="dcterms:W3CDTF">2026-08-25T04:58:04Z</dcterms:modified>
  <cp:revision>2</cp:revision>
  <dc:subject>Trabalho de Conclusão de Curso – Engenharia de Software – IFAM Campus Manaus Zona Leste</dc:subject>
  <dc:title>TCC2 – Estimativa da propensão à descontinuidade do acompanhamento pré-natal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