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AAD2F1" w14:textId="77777777" w:rsidR="00E62C65" w:rsidRDefault="00474360">
      <w:pPr>
        <w:spacing w:after="0"/>
        <w:jc w:val="center"/>
      </w:pPr>
      <w:r>
        <w:rPr>
          <w:rFonts w:eastAsia="Times New Roman"/>
          <w:b/>
        </w:rPr>
        <w:t>INSTITUTO FEDERAL DE EDUCAÇÃO, CIÊNCIA E TECNOLOGIA DO AMAZONAS</w:t>
      </w:r>
    </w:p>
    <w:p w14:paraId="106B126A" w14:textId="77777777" w:rsidR="00E62C65" w:rsidRDefault="00474360">
      <w:pPr>
        <w:spacing w:after="0"/>
        <w:jc w:val="center"/>
      </w:pPr>
      <w:r>
        <w:rPr>
          <w:rFonts w:eastAsia="Times New Roman"/>
          <w:b/>
        </w:rPr>
        <w:t>CAMPUS MANAUS ZONA LESTE</w:t>
      </w:r>
    </w:p>
    <w:p w14:paraId="76AE1C16" w14:textId="77777777" w:rsidR="00E62C65" w:rsidRDefault="00474360">
      <w:pPr>
        <w:spacing w:after="0"/>
        <w:jc w:val="center"/>
      </w:pPr>
      <w:r>
        <w:rPr>
          <w:rFonts w:eastAsia="Times New Roman"/>
          <w:b/>
        </w:rPr>
        <w:t>BACHARELADO EM ENGENHARIA DE SOFTWARE</w:t>
      </w:r>
    </w:p>
    <w:p w14:paraId="10785EF2" w14:textId="77777777" w:rsidR="00E62C65" w:rsidRDefault="00E62C65"/>
    <w:p w14:paraId="74DF3391" w14:textId="77777777" w:rsidR="00E62C65" w:rsidRDefault="00E62C65"/>
    <w:p w14:paraId="31CA30B9" w14:textId="77777777" w:rsidR="00E62C65" w:rsidRDefault="00E62C65"/>
    <w:p w14:paraId="34BBE42D" w14:textId="77777777" w:rsidR="00E62C65" w:rsidRDefault="00E62C65"/>
    <w:p w14:paraId="272D6A51" w14:textId="77777777" w:rsidR="00E62C65" w:rsidRDefault="00474360">
      <w:pPr>
        <w:spacing w:after="0"/>
        <w:jc w:val="center"/>
      </w:pPr>
      <w:r>
        <w:rPr>
          <w:rFonts w:eastAsia="Times New Roman"/>
          <w:b/>
        </w:rPr>
        <w:t>ANTÔNIO HÁRLITON MARTINS DE SOUZA</w:t>
      </w:r>
    </w:p>
    <w:p w14:paraId="14546258" w14:textId="77777777" w:rsidR="00E62C65" w:rsidRDefault="00E62C65"/>
    <w:p w14:paraId="044D974C" w14:textId="77777777" w:rsidR="00E62C65" w:rsidRDefault="00E62C65"/>
    <w:p w14:paraId="2FB20378" w14:textId="77777777" w:rsidR="00E62C65" w:rsidRDefault="00E62C65"/>
    <w:p w14:paraId="5B3BE9A9" w14:textId="77777777" w:rsidR="00E62C65" w:rsidRDefault="00E62C65"/>
    <w:p w14:paraId="247FD4C8" w14:textId="77777777" w:rsidR="00E62C65" w:rsidRDefault="00474360">
      <w:pPr>
        <w:spacing w:after="0"/>
        <w:jc w:val="center"/>
      </w:pPr>
      <w:r>
        <w:rPr>
          <w:rFonts w:eastAsia="Times New Roman"/>
          <w:b/>
          <w:sz w:val="28"/>
        </w:rPr>
        <w:t>Estimativa da propensão à descontinuidade do acompanhamento pré-natal a partir dos Determinantes Sociais da Saúde: uma abordagem com aprendizado de máquina e um índice de vulnerabilidade</w:t>
      </w:r>
    </w:p>
    <w:p w14:paraId="5712D512" w14:textId="77777777" w:rsidR="00E62C65" w:rsidRDefault="00E62C65"/>
    <w:p w14:paraId="0884FA45" w14:textId="77777777" w:rsidR="00E62C65" w:rsidRDefault="00E62C65"/>
    <w:p w14:paraId="7081DDAA" w14:textId="77777777" w:rsidR="00E62C65" w:rsidRDefault="00E62C65"/>
    <w:p w14:paraId="4121B03A" w14:textId="77777777" w:rsidR="00E62C65" w:rsidRDefault="00E62C65"/>
    <w:p w14:paraId="44728972" w14:textId="77777777" w:rsidR="00E62C65" w:rsidRDefault="00E62C65"/>
    <w:p w14:paraId="790FB539" w14:textId="77777777" w:rsidR="00E62C65" w:rsidRDefault="00E62C65"/>
    <w:p w14:paraId="6AA8519A" w14:textId="77777777" w:rsidR="00E62C65" w:rsidRDefault="00474360">
      <w:pPr>
        <w:spacing w:after="0"/>
        <w:jc w:val="center"/>
      </w:pPr>
      <w:r>
        <w:rPr>
          <w:rFonts w:eastAsia="Times New Roman"/>
          <w:b/>
        </w:rPr>
        <w:t>MANAUS – AM</w:t>
      </w:r>
    </w:p>
    <w:p w14:paraId="564F7190" w14:textId="77777777" w:rsidR="00E62C65" w:rsidRDefault="00474360">
      <w:pPr>
        <w:spacing w:after="0"/>
        <w:jc w:val="center"/>
      </w:pPr>
      <w:r>
        <w:rPr>
          <w:rFonts w:eastAsia="Times New Roman"/>
          <w:b/>
        </w:rPr>
        <w:t>2026</w:t>
      </w:r>
    </w:p>
    <w:p w14:paraId="40C47B60" w14:textId="77777777" w:rsidR="00E62C65" w:rsidRDefault="00474360">
      <w:r>
        <w:br w:type="page"/>
      </w:r>
    </w:p>
    <w:p w14:paraId="4CBDF874" w14:textId="77777777" w:rsidR="00E62C65" w:rsidRDefault="00474360">
      <w:pPr>
        <w:spacing w:after="0"/>
        <w:jc w:val="center"/>
      </w:pPr>
      <w:r>
        <w:rPr>
          <w:rFonts w:eastAsia="Times New Roman"/>
          <w:b/>
        </w:rPr>
        <w:lastRenderedPageBreak/>
        <w:t>ANTÔNIO HÁRLITON MARTINS DE SOUZA</w:t>
      </w:r>
    </w:p>
    <w:p w14:paraId="2EF1472B" w14:textId="77777777" w:rsidR="00E62C65" w:rsidRDefault="00E62C65"/>
    <w:p w14:paraId="79440BF8" w14:textId="77777777" w:rsidR="00E62C65" w:rsidRDefault="00E62C65"/>
    <w:p w14:paraId="428C10A5" w14:textId="77777777" w:rsidR="00E62C65" w:rsidRDefault="00E62C65"/>
    <w:p w14:paraId="126764FB" w14:textId="77777777" w:rsidR="00E62C65" w:rsidRDefault="00E62C65"/>
    <w:p w14:paraId="2399BF43" w14:textId="77777777" w:rsidR="00E62C65" w:rsidRDefault="00474360">
      <w:pPr>
        <w:spacing w:after="0"/>
        <w:jc w:val="center"/>
      </w:pPr>
      <w:r>
        <w:rPr>
          <w:rFonts w:eastAsia="Times New Roman"/>
          <w:b/>
          <w:sz w:val="28"/>
        </w:rPr>
        <w:t>Estimativa da propensão à descontinuidade do acompanhamento pré-natal a partir dos Determinantes Sociais da Saúde: uma abordagem com aprendizado de máquina e um índice de vulnerabilidade</w:t>
      </w:r>
    </w:p>
    <w:p w14:paraId="5C4B2B27" w14:textId="77777777" w:rsidR="00E62C65" w:rsidRDefault="00E62C65"/>
    <w:p w14:paraId="4AC371C0" w14:textId="77777777" w:rsidR="00E62C65" w:rsidRDefault="00E62C65"/>
    <w:p w14:paraId="46EFB2E2" w14:textId="77777777" w:rsidR="00E62C65" w:rsidRDefault="00E62C65"/>
    <w:p w14:paraId="74AE63A9" w14:textId="77777777" w:rsidR="00E62C65" w:rsidRDefault="00474360">
      <w:pPr>
        <w:spacing w:line="240" w:lineRule="auto"/>
        <w:ind w:left="4535"/>
        <w:jc w:val="both"/>
      </w:pPr>
      <w:r>
        <w:rPr>
          <w:rFonts w:eastAsia="Times New Roman"/>
        </w:rPr>
        <w:t>Trabalho de Conclusão de Curso apresentado ao Curso de Bacharelado em Engenharia de Software do Instituto Federal de Educação, Ciência e Tecnologia do Amazonas – Campus Manaus Zona Leste, como requisito parcial para obtenção do título de Bacharel em Engenharia de Software.</w:t>
      </w:r>
    </w:p>
    <w:p w14:paraId="6132493F" w14:textId="77777777" w:rsidR="00E62C65" w:rsidRDefault="00474360">
      <w:pPr>
        <w:spacing w:line="240" w:lineRule="auto"/>
        <w:ind w:left="4535"/>
      </w:pPr>
      <w:r>
        <w:rPr>
          <w:rFonts w:eastAsia="Times New Roman"/>
        </w:rPr>
        <w:t>Orientador: Prof. Mestre Benevaldo Pereira Gonçalves.</w:t>
      </w:r>
    </w:p>
    <w:p w14:paraId="6130E3A8" w14:textId="77777777" w:rsidR="00E62C65" w:rsidRDefault="00E62C65"/>
    <w:p w14:paraId="2B9A81D8" w14:textId="77777777" w:rsidR="00E62C65" w:rsidRDefault="00E62C65"/>
    <w:p w14:paraId="6173FED4" w14:textId="77777777" w:rsidR="00E62C65" w:rsidRDefault="00E62C65"/>
    <w:p w14:paraId="3A03F02B" w14:textId="77777777" w:rsidR="00E62C65" w:rsidRDefault="00E62C65"/>
    <w:p w14:paraId="442183B4" w14:textId="77777777" w:rsidR="00E62C65" w:rsidRDefault="00E62C65"/>
    <w:p w14:paraId="54C66150" w14:textId="77777777" w:rsidR="00E62C65" w:rsidRDefault="00474360">
      <w:pPr>
        <w:spacing w:after="0"/>
        <w:jc w:val="center"/>
      </w:pPr>
      <w:r>
        <w:rPr>
          <w:rFonts w:eastAsia="Times New Roman"/>
          <w:b/>
        </w:rPr>
        <w:t>MANAUS – AM</w:t>
      </w:r>
    </w:p>
    <w:p w14:paraId="59901A7E" w14:textId="77777777" w:rsidR="00E62C65" w:rsidRDefault="00474360">
      <w:pPr>
        <w:spacing w:after="0"/>
        <w:jc w:val="center"/>
      </w:pPr>
      <w:r>
        <w:rPr>
          <w:rFonts w:eastAsia="Times New Roman"/>
          <w:b/>
        </w:rPr>
        <w:t>2026</w:t>
      </w:r>
    </w:p>
    <w:p w14:paraId="08554B36" w14:textId="77777777" w:rsidR="00E62C65" w:rsidRDefault="00474360">
      <w:r>
        <w:br w:type="page"/>
      </w:r>
    </w:p>
    <w:p w14:paraId="4B331E9F" w14:textId="77777777" w:rsidR="00E62C65" w:rsidRDefault="00474360">
      <w:pPr>
        <w:spacing w:after="0"/>
        <w:jc w:val="center"/>
      </w:pPr>
      <w:r>
        <w:rPr>
          <w:rFonts w:eastAsia="Times New Roman"/>
          <w:b/>
        </w:rPr>
        <w:lastRenderedPageBreak/>
        <w:t>FOLHA DE APROVAÇÃO</w:t>
      </w:r>
    </w:p>
    <w:p w14:paraId="032AA8F6" w14:textId="77777777" w:rsidR="00E62C65" w:rsidRDefault="00474360">
      <w:pPr>
        <w:spacing w:after="0" w:line="360" w:lineRule="auto"/>
        <w:jc w:val="both"/>
      </w:pPr>
      <w:r>
        <w:rPr>
          <w:rFonts w:eastAsia="Times New Roman"/>
        </w:rPr>
        <w:t>ANTÔNIO HÁRLITON MARTINS DE SOUZA</w:t>
      </w:r>
    </w:p>
    <w:p w14:paraId="16A087C3" w14:textId="77777777" w:rsidR="00E62C65" w:rsidRDefault="00474360">
      <w:pPr>
        <w:spacing w:after="0" w:line="360" w:lineRule="auto"/>
        <w:jc w:val="both"/>
      </w:pPr>
      <w:r>
        <w:rPr>
          <w:rFonts w:eastAsia="Times New Roman"/>
        </w:rPr>
        <w:t>Estimativa da propensão à descontinuidade do acompanhamento pré-natal a partir dos Determinantes Sociais da Saúde: uma abordagem com aprendizado de máquina e um índice de vulnerabilidade</w:t>
      </w:r>
    </w:p>
    <w:p w14:paraId="278505A2" w14:textId="77777777" w:rsidR="00E62C65" w:rsidRDefault="00474360">
      <w:pPr>
        <w:pStyle w:val="EditorialStatus"/>
      </w:pPr>
      <w:r>
        <w:rPr>
          <w:rFonts w:eastAsia="Times New Roman"/>
        </w:rPr>
        <w:t>CONTROLE EDITORIAL — substituir esta página pela folha de aprovação oficial após a defesa, com data e composição da banca.</w:t>
      </w:r>
    </w:p>
    <w:p w14:paraId="3535CE66" w14:textId="77777777" w:rsidR="00E62C65" w:rsidRDefault="00474360">
      <w:r>
        <w:br w:type="page"/>
      </w:r>
    </w:p>
    <w:p w14:paraId="6C3C01E2" w14:textId="77777777" w:rsidR="00E62C65" w:rsidRDefault="00474360">
      <w:pPr>
        <w:spacing w:after="0"/>
        <w:jc w:val="center"/>
      </w:pPr>
      <w:r>
        <w:rPr>
          <w:rFonts w:eastAsia="Times New Roman"/>
          <w:b/>
        </w:rPr>
        <w:lastRenderedPageBreak/>
        <w:t>RESUMO</w:t>
      </w:r>
    </w:p>
    <w:p w14:paraId="55212B58" w14:textId="77777777" w:rsidR="00E62C65" w:rsidRDefault="00474360">
      <w:r>
        <w:t>A descontinuidade do acompanhamento pré-natal configura um problema relevante para a saúde materna e está associada a condições sociais e a barreiras de acesso aos serviços de saúde. Este trabalho investiga, de forma experimental, o emprego de aprendizado de máquina supervisionado sobre variáveis estruturadas dos Determinantes Sociais da Saúde (DSS) para estimar a propensão à descontinuidade do acompanhamento pré-natal, integrando essa função a um aplicativo móvel e a um Índice de Vulnerabilidade dos DSS (IV-DSS). A pesquisa foi conduzida sobre um dataset sintético reproduzível (5.000 registros, seed fixa), gerado por um modelo probabilístico próprio, sem pretensão de validade clínica ou populacional. A solução foi desenvolvida com aplicativo Flutter, backend FastAPI e um pacote de aprendizado de máquina em Python; o domínio de acompanhamento foi modelado com as entidades GESTANTE, GESTAÇÃO e HISTÓRICO OBSTÉTRICO, persistidas em PostgreSQL, com controle de propriedade dos dados e regra de gestação ativa única. Três classificadores — regressão logística, Random Forest e XGBoost — foram comparados por validação cruzada, e o Random Forest foi selecionado pela PR-AUC média. Complementarmente, o estudo realizou uma análise exploratória não supervisionada por meio de Self-Organizing Map (SOM), identificando agrupamentos exploratórios de registros com características DSS semelhantes. O desempenho permaneceu limitado (ROC-AUC ≈ 0,62; PR-AUC ≈ 0,34; recall zero no limiar 0,5), o que, somado à natureza sintética dos dados, impede leitura de capacidade preditiva validada. A integração Flutter → API → ML foi validada de ponta a ponta, e a suíte de testes da API encerrou com 323 testes aprovados. Os resultados evidenciam a consolidação de um pipeline experimental reproduzível — contrato de dados, geração controlada, protocolo de treinamento/validação, métricas para desbalanceamento e integração de software — como base metodológica a ser estendida a dados reais sob os devidos requisitos éticos.</w:t>
      </w:r>
    </w:p>
    <w:p w14:paraId="7488ACB3" w14:textId="77777777" w:rsidR="00E62C65" w:rsidRDefault="00474360">
      <w:pPr>
        <w:spacing w:after="0" w:line="360" w:lineRule="auto"/>
        <w:jc w:val="both"/>
      </w:pPr>
      <w:r>
        <w:rPr>
          <w:rFonts w:eastAsia="Times New Roman"/>
        </w:rPr>
        <w:t>Palavras-chave: pré-natal; determinantes sociais da saúde; aprendizado de máquina; dados sintéticos; saúde digital.</w:t>
      </w:r>
    </w:p>
    <w:p w14:paraId="3A565826" w14:textId="77777777" w:rsidR="00E62C65" w:rsidRDefault="00474360">
      <w:r>
        <w:br w:type="page"/>
      </w:r>
    </w:p>
    <w:p w14:paraId="1D806CDE" w14:textId="77777777" w:rsidR="00E62C65" w:rsidRDefault="00474360">
      <w:pPr>
        <w:spacing w:after="0"/>
        <w:jc w:val="center"/>
      </w:pPr>
      <w:r>
        <w:rPr>
          <w:rFonts w:eastAsia="Times New Roman"/>
          <w:b/>
        </w:rPr>
        <w:lastRenderedPageBreak/>
        <w:t>ABSTRACT</w:t>
      </w:r>
    </w:p>
    <w:p w14:paraId="62DD49ED" w14:textId="77777777" w:rsidR="00E62C65" w:rsidRDefault="00474360">
      <w:r>
        <w:t>Discontinuation of prenatal care constitutes a relevant problem for maternal health and is associated with social conditions and barriers to accessing health services. This work experimentally investigates the use of supervised machine learning over structured Social Determinants of Health (SDH) variables to estimate the propensity toward discontinuation of prenatal care, integrating this function into a mobile application and into an SDH Vulnerability Index (IV-DSS). The study was conducted on a reproducible synthetic dataset (5,000 records, fixed seed), generated by a custom probabilistic model, without any claim of clinical or population validity. The solution was developed with a Flutter application, a FastAPI backend, and a Python machine-learning package; the follow-up domain was modeled with the GESTANTE, GESTAÇÃO and HISTÓRICO OBSTÉTRICO entities, persisted in PostgreSQL, with data-ownership control and a single-active-pregnancy rule. Three classifiers — logistic regression, Random Forest, and XGBoost — were compared through cross-validation, and Random Forest was selected by mean PR-AUC. Complementarily, the study carried out an unsupervised exploratory analysis using a Self-Organizing Map (SOM), identifying exploratory groupings of records with similar SDH characteristics. Performance remained limited (ROC-AUC ≈ 0.62; PR-AUC ≈ 0.34; zero recall at the 0.5 threshold), which, together with the synthetic nature of the data, precludes any claim of validated predictive capacity. The Flutter → API → ML integration was validated end-to-end, and the API test suite ended with 323 passing tests. The results evidence the consolidation of a reproducible experimental pipeline — data contract, controlled generation, training/validation protocol, imbalance metrics, and software integration — as a methodological basis to be extended to real data under the appropriate ethical requirements.</w:t>
      </w:r>
    </w:p>
    <w:p w14:paraId="5E69FBA9" w14:textId="77777777" w:rsidR="00E62C65" w:rsidRDefault="00474360">
      <w:pPr>
        <w:spacing w:after="0" w:line="360" w:lineRule="auto"/>
        <w:jc w:val="both"/>
      </w:pPr>
      <w:r>
        <w:rPr>
          <w:rFonts w:eastAsia="Times New Roman"/>
        </w:rPr>
        <w:t>Keywords: prenatal care; social determinants of health; machine learning; synthetic data; digital health.</w:t>
      </w:r>
    </w:p>
    <w:p w14:paraId="22E8782F" w14:textId="77777777" w:rsidR="00E62C65" w:rsidRDefault="00474360">
      <w:r>
        <w:br w:type="page"/>
      </w:r>
    </w:p>
    <w:p w14:paraId="4B576B3B" w14:textId="77777777" w:rsidR="00114E20" w:rsidRDefault="00D41E34">
      <w:r>
        <w:lastRenderedPageBreak/>
        <w:t>LISTA DE FIGURAS</w:t>
      </w:r>
    </w:p>
    <w:p w14:paraId="73B98D33" w14:textId="77777777" w:rsidR="00114E20" w:rsidRDefault="00D41E34">
      <w:pPr>
        <w:jc w:val="both"/>
      </w:pPr>
      <w:r>
        <w:t>Figura 1 — Modelo de determinantes sociais da saúde em camadas (Dahlgren e Whitehead)</w:t>
      </w:r>
    </w:p>
    <w:p w14:paraId="306AC468" w14:textId="77777777" w:rsidR="00CD492F" w:rsidRDefault="0059251A">
      <w:r>
        <w:rPr>
          <w:rFonts w:eastAsia="Times New Roman" w:cs="Times New Roman"/>
        </w:rPr>
        <w:t>Figura 2 — Conceito didático de um Self-Organizing Map aplicado às características dos DSS</w:t>
      </w:r>
    </w:p>
    <w:p w14:paraId="0AFD8C65" w14:textId="77777777" w:rsidR="00114E20" w:rsidRDefault="00D41E34">
      <w:pPr>
        <w:jc w:val="both"/>
      </w:pPr>
      <w:r>
        <w:t>Figura 3 — Estrutura em três níveis de agregação do IV-DSS</w:t>
      </w:r>
    </w:p>
    <w:p w14:paraId="3BFFC486" w14:textId="77777777" w:rsidR="00114E20" w:rsidRDefault="00D41E34">
      <w:pPr>
        <w:jc w:val="both"/>
      </w:pPr>
      <w:r>
        <w:t>Figura 4 — Modelo gerador de dados sintéticos (DGM): do questionário ao desfecho Bernoulli</w:t>
      </w:r>
    </w:p>
    <w:p w14:paraId="5E232D9B" w14:textId="77777777" w:rsidR="00CD492F" w:rsidRDefault="0059251A">
      <w:r>
        <w:rPr>
          <w:rFonts w:eastAsia="Times New Roman" w:cs="Times New Roman"/>
        </w:rPr>
        <w:t>Figura 5 — Fluxo integrado do experimento: SOM, IV-DSS e Random Forest como leituras complementares</w:t>
      </w:r>
    </w:p>
    <w:p w14:paraId="069986DA" w14:textId="77777777" w:rsidR="00114E20" w:rsidRDefault="00D41E34">
      <w:pPr>
        <w:jc w:val="both"/>
      </w:pPr>
      <w:r>
        <w:t>Figura 6 — Arquitetura geral da solução (Flutter → FastAPI → ML e persistência)</w:t>
      </w:r>
    </w:p>
    <w:p w14:paraId="4AD7101E" w14:textId="77777777" w:rsidR="00114E20" w:rsidRDefault="00D41E34">
      <w:pPr>
        <w:jc w:val="both"/>
      </w:pPr>
      <w:r>
        <w:t>Figura 7 — Diagrama entidade-relacionamento do domínio de acompanhamento (USER → GESTANTE → HISTÓRICO OBSTÉTRICO e GESTAÇÃO)</w:t>
      </w:r>
    </w:p>
    <w:p w14:paraId="37922E35" w14:textId="77777777" w:rsidR="00114E20" w:rsidRDefault="00D41E34">
      <w:pPr>
        <w:jc w:val="both"/>
      </w:pPr>
      <w:r>
        <w:t>Figura 8 — Comparação da PR-AUC média (validação cruzada 5-fold) entre os três modelos</w:t>
      </w:r>
    </w:p>
    <w:p w14:paraId="7E0382E3" w14:textId="77777777" w:rsidR="00114E20" w:rsidRDefault="00D41E34">
      <w:pPr>
        <w:jc w:val="both"/>
      </w:pPr>
      <w:r>
        <w:t>Figura 9 — Matriz de confusão no limiar de referência 0,5 (Random Forest, conjunto de teste)</w:t>
      </w:r>
    </w:p>
    <w:p w14:paraId="67C14449" w14:textId="77777777" w:rsidR="00114E20" w:rsidRDefault="00D41E34">
      <w:pPr>
        <w:jc w:val="both"/>
      </w:pPr>
      <w:r>
        <w:t>Figura 10 — Importância por permutação (PR-AUC, out-of-fold) das 15 variáveis de maior impacto</w:t>
      </w:r>
    </w:p>
    <w:p w14:paraId="7C658E3D" w14:textId="77777777" w:rsidR="00114E20" w:rsidRDefault="00D41E34">
      <w:pPr>
        <w:jc w:val="both"/>
      </w:pPr>
      <w:r>
        <w:t>Figura 11 — Cobertura do IV-DSS no dataset sintético</w:t>
      </w:r>
    </w:p>
    <w:p w14:paraId="5F0EC5AD" w14:textId="77777777" w:rsidR="00CD492F" w:rsidRDefault="0059251A">
      <w:r>
        <w:rPr>
          <w:rFonts w:eastAsia="Times New Roman" w:cs="Times New Roman"/>
        </w:rPr>
        <w:t>Figura 12 — Coeficiente de Silhouette segundo o número de agrupamentos</w:t>
      </w:r>
    </w:p>
    <w:p w14:paraId="54C26014" w14:textId="77777777" w:rsidR="00CD492F" w:rsidRDefault="0059251A">
      <w:r>
        <w:rPr>
          <w:rFonts w:eastAsia="Times New Roman" w:cs="Times New Roman"/>
        </w:rPr>
        <w:t xml:space="preserve">Figura 13 — Matriz unificada de distâncias do mapa </w:t>
      </w:r>
      <w:r>
        <w:rPr>
          <w:rFonts w:eastAsia="Times New Roman" w:cs="Times New Roman"/>
        </w:rPr>
        <w:t>auto-organizável</w:t>
      </w:r>
    </w:p>
    <w:p w14:paraId="3FECBE20" w14:textId="77777777" w:rsidR="00CD492F" w:rsidRDefault="0059251A">
      <w:r>
        <w:rPr>
          <w:rFonts w:eastAsia="Times New Roman" w:cs="Times New Roman"/>
        </w:rPr>
        <w:t>Figura 14 — Mapa de grupos da grade 10×10 após K-means (k = 2)</w:t>
      </w:r>
    </w:p>
    <w:p w14:paraId="7846A9D0" w14:textId="77777777" w:rsidR="00CD492F" w:rsidRDefault="0059251A">
      <w:r>
        <w:rPr>
          <w:rFonts w:eastAsia="Times New Roman" w:cs="Times New Roman"/>
        </w:rPr>
        <w:t>Figura 15 — Projeção bidimensional dos registros do holdout segundo os agrupamentos identificados pelo SOM</w:t>
      </w:r>
    </w:p>
    <w:p w14:paraId="49ED88BF" w14:textId="77777777" w:rsidR="00CD492F" w:rsidRDefault="0059251A">
      <w:r>
        <w:rPr>
          <w:rFonts w:eastAsia="Times New Roman" w:cs="Times New Roman"/>
        </w:rPr>
        <w:t>Figura 16 — Distribuição do IV-DSS por grupo SOM</w:t>
      </w:r>
    </w:p>
    <w:p w14:paraId="38A3EEB7" w14:textId="77777777" w:rsidR="00CD492F" w:rsidRDefault="0059251A">
      <w:r>
        <w:rPr>
          <w:rFonts w:eastAsia="Times New Roman" w:cs="Times New Roman"/>
        </w:rPr>
        <w:t>Figura 17 — Distribuição da probabilidade do Random Forest por grupo SOM</w:t>
      </w:r>
    </w:p>
    <w:p w14:paraId="0409A878" w14:textId="77777777" w:rsidR="00CD492F" w:rsidRDefault="0059251A">
      <w:r>
        <w:rPr>
          <w:rFonts w:eastAsia="Times New Roman" w:cs="Times New Roman"/>
        </w:rPr>
        <w:t>Figura 18 — Proporção da variável-alvo sintética positiva por grupo SOM</w:t>
      </w:r>
    </w:p>
    <w:p w14:paraId="0190A9BD" w14:textId="77777777" w:rsidR="00E62C65" w:rsidRDefault="00474360">
      <w:pPr>
        <w:spacing w:after="0"/>
        <w:jc w:val="center"/>
      </w:pPr>
      <w:r>
        <w:rPr>
          <w:rFonts w:eastAsia="Times New Roman"/>
          <w:b/>
        </w:rPr>
        <w:t>LISTA DE TABELAS</w:t>
      </w:r>
    </w:p>
    <w:p w14:paraId="25CC563C" w14:textId="77777777" w:rsidR="00E62C65" w:rsidRDefault="00474360">
      <w:pPr>
        <w:spacing w:after="0" w:line="360" w:lineRule="auto"/>
        <w:jc w:val="both"/>
      </w:pPr>
      <w:r>
        <w:t>Tabela 1 – Questionário DSS: seis dimensões e variáveis por dimensão</w:t>
      </w:r>
    </w:p>
    <w:p w14:paraId="2B14F379" w14:textId="77777777" w:rsidR="004E587F" w:rsidRDefault="00D46B31">
      <w:pPr>
        <w:jc w:val="both"/>
      </w:pPr>
      <w:r>
        <w:t>Tabela 2 – Amostra do conjunto de dados sintético utilizado no experimento</w:t>
      </w:r>
    </w:p>
    <w:p w14:paraId="5DCD265C" w14:textId="77777777" w:rsidR="00E62C65" w:rsidRDefault="00474360">
      <w:pPr>
        <w:spacing w:after="0" w:line="360" w:lineRule="auto"/>
        <w:jc w:val="both"/>
      </w:pPr>
      <w:r>
        <w:t>Tabela 3 – Configuração do dataset sintético experimental</w:t>
      </w:r>
    </w:p>
    <w:p w14:paraId="22457EDD" w14:textId="77777777" w:rsidR="00E62C65" w:rsidRDefault="00474360">
      <w:pPr>
        <w:spacing w:after="0" w:line="360" w:lineRule="auto"/>
        <w:jc w:val="both"/>
      </w:pPr>
      <w:r>
        <w:t>Tabela 4 – Comparação dos modelos na validação cruzada</w:t>
      </w:r>
    </w:p>
    <w:p w14:paraId="5F20A193" w14:textId="77777777" w:rsidR="00E62C65" w:rsidRDefault="00474360">
      <w:pPr>
        <w:spacing w:after="0" w:line="360" w:lineRule="auto"/>
        <w:jc w:val="both"/>
      </w:pPr>
      <w:r>
        <w:lastRenderedPageBreak/>
        <w:t>Tabela 5 – Desempenho do modelo selecionado no conjunto hold-out</w:t>
      </w:r>
    </w:p>
    <w:p w14:paraId="01E37493" w14:textId="77777777" w:rsidR="00114E20" w:rsidRDefault="00D41E34">
      <w:pPr>
        <w:jc w:val="both"/>
      </w:pPr>
      <w:r>
        <w:t>Tabela 6 – Matriz de confusão no limiar de referência 0,5</w:t>
      </w:r>
    </w:p>
    <w:p w14:paraId="0DFBDBA9" w14:textId="77777777" w:rsidR="00114E20" w:rsidRDefault="00D41E34">
      <w:pPr>
        <w:jc w:val="both"/>
      </w:pPr>
      <w:r>
        <w:t>Tabela 7 – Indicadores de calibração e estabilidade (OOF) e Brier hold-out</w:t>
      </w:r>
    </w:p>
    <w:p w14:paraId="122694FA" w14:textId="77777777" w:rsidR="00114E20" w:rsidRDefault="00D41E34">
      <w:pPr>
        <w:jc w:val="both"/>
      </w:pPr>
      <w:r>
        <w:t>Tabela 8 – Cobertura do IV-DSS no dataset sintético</w:t>
      </w:r>
    </w:p>
    <w:p w14:paraId="6D2DF63C" w14:textId="77777777" w:rsidR="00CD492F" w:rsidRDefault="0059251A">
      <w:r>
        <w:rPr>
          <w:rFonts w:eastAsia="Times New Roman" w:cs="Times New Roman"/>
        </w:rPr>
        <w:t>Tabela 9 – Coeficiente de Silhouette segundo o número de agrupamentos</w:t>
      </w:r>
    </w:p>
    <w:p w14:paraId="174C5D93" w14:textId="77777777" w:rsidR="00CD492F" w:rsidRDefault="0059251A">
      <w:r>
        <w:rPr>
          <w:rFonts w:eastAsia="Times New Roman" w:cs="Times New Roman"/>
        </w:rPr>
        <w:t xml:space="preserve">Tabela 10 – Resumo dos grupos </w:t>
      </w:r>
      <w:r>
        <w:rPr>
          <w:rFonts w:eastAsia="Times New Roman" w:cs="Times New Roman"/>
        </w:rPr>
        <w:t>identificados pelo SOM (holdout, n = 1.000)</w:t>
      </w:r>
    </w:p>
    <w:p w14:paraId="67AE9AF4" w14:textId="77777777" w:rsidR="00E62C65" w:rsidRDefault="00474360">
      <w:pPr>
        <w:jc w:val="center"/>
      </w:pPr>
      <w:r>
        <w:rPr>
          <w:b/>
          <w:szCs w:val="24"/>
        </w:rPr>
        <w:t>LISTA DE QUADROS</w:t>
      </w:r>
    </w:p>
    <w:p w14:paraId="307B7894" w14:textId="77777777" w:rsidR="00E62C65" w:rsidRDefault="00474360">
      <w:pPr>
        <w:jc w:val="both"/>
      </w:pPr>
      <w:r>
        <w:t>Quadro 1 – Síntese comparativa dos trabalhos relacionados</w:t>
      </w:r>
    </w:p>
    <w:p w14:paraId="0BCD9BDD" w14:textId="77777777" w:rsidR="00E62C65" w:rsidRDefault="00474360">
      <w:pPr>
        <w:jc w:val="both"/>
      </w:pPr>
      <w:r>
        <w:t>Quadro 2 – Classificação consolidada das 48 variáveis do questionário</w:t>
      </w:r>
    </w:p>
    <w:p w14:paraId="69E11572" w14:textId="77777777" w:rsidR="00114E20" w:rsidRDefault="00D41E34">
      <w:pPr>
        <w:jc w:val="both"/>
      </w:pPr>
      <w:r>
        <w:t>Quadro 3 – Componentes tecnológicos da infraestrutura de persistência do backend</w:t>
      </w:r>
    </w:p>
    <w:p w14:paraId="7B009E09" w14:textId="77777777" w:rsidR="00E62C65" w:rsidRDefault="00474360">
      <w:pPr>
        <w:spacing w:after="0"/>
        <w:jc w:val="center"/>
      </w:pPr>
      <w:r>
        <w:rPr>
          <w:rFonts w:eastAsia="Times New Roman"/>
          <w:b/>
        </w:rPr>
        <w:t>LISTA DE ABREVIATURAS E SIGLAS</w:t>
      </w:r>
    </w:p>
    <w:tbl>
      <w:tblPr>
        <w:tblStyle w:val="Tabelacomgrade"/>
        <w:tblW w:w="9070" w:type="dxa"/>
        <w:jc w:val="center"/>
        <w:tblLayout w:type="fixed"/>
        <w:tblCellMar>
          <w:top w:w="80" w:type="dxa"/>
          <w:left w:w="80" w:type="dxa"/>
          <w:bottom w:w="80" w:type="dxa"/>
          <w:right w:w="80" w:type="dxa"/>
        </w:tblCellMar>
        <w:tblLook w:val="04A0" w:firstRow="1" w:lastRow="0" w:firstColumn="1" w:lastColumn="0" w:noHBand="0" w:noVBand="1"/>
      </w:tblPr>
      <w:tblGrid>
        <w:gridCol w:w="4536"/>
        <w:gridCol w:w="4534"/>
      </w:tblGrid>
      <w:tr w:rsidR="00E62C65" w14:paraId="7E5539EB" w14:textId="77777777">
        <w:trPr>
          <w:tblHeader/>
          <w:jc w:val="center"/>
        </w:trPr>
        <w:tc>
          <w:tcPr>
            <w:tcW w:w="4535" w:type="dxa"/>
          </w:tcPr>
          <w:p w14:paraId="61BBC77D" w14:textId="77777777" w:rsidR="00E62C65" w:rsidRDefault="00474360">
            <w:pPr>
              <w:spacing w:after="0" w:line="240" w:lineRule="auto"/>
              <w:rPr>
                <w:rFonts w:eastAsia="MS Mincho"/>
              </w:rPr>
            </w:pPr>
            <w:r>
              <w:rPr>
                <w:b/>
                <w:sz w:val="20"/>
                <w:szCs w:val="20"/>
              </w:rPr>
              <w:t>API</w:t>
            </w:r>
          </w:p>
        </w:tc>
        <w:tc>
          <w:tcPr>
            <w:tcW w:w="4534" w:type="dxa"/>
          </w:tcPr>
          <w:p w14:paraId="7BE0E8F0" w14:textId="77777777" w:rsidR="00E62C65" w:rsidRDefault="00474360">
            <w:pPr>
              <w:spacing w:after="0" w:line="240" w:lineRule="auto"/>
              <w:rPr>
                <w:rFonts w:eastAsia="MS Mincho"/>
              </w:rPr>
            </w:pPr>
            <w:r>
              <w:rPr>
                <w:sz w:val="20"/>
                <w:szCs w:val="20"/>
              </w:rPr>
              <w:t>Application Programming Interface</w:t>
            </w:r>
          </w:p>
        </w:tc>
      </w:tr>
      <w:tr w:rsidR="00E62C65" w14:paraId="42966D67" w14:textId="77777777">
        <w:trPr>
          <w:jc w:val="center"/>
        </w:trPr>
        <w:tc>
          <w:tcPr>
            <w:tcW w:w="4535" w:type="dxa"/>
          </w:tcPr>
          <w:p w14:paraId="269BDA98" w14:textId="77777777" w:rsidR="00E62C65" w:rsidRDefault="00474360">
            <w:pPr>
              <w:spacing w:after="0" w:line="240" w:lineRule="auto"/>
              <w:rPr>
                <w:rFonts w:eastAsia="MS Mincho"/>
              </w:rPr>
            </w:pPr>
            <w:r>
              <w:rPr>
                <w:b/>
                <w:sz w:val="20"/>
                <w:szCs w:val="20"/>
              </w:rPr>
              <w:t>CRUD</w:t>
            </w:r>
          </w:p>
        </w:tc>
        <w:tc>
          <w:tcPr>
            <w:tcW w:w="4534" w:type="dxa"/>
          </w:tcPr>
          <w:p w14:paraId="441DB430" w14:textId="77777777" w:rsidR="00E62C65" w:rsidRDefault="00474360">
            <w:pPr>
              <w:spacing w:after="0" w:line="240" w:lineRule="auto"/>
              <w:rPr>
                <w:rFonts w:eastAsia="MS Mincho"/>
              </w:rPr>
            </w:pPr>
            <w:r>
              <w:rPr>
                <w:sz w:val="20"/>
                <w:szCs w:val="20"/>
              </w:rPr>
              <w:t>Create, Read, Update, Delete</w:t>
            </w:r>
          </w:p>
        </w:tc>
      </w:tr>
      <w:tr w:rsidR="00E62C65" w14:paraId="631E0AEA" w14:textId="77777777">
        <w:trPr>
          <w:jc w:val="center"/>
        </w:trPr>
        <w:tc>
          <w:tcPr>
            <w:tcW w:w="4535" w:type="dxa"/>
          </w:tcPr>
          <w:p w14:paraId="1FEFEBB3" w14:textId="77777777" w:rsidR="00E62C65" w:rsidRDefault="00474360">
            <w:pPr>
              <w:spacing w:after="0" w:line="240" w:lineRule="auto"/>
              <w:rPr>
                <w:rFonts w:eastAsia="MS Mincho"/>
              </w:rPr>
            </w:pPr>
            <w:r>
              <w:rPr>
                <w:b/>
                <w:sz w:val="20"/>
                <w:szCs w:val="20"/>
              </w:rPr>
              <w:t>CV</w:t>
            </w:r>
          </w:p>
        </w:tc>
        <w:tc>
          <w:tcPr>
            <w:tcW w:w="4534" w:type="dxa"/>
          </w:tcPr>
          <w:p w14:paraId="5231FF5A" w14:textId="77777777" w:rsidR="00E62C65" w:rsidRDefault="00474360">
            <w:pPr>
              <w:spacing w:after="0" w:line="240" w:lineRule="auto"/>
              <w:rPr>
                <w:rFonts w:eastAsia="MS Mincho"/>
              </w:rPr>
            </w:pPr>
            <w:r>
              <w:rPr>
                <w:sz w:val="20"/>
                <w:szCs w:val="20"/>
              </w:rPr>
              <w:t>Validação cruzada (cross-validation)</w:t>
            </w:r>
          </w:p>
        </w:tc>
      </w:tr>
      <w:tr w:rsidR="00E62C65" w14:paraId="45C9D251" w14:textId="77777777">
        <w:trPr>
          <w:jc w:val="center"/>
        </w:trPr>
        <w:tc>
          <w:tcPr>
            <w:tcW w:w="4535" w:type="dxa"/>
          </w:tcPr>
          <w:p w14:paraId="1295B071" w14:textId="77777777" w:rsidR="00E62C65" w:rsidRDefault="00474360">
            <w:pPr>
              <w:spacing w:after="0" w:line="240" w:lineRule="auto"/>
              <w:rPr>
                <w:rFonts w:eastAsia="MS Mincho"/>
              </w:rPr>
            </w:pPr>
            <w:r>
              <w:rPr>
                <w:b/>
                <w:sz w:val="20"/>
                <w:szCs w:val="20"/>
              </w:rPr>
              <w:t>DGM</w:t>
            </w:r>
          </w:p>
        </w:tc>
        <w:tc>
          <w:tcPr>
            <w:tcW w:w="4534" w:type="dxa"/>
          </w:tcPr>
          <w:p w14:paraId="139E9514" w14:textId="77777777" w:rsidR="00E62C65" w:rsidRDefault="00474360">
            <w:pPr>
              <w:spacing w:after="0" w:line="240" w:lineRule="auto"/>
              <w:rPr>
                <w:rFonts w:eastAsia="MS Mincho"/>
              </w:rPr>
            </w:pPr>
            <w:r>
              <w:rPr>
                <w:sz w:val="20"/>
                <w:szCs w:val="20"/>
              </w:rPr>
              <w:t>Data Generation Model</w:t>
            </w:r>
          </w:p>
        </w:tc>
      </w:tr>
      <w:tr w:rsidR="00E62C65" w14:paraId="0F7ADA76" w14:textId="77777777">
        <w:trPr>
          <w:jc w:val="center"/>
        </w:trPr>
        <w:tc>
          <w:tcPr>
            <w:tcW w:w="4535" w:type="dxa"/>
          </w:tcPr>
          <w:p w14:paraId="6A965426" w14:textId="77777777" w:rsidR="00E62C65" w:rsidRDefault="00474360">
            <w:pPr>
              <w:spacing w:after="0" w:line="240" w:lineRule="auto"/>
              <w:rPr>
                <w:rFonts w:eastAsia="MS Mincho"/>
              </w:rPr>
            </w:pPr>
            <w:r>
              <w:rPr>
                <w:b/>
                <w:sz w:val="20"/>
                <w:szCs w:val="20"/>
              </w:rPr>
              <w:t>DPP</w:t>
            </w:r>
          </w:p>
        </w:tc>
        <w:tc>
          <w:tcPr>
            <w:tcW w:w="4534" w:type="dxa"/>
          </w:tcPr>
          <w:p w14:paraId="24273722" w14:textId="77777777" w:rsidR="00E62C65" w:rsidRDefault="00474360">
            <w:pPr>
              <w:spacing w:after="0" w:line="240" w:lineRule="auto"/>
              <w:rPr>
                <w:rFonts w:eastAsia="MS Mincho"/>
              </w:rPr>
            </w:pPr>
            <w:r>
              <w:rPr>
                <w:sz w:val="20"/>
                <w:szCs w:val="20"/>
              </w:rPr>
              <w:t>Data provável do parto</w:t>
            </w:r>
          </w:p>
        </w:tc>
      </w:tr>
      <w:tr w:rsidR="00E62C65" w14:paraId="3FBED2F1" w14:textId="77777777">
        <w:trPr>
          <w:jc w:val="center"/>
        </w:trPr>
        <w:tc>
          <w:tcPr>
            <w:tcW w:w="4535" w:type="dxa"/>
          </w:tcPr>
          <w:p w14:paraId="771BA2CD" w14:textId="77777777" w:rsidR="00E62C65" w:rsidRDefault="00474360">
            <w:pPr>
              <w:spacing w:after="0" w:line="240" w:lineRule="auto"/>
              <w:rPr>
                <w:rFonts w:eastAsia="MS Mincho"/>
              </w:rPr>
            </w:pPr>
            <w:r>
              <w:rPr>
                <w:b/>
                <w:sz w:val="20"/>
                <w:szCs w:val="20"/>
              </w:rPr>
              <w:t>DSS</w:t>
            </w:r>
          </w:p>
        </w:tc>
        <w:tc>
          <w:tcPr>
            <w:tcW w:w="4534" w:type="dxa"/>
          </w:tcPr>
          <w:p w14:paraId="7A418CAD" w14:textId="77777777" w:rsidR="00E62C65" w:rsidRDefault="00474360">
            <w:pPr>
              <w:spacing w:after="0" w:line="240" w:lineRule="auto"/>
              <w:rPr>
                <w:rFonts w:eastAsia="MS Mincho"/>
              </w:rPr>
            </w:pPr>
            <w:r>
              <w:rPr>
                <w:sz w:val="20"/>
                <w:szCs w:val="20"/>
              </w:rPr>
              <w:t>Determinantes Sociais da Saúde</w:t>
            </w:r>
          </w:p>
        </w:tc>
      </w:tr>
      <w:tr w:rsidR="00E62C65" w14:paraId="15501583" w14:textId="77777777">
        <w:trPr>
          <w:jc w:val="center"/>
        </w:trPr>
        <w:tc>
          <w:tcPr>
            <w:tcW w:w="4535" w:type="dxa"/>
          </w:tcPr>
          <w:p w14:paraId="16AF3867" w14:textId="77777777" w:rsidR="00E62C65" w:rsidRDefault="00474360">
            <w:pPr>
              <w:spacing w:after="0" w:line="240" w:lineRule="auto"/>
              <w:rPr>
                <w:rFonts w:eastAsia="MS Mincho"/>
              </w:rPr>
            </w:pPr>
            <w:r>
              <w:rPr>
                <w:b/>
                <w:sz w:val="20"/>
                <w:szCs w:val="20"/>
              </w:rPr>
              <w:t>EBIA</w:t>
            </w:r>
          </w:p>
        </w:tc>
        <w:tc>
          <w:tcPr>
            <w:tcW w:w="4534" w:type="dxa"/>
          </w:tcPr>
          <w:p w14:paraId="5B137A85" w14:textId="77777777" w:rsidR="00E62C65" w:rsidRDefault="00474360">
            <w:pPr>
              <w:spacing w:after="0" w:line="240" w:lineRule="auto"/>
              <w:rPr>
                <w:rFonts w:eastAsia="MS Mincho"/>
              </w:rPr>
            </w:pPr>
            <w:r>
              <w:rPr>
                <w:sz w:val="20"/>
                <w:szCs w:val="20"/>
              </w:rPr>
              <w:t>Escala Brasileira de Insegurança Alimentar</w:t>
            </w:r>
          </w:p>
        </w:tc>
      </w:tr>
      <w:tr w:rsidR="00E62C65" w14:paraId="77A991CF" w14:textId="77777777">
        <w:trPr>
          <w:jc w:val="center"/>
        </w:trPr>
        <w:tc>
          <w:tcPr>
            <w:tcW w:w="4535" w:type="dxa"/>
          </w:tcPr>
          <w:p w14:paraId="3C560A39" w14:textId="77777777" w:rsidR="00E62C65" w:rsidRDefault="00474360">
            <w:pPr>
              <w:spacing w:after="0" w:line="240" w:lineRule="auto"/>
              <w:rPr>
                <w:rFonts w:eastAsia="MS Mincho"/>
              </w:rPr>
            </w:pPr>
            <w:r>
              <w:rPr>
                <w:b/>
                <w:sz w:val="20"/>
                <w:szCs w:val="20"/>
              </w:rPr>
              <w:t>FIES</w:t>
            </w:r>
          </w:p>
        </w:tc>
        <w:tc>
          <w:tcPr>
            <w:tcW w:w="4534" w:type="dxa"/>
          </w:tcPr>
          <w:p w14:paraId="4BD2F90F" w14:textId="77777777" w:rsidR="00E62C65" w:rsidRDefault="00474360">
            <w:pPr>
              <w:spacing w:after="0" w:line="240" w:lineRule="auto"/>
              <w:rPr>
                <w:rFonts w:eastAsia="MS Mincho"/>
              </w:rPr>
            </w:pPr>
            <w:r>
              <w:rPr>
                <w:sz w:val="20"/>
                <w:szCs w:val="20"/>
              </w:rPr>
              <w:t>Food Insecurity Experience Scale</w:t>
            </w:r>
          </w:p>
        </w:tc>
      </w:tr>
      <w:tr w:rsidR="00E62C65" w14:paraId="7DAA6C71" w14:textId="77777777">
        <w:trPr>
          <w:jc w:val="center"/>
        </w:trPr>
        <w:tc>
          <w:tcPr>
            <w:tcW w:w="4535" w:type="dxa"/>
          </w:tcPr>
          <w:p w14:paraId="3F4B987A" w14:textId="77777777" w:rsidR="00E62C65" w:rsidRDefault="00474360">
            <w:pPr>
              <w:spacing w:after="0" w:line="240" w:lineRule="auto"/>
              <w:rPr>
                <w:rFonts w:eastAsia="MS Mincho"/>
              </w:rPr>
            </w:pPr>
            <w:r>
              <w:rPr>
                <w:b/>
                <w:sz w:val="20"/>
                <w:szCs w:val="20"/>
              </w:rPr>
              <w:t>IG</w:t>
            </w:r>
          </w:p>
        </w:tc>
        <w:tc>
          <w:tcPr>
            <w:tcW w:w="4534" w:type="dxa"/>
          </w:tcPr>
          <w:p w14:paraId="522557E9" w14:textId="77777777" w:rsidR="00E62C65" w:rsidRDefault="00474360">
            <w:pPr>
              <w:spacing w:after="0" w:line="240" w:lineRule="auto"/>
              <w:rPr>
                <w:rFonts w:eastAsia="MS Mincho"/>
              </w:rPr>
            </w:pPr>
            <w:r>
              <w:rPr>
                <w:sz w:val="20"/>
                <w:szCs w:val="20"/>
              </w:rPr>
              <w:t>Idade gestacional</w:t>
            </w:r>
          </w:p>
        </w:tc>
      </w:tr>
      <w:tr w:rsidR="00E62C65" w14:paraId="22E30BF9" w14:textId="77777777">
        <w:trPr>
          <w:jc w:val="center"/>
        </w:trPr>
        <w:tc>
          <w:tcPr>
            <w:tcW w:w="4535" w:type="dxa"/>
          </w:tcPr>
          <w:p w14:paraId="0E0F3359" w14:textId="77777777" w:rsidR="00E62C65" w:rsidRDefault="00474360">
            <w:pPr>
              <w:spacing w:after="0" w:line="240" w:lineRule="auto"/>
              <w:rPr>
                <w:rFonts w:eastAsia="MS Mincho"/>
              </w:rPr>
            </w:pPr>
            <w:r>
              <w:rPr>
                <w:b/>
                <w:sz w:val="20"/>
                <w:szCs w:val="20"/>
              </w:rPr>
              <w:t>IV-DSS</w:t>
            </w:r>
          </w:p>
        </w:tc>
        <w:tc>
          <w:tcPr>
            <w:tcW w:w="4534" w:type="dxa"/>
          </w:tcPr>
          <w:p w14:paraId="7831A064" w14:textId="77777777" w:rsidR="00E62C65" w:rsidRDefault="00474360">
            <w:pPr>
              <w:spacing w:after="0" w:line="240" w:lineRule="auto"/>
              <w:rPr>
                <w:rFonts w:eastAsia="MS Mincho"/>
              </w:rPr>
            </w:pPr>
            <w:r>
              <w:rPr>
                <w:sz w:val="20"/>
                <w:szCs w:val="20"/>
              </w:rPr>
              <w:t>Índice de Vulnerabilidade dos Determinantes Sociais da Saúde</w:t>
            </w:r>
          </w:p>
        </w:tc>
      </w:tr>
      <w:tr w:rsidR="00E62C65" w14:paraId="5AAAA160" w14:textId="77777777">
        <w:trPr>
          <w:jc w:val="center"/>
        </w:trPr>
        <w:tc>
          <w:tcPr>
            <w:tcW w:w="4535" w:type="dxa"/>
          </w:tcPr>
          <w:p w14:paraId="7B4F1BCE" w14:textId="77777777" w:rsidR="00E62C65" w:rsidRDefault="00474360">
            <w:pPr>
              <w:spacing w:after="0" w:line="240" w:lineRule="auto"/>
              <w:rPr>
                <w:rFonts w:eastAsia="MS Mincho"/>
              </w:rPr>
            </w:pPr>
            <w:r>
              <w:rPr>
                <w:b/>
                <w:sz w:val="20"/>
                <w:szCs w:val="20"/>
              </w:rPr>
              <w:t>LGPD</w:t>
            </w:r>
          </w:p>
        </w:tc>
        <w:tc>
          <w:tcPr>
            <w:tcW w:w="4534" w:type="dxa"/>
          </w:tcPr>
          <w:p w14:paraId="24EAB190" w14:textId="77777777" w:rsidR="00E62C65" w:rsidRDefault="00474360">
            <w:pPr>
              <w:spacing w:after="0" w:line="240" w:lineRule="auto"/>
              <w:rPr>
                <w:rFonts w:eastAsia="MS Mincho"/>
              </w:rPr>
            </w:pPr>
            <w:r>
              <w:rPr>
                <w:sz w:val="20"/>
                <w:szCs w:val="20"/>
              </w:rPr>
              <w:t>Lei Geral de Proteção de Dados</w:t>
            </w:r>
          </w:p>
        </w:tc>
      </w:tr>
      <w:tr w:rsidR="00E62C65" w14:paraId="2452959D" w14:textId="77777777">
        <w:trPr>
          <w:jc w:val="center"/>
        </w:trPr>
        <w:tc>
          <w:tcPr>
            <w:tcW w:w="4535" w:type="dxa"/>
          </w:tcPr>
          <w:p w14:paraId="5EFDC554" w14:textId="77777777" w:rsidR="00E62C65" w:rsidRDefault="00474360">
            <w:pPr>
              <w:spacing w:after="0" w:line="240" w:lineRule="auto"/>
              <w:rPr>
                <w:rFonts w:eastAsia="MS Mincho"/>
              </w:rPr>
            </w:pPr>
            <w:r>
              <w:rPr>
                <w:b/>
                <w:sz w:val="20"/>
                <w:szCs w:val="20"/>
              </w:rPr>
              <w:t>ML</w:t>
            </w:r>
          </w:p>
        </w:tc>
        <w:tc>
          <w:tcPr>
            <w:tcW w:w="4534" w:type="dxa"/>
          </w:tcPr>
          <w:p w14:paraId="4887FF1B" w14:textId="77777777" w:rsidR="00E62C65" w:rsidRDefault="00474360">
            <w:pPr>
              <w:spacing w:after="0" w:line="240" w:lineRule="auto"/>
              <w:rPr>
                <w:rFonts w:eastAsia="MS Mincho"/>
              </w:rPr>
            </w:pPr>
            <w:r>
              <w:rPr>
                <w:sz w:val="20"/>
                <w:szCs w:val="20"/>
              </w:rPr>
              <w:t>Aprendizado de máquina (machine learning)</w:t>
            </w:r>
          </w:p>
        </w:tc>
      </w:tr>
      <w:tr w:rsidR="00E62C65" w14:paraId="29EFC9EC" w14:textId="77777777">
        <w:trPr>
          <w:jc w:val="center"/>
        </w:trPr>
        <w:tc>
          <w:tcPr>
            <w:tcW w:w="4535" w:type="dxa"/>
          </w:tcPr>
          <w:p w14:paraId="0F42639B" w14:textId="77777777" w:rsidR="00E62C65" w:rsidRDefault="00474360">
            <w:pPr>
              <w:spacing w:after="0" w:line="240" w:lineRule="auto"/>
              <w:rPr>
                <w:rFonts w:eastAsia="MS Mincho"/>
              </w:rPr>
            </w:pPr>
            <w:r>
              <w:rPr>
                <w:b/>
                <w:sz w:val="20"/>
                <w:szCs w:val="20"/>
              </w:rPr>
              <w:t>ORM</w:t>
            </w:r>
          </w:p>
        </w:tc>
        <w:tc>
          <w:tcPr>
            <w:tcW w:w="4534" w:type="dxa"/>
          </w:tcPr>
          <w:p w14:paraId="00F3F44C" w14:textId="77777777" w:rsidR="00E62C65" w:rsidRDefault="00474360">
            <w:pPr>
              <w:spacing w:after="0" w:line="240" w:lineRule="auto"/>
              <w:rPr>
                <w:rFonts w:eastAsia="MS Mincho"/>
              </w:rPr>
            </w:pPr>
            <w:r>
              <w:rPr>
                <w:sz w:val="20"/>
                <w:szCs w:val="20"/>
              </w:rPr>
              <w:t>Object-Relational Mapping</w:t>
            </w:r>
          </w:p>
        </w:tc>
      </w:tr>
      <w:tr w:rsidR="00E62C65" w14:paraId="3BE65770" w14:textId="77777777">
        <w:trPr>
          <w:jc w:val="center"/>
        </w:trPr>
        <w:tc>
          <w:tcPr>
            <w:tcW w:w="4535" w:type="dxa"/>
          </w:tcPr>
          <w:p w14:paraId="6F22330E" w14:textId="77777777" w:rsidR="00E62C65" w:rsidRDefault="00474360">
            <w:pPr>
              <w:spacing w:after="0" w:line="240" w:lineRule="auto"/>
              <w:rPr>
                <w:rFonts w:eastAsia="MS Mincho"/>
              </w:rPr>
            </w:pPr>
            <w:r>
              <w:rPr>
                <w:b/>
                <w:sz w:val="20"/>
                <w:szCs w:val="20"/>
              </w:rPr>
              <w:t>PNS</w:t>
            </w:r>
          </w:p>
        </w:tc>
        <w:tc>
          <w:tcPr>
            <w:tcW w:w="4534" w:type="dxa"/>
          </w:tcPr>
          <w:p w14:paraId="0E0DA101" w14:textId="77777777" w:rsidR="00E62C65" w:rsidRDefault="00474360">
            <w:pPr>
              <w:spacing w:after="0" w:line="240" w:lineRule="auto"/>
              <w:rPr>
                <w:rFonts w:eastAsia="MS Mincho"/>
              </w:rPr>
            </w:pPr>
            <w:r>
              <w:rPr>
                <w:sz w:val="20"/>
                <w:szCs w:val="20"/>
              </w:rPr>
              <w:t>Pesquisa Nacional de Saúde</w:t>
            </w:r>
          </w:p>
        </w:tc>
      </w:tr>
      <w:tr w:rsidR="00E62C65" w14:paraId="371C676C" w14:textId="77777777">
        <w:trPr>
          <w:jc w:val="center"/>
        </w:trPr>
        <w:tc>
          <w:tcPr>
            <w:tcW w:w="4535" w:type="dxa"/>
          </w:tcPr>
          <w:p w14:paraId="0EB546BF" w14:textId="77777777" w:rsidR="00E62C65" w:rsidRDefault="00474360">
            <w:pPr>
              <w:spacing w:after="0" w:line="240" w:lineRule="auto"/>
              <w:rPr>
                <w:rFonts w:eastAsia="MS Mincho"/>
              </w:rPr>
            </w:pPr>
            <w:r>
              <w:rPr>
                <w:b/>
                <w:sz w:val="20"/>
                <w:szCs w:val="20"/>
              </w:rPr>
              <w:t>PR-AUC</w:t>
            </w:r>
          </w:p>
        </w:tc>
        <w:tc>
          <w:tcPr>
            <w:tcW w:w="4534" w:type="dxa"/>
          </w:tcPr>
          <w:p w14:paraId="5B67C5CE" w14:textId="77777777" w:rsidR="00E62C65" w:rsidRDefault="00474360">
            <w:pPr>
              <w:spacing w:after="0" w:line="240" w:lineRule="auto"/>
              <w:rPr>
                <w:rFonts w:eastAsia="MS Mincho"/>
              </w:rPr>
            </w:pPr>
            <w:r>
              <w:rPr>
                <w:sz w:val="20"/>
                <w:szCs w:val="20"/>
              </w:rPr>
              <w:t>Área sob a curva Precision-Recall</w:t>
            </w:r>
          </w:p>
        </w:tc>
      </w:tr>
      <w:tr w:rsidR="00E62C65" w14:paraId="76393479" w14:textId="77777777">
        <w:trPr>
          <w:jc w:val="center"/>
        </w:trPr>
        <w:tc>
          <w:tcPr>
            <w:tcW w:w="4535" w:type="dxa"/>
          </w:tcPr>
          <w:p w14:paraId="57B8702D" w14:textId="77777777" w:rsidR="00E62C65" w:rsidRDefault="00474360">
            <w:pPr>
              <w:spacing w:after="0" w:line="240" w:lineRule="auto"/>
              <w:rPr>
                <w:rFonts w:eastAsia="MS Mincho"/>
              </w:rPr>
            </w:pPr>
            <w:r>
              <w:rPr>
                <w:b/>
                <w:sz w:val="20"/>
                <w:szCs w:val="20"/>
              </w:rPr>
              <w:t>RF</w:t>
            </w:r>
          </w:p>
        </w:tc>
        <w:tc>
          <w:tcPr>
            <w:tcW w:w="4534" w:type="dxa"/>
          </w:tcPr>
          <w:p w14:paraId="59B4554C" w14:textId="77777777" w:rsidR="00E62C65" w:rsidRDefault="00474360">
            <w:pPr>
              <w:spacing w:after="0" w:line="240" w:lineRule="auto"/>
              <w:rPr>
                <w:rFonts w:eastAsia="MS Mincho"/>
              </w:rPr>
            </w:pPr>
            <w:r>
              <w:rPr>
                <w:sz w:val="20"/>
                <w:szCs w:val="20"/>
              </w:rPr>
              <w:t>Random Forest</w:t>
            </w:r>
          </w:p>
        </w:tc>
      </w:tr>
      <w:tr w:rsidR="00E62C65" w14:paraId="0B81C777" w14:textId="77777777">
        <w:trPr>
          <w:jc w:val="center"/>
        </w:trPr>
        <w:tc>
          <w:tcPr>
            <w:tcW w:w="4535" w:type="dxa"/>
          </w:tcPr>
          <w:p w14:paraId="0B9F0D6E" w14:textId="77777777" w:rsidR="00E62C65" w:rsidRDefault="00474360">
            <w:pPr>
              <w:spacing w:after="0" w:line="240" w:lineRule="auto"/>
              <w:rPr>
                <w:rFonts w:eastAsia="MS Mincho"/>
              </w:rPr>
            </w:pPr>
            <w:r>
              <w:rPr>
                <w:b/>
                <w:sz w:val="20"/>
                <w:szCs w:val="20"/>
              </w:rPr>
              <w:t>RL</w:t>
            </w:r>
          </w:p>
        </w:tc>
        <w:tc>
          <w:tcPr>
            <w:tcW w:w="4534" w:type="dxa"/>
          </w:tcPr>
          <w:p w14:paraId="6FD2F805" w14:textId="77777777" w:rsidR="00E62C65" w:rsidRDefault="00474360">
            <w:pPr>
              <w:spacing w:after="0" w:line="240" w:lineRule="auto"/>
              <w:rPr>
                <w:rFonts w:eastAsia="MS Mincho"/>
              </w:rPr>
            </w:pPr>
            <w:r>
              <w:rPr>
                <w:sz w:val="20"/>
                <w:szCs w:val="20"/>
              </w:rPr>
              <w:t>Regressão logística</w:t>
            </w:r>
          </w:p>
        </w:tc>
      </w:tr>
      <w:tr w:rsidR="00E62C65" w14:paraId="4C44F2AB" w14:textId="77777777">
        <w:trPr>
          <w:jc w:val="center"/>
        </w:trPr>
        <w:tc>
          <w:tcPr>
            <w:tcW w:w="4535" w:type="dxa"/>
          </w:tcPr>
          <w:p w14:paraId="0CCDC639" w14:textId="77777777" w:rsidR="00E62C65" w:rsidRDefault="00474360">
            <w:pPr>
              <w:spacing w:after="0" w:line="240" w:lineRule="auto"/>
              <w:rPr>
                <w:rFonts w:eastAsia="MS Mincho"/>
              </w:rPr>
            </w:pPr>
            <w:r>
              <w:rPr>
                <w:b/>
                <w:sz w:val="20"/>
                <w:szCs w:val="20"/>
              </w:rPr>
              <w:t>ROC-AUC</w:t>
            </w:r>
          </w:p>
        </w:tc>
        <w:tc>
          <w:tcPr>
            <w:tcW w:w="4534" w:type="dxa"/>
          </w:tcPr>
          <w:p w14:paraId="4D3A2FB4" w14:textId="77777777" w:rsidR="00E62C65" w:rsidRDefault="00474360">
            <w:pPr>
              <w:spacing w:after="0" w:line="240" w:lineRule="auto"/>
              <w:rPr>
                <w:rFonts w:eastAsia="MS Mincho"/>
              </w:rPr>
            </w:pPr>
            <w:r>
              <w:rPr>
                <w:sz w:val="20"/>
                <w:szCs w:val="20"/>
              </w:rPr>
              <w:t>Área sob a curva ROC</w:t>
            </w:r>
          </w:p>
        </w:tc>
      </w:tr>
      <w:tr w:rsidR="00E62C65" w14:paraId="5180D469" w14:textId="77777777">
        <w:trPr>
          <w:jc w:val="center"/>
        </w:trPr>
        <w:tc>
          <w:tcPr>
            <w:tcW w:w="4535" w:type="dxa"/>
          </w:tcPr>
          <w:p w14:paraId="0C1E61A4" w14:textId="77777777" w:rsidR="00E62C65" w:rsidRDefault="00474360">
            <w:pPr>
              <w:spacing w:after="0" w:line="240" w:lineRule="auto"/>
              <w:rPr>
                <w:rFonts w:eastAsia="MS Mincho"/>
              </w:rPr>
            </w:pPr>
            <w:r>
              <w:rPr>
                <w:b/>
                <w:sz w:val="20"/>
                <w:szCs w:val="20"/>
              </w:rPr>
              <w:t>SISPRENATAL</w:t>
            </w:r>
          </w:p>
        </w:tc>
        <w:tc>
          <w:tcPr>
            <w:tcW w:w="4534" w:type="dxa"/>
          </w:tcPr>
          <w:p w14:paraId="04948A0D" w14:textId="77777777" w:rsidR="00E62C65" w:rsidRDefault="00474360">
            <w:pPr>
              <w:spacing w:after="0" w:line="240" w:lineRule="auto"/>
              <w:rPr>
                <w:rFonts w:eastAsia="MS Mincho"/>
              </w:rPr>
            </w:pPr>
            <w:r>
              <w:rPr>
                <w:sz w:val="20"/>
                <w:szCs w:val="20"/>
              </w:rPr>
              <w:t>Sistema de Informação do Pré-Natal</w:t>
            </w:r>
          </w:p>
        </w:tc>
      </w:tr>
      <w:tr w:rsidR="00E62C65" w14:paraId="09B90DA7" w14:textId="77777777">
        <w:trPr>
          <w:jc w:val="center"/>
        </w:trPr>
        <w:tc>
          <w:tcPr>
            <w:tcW w:w="4535" w:type="dxa"/>
          </w:tcPr>
          <w:p w14:paraId="5661A91E" w14:textId="77777777" w:rsidR="00E62C65" w:rsidRDefault="00474360">
            <w:pPr>
              <w:spacing w:after="0" w:line="240" w:lineRule="auto"/>
              <w:rPr>
                <w:rFonts w:eastAsia="MS Mincho"/>
              </w:rPr>
            </w:pPr>
            <w:r>
              <w:rPr>
                <w:b/>
                <w:sz w:val="20"/>
                <w:szCs w:val="20"/>
              </w:rPr>
              <w:t>SUS</w:t>
            </w:r>
          </w:p>
        </w:tc>
        <w:tc>
          <w:tcPr>
            <w:tcW w:w="4534" w:type="dxa"/>
          </w:tcPr>
          <w:p w14:paraId="7BA1D017" w14:textId="77777777" w:rsidR="00E62C65" w:rsidRDefault="00474360">
            <w:pPr>
              <w:spacing w:after="0" w:line="240" w:lineRule="auto"/>
              <w:rPr>
                <w:rFonts w:eastAsia="MS Mincho"/>
              </w:rPr>
            </w:pPr>
            <w:r>
              <w:rPr>
                <w:sz w:val="20"/>
                <w:szCs w:val="20"/>
              </w:rPr>
              <w:t>Sistema Único de Saúde</w:t>
            </w:r>
          </w:p>
        </w:tc>
      </w:tr>
      <w:tr w:rsidR="00E62C65" w14:paraId="370BC84B" w14:textId="77777777">
        <w:trPr>
          <w:jc w:val="center"/>
        </w:trPr>
        <w:tc>
          <w:tcPr>
            <w:tcW w:w="4535" w:type="dxa"/>
          </w:tcPr>
          <w:p w14:paraId="1B4D668F" w14:textId="77777777" w:rsidR="00E62C65" w:rsidRDefault="00474360">
            <w:pPr>
              <w:spacing w:after="0" w:line="240" w:lineRule="auto"/>
              <w:rPr>
                <w:rFonts w:eastAsia="MS Mincho"/>
              </w:rPr>
            </w:pPr>
            <w:r>
              <w:rPr>
                <w:b/>
                <w:sz w:val="20"/>
                <w:szCs w:val="20"/>
              </w:rPr>
              <w:lastRenderedPageBreak/>
              <w:t>T0</w:t>
            </w:r>
          </w:p>
        </w:tc>
        <w:tc>
          <w:tcPr>
            <w:tcW w:w="4534" w:type="dxa"/>
          </w:tcPr>
          <w:p w14:paraId="036439D8" w14:textId="77777777" w:rsidR="00E62C65" w:rsidRDefault="00474360">
            <w:pPr>
              <w:spacing w:after="0" w:line="240" w:lineRule="auto"/>
              <w:rPr>
                <w:rFonts w:eastAsia="MS Mincho"/>
              </w:rPr>
            </w:pPr>
            <w:r>
              <w:rPr>
                <w:sz w:val="20"/>
                <w:szCs w:val="20"/>
              </w:rPr>
              <w:t>Instante de aplicação/envio do questionário DSS</w:t>
            </w:r>
          </w:p>
        </w:tc>
      </w:tr>
      <w:tr w:rsidR="00E62C65" w14:paraId="29A8D1FA" w14:textId="77777777">
        <w:trPr>
          <w:jc w:val="center"/>
        </w:trPr>
        <w:tc>
          <w:tcPr>
            <w:tcW w:w="4535" w:type="dxa"/>
          </w:tcPr>
          <w:p w14:paraId="5A0FC142" w14:textId="77777777" w:rsidR="00E62C65" w:rsidRDefault="00474360">
            <w:pPr>
              <w:spacing w:after="0" w:line="240" w:lineRule="auto"/>
              <w:rPr>
                <w:rFonts w:eastAsia="MS Mincho"/>
              </w:rPr>
            </w:pPr>
            <w:r>
              <w:rPr>
                <w:b/>
                <w:sz w:val="20"/>
                <w:szCs w:val="20"/>
              </w:rPr>
              <w:t>UBS</w:t>
            </w:r>
          </w:p>
        </w:tc>
        <w:tc>
          <w:tcPr>
            <w:tcW w:w="4534" w:type="dxa"/>
          </w:tcPr>
          <w:p w14:paraId="2975DCEA" w14:textId="77777777" w:rsidR="00E62C65" w:rsidRDefault="00474360">
            <w:pPr>
              <w:spacing w:after="0" w:line="240" w:lineRule="auto"/>
              <w:rPr>
                <w:rFonts w:eastAsia="MS Mincho"/>
              </w:rPr>
            </w:pPr>
            <w:r>
              <w:rPr>
                <w:sz w:val="20"/>
                <w:szCs w:val="20"/>
              </w:rPr>
              <w:t>Unidade Básica de Saúde</w:t>
            </w:r>
          </w:p>
        </w:tc>
      </w:tr>
      <w:tr w:rsidR="00E62C65" w14:paraId="78CD98A8" w14:textId="77777777">
        <w:trPr>
          <w:jc w:val="center"/>
        </w:trPr>
        <w:tc>
          <w:tcPr>
            <w:tcW w:w="4535" w:type="dxa"/>
          </w:tcPr>
          <w:p w14:paraId="4C8C3CE9" w14:textId="77777777" w:rsidR="00E62C65" w:rsidRDefault="00474360">
            <w:pPr>
              <w:spacing w:after="0" w:line="240" w:lineRule="auto"/>
              <w:rPr>
                <w:rFonts w:eastAsia="MS Mincho"/>
              </w:rPr>
            </w:pPr>
            <w:r>
              <w:rPr>
                <w:b/>
                <w:sz w:val="20"/>
                <w:szCs w:val="20"/>
              </w:rPr>
              <w:t>UUID</w:t>
            </w:r>
          </w:p>
        </w:tc>
        <w:tc>
          <w:tcPr>
            <w:tcW w:w="4534" w:type="dxa"/>
          </w:tcPr>
          <w:p w14:paraId="3B098F5C" w14:textId="77777777" w:rsidR="00E62C65" w:rsidRDefault="00474360">
            <w:pPr>
              <w:spacing w:after="0" w:line="240" w:lineRule="auto"/>
              <w:rPr>
                <w:rFonts w:eastAsia="MS Mincho"/>
              </w:rPr>
            </w:pPr>
            <w:r>
              <w:rPr>
                <w:sz w:val="20"/>
                <w:szCs w:val="20"/>
              </w:rPr>
              <w:t>Universally Unique Identifier</w:t>
            </w:r>
          </w:p>
        </w:tc>
      </w:tr>
      <w:tr w:rsidR="00E62C65" w14:paraId="365E4924" w14:textId="77777777">
        <w:trPr>
          <w:jc w:val="center"/>
        </w:trPr>
        <w:tc>
          <w:tcPr>
            <w:tcW w:w="4535" w:type="dxa"/>
          </w:tcPr>
          <w:p w14:paraId="026655E1" w14:textId="77777777" w:rsidR="00E62C65" w:rsidRDefault="00474360">
            <w:pPr>
              <w:spacing w:after="0" w:line="240" w:lineRule="auto"/>
              <w:rPr>
                <w:rFonts w:eastAsia="MS Mincho"/>
              </w:rPr>
            </w:pPr>
            <w:r>
              <w:rPr>
                <w:b/>
                <w:sz w:val="20"/>
                <w:szCs w:val="20"/>
              </w:rPr>
              <w:t>WHO</w:t>
            </w:r>
          </w:p>
        </w:tc>
        <w:tc>
          <w:tcPr>
            <w:tcW w:w="4534" w:type="dxa"/>
          </w:tcPr>
          <w:p w14:paraId="2AF93B22" w14:textId="77777777" w:rsidR="00E62C65" w:rsidRDefault="00474360">
            <w:pPr>
              <w:spacing w:after="0" w:line="240" w:lineRule="auto"/>
              <w:rPr>
                <w:rFonts w:eastAsia="MS Mincho"/>
              </w:rPr>
            </w:pPr>
            <w:r>
              <w:rPr>
                <w:sz w:val="20"/>
                <w:szCs w:val="20"/>
              </w:rPr>
              <w:t>World Health Organization</w:t>
            </w:r>
          </w:p>
        </w:tc>
      </w:tr>
      <w:tr w:rsidR="00E62C65" w14:paraId="2516D4E8" w14:textId="77777777">
        <w:trPr>
          <w:jc w:val="center"/>
        </w:trPr>
        <w:tc>
          <w:tcPr>
            <w:tcW w:w="4535" w:type="dxa"/>
          </w:tcPr>
          <w:p w14:paraId="5A28C6FD" w14:textId="77777777" w:rsidR="00E62C65" w:rsidRDefault="00474360">
            <w:pPr>
              <w:spacing w:after="0" w:line="240" w:lineRule="auto"/>
              <w:rPr>
                <w:rFonts w:eastAsia="MS Mincho"/>
              </w:rPr>
            </w:pPr>
            <w:r>
              <w:rPr>
                <w:b/>
                <w:sz w:val="20"/>
                <w:szCs w:val="20"/>
              </w:rPr>
              <w:t>XGBoost</w:t>
            </w:r>
          </w:p>
        </w:tc>
        <w:tc>
          <w:tcPr>
            <w:tcW w:w="4534" w:type="dxa"/>
          </w:tcPr>
          <w:p w14:paraId="6966BABD" w14:textId="77777777" w:rsidR="00E62C65" w:rsidRDefault="00474360">
            <w:pPr>
              <w:spacing w:after="0" w:line="240" w:lineRule="auto"/>
              <w:rPr>
                <w:rFonts w:eastAsia="MS Mincho"/>
              </w:rPr>
            </w:pPr>
            <w:r>
              <w:rPr>
                <w:sz w:val="20"/>
                <w:szCs w:val="20"/>
              </w:rPr>
              <w:t>Extreme Gradient Boosting</w:t>
            </w:r>
          </w:p>
        </w:tc>
      </w:tr>
    </w:tbl>
    <w:p w14:paraId="77F27F80" w14:textId="77777777" w:rsidR="00E62C65" w:rsidRDefault="00474360">
      <w:r>
        <w:br w:type="page"/>
      </w:r>
    </w:p>
    <w:p w14:paraId="2D124CAF" w14:textId="77777777" w:rsidR="00E62C65" w:rsidRDefault="00474360">
      <w:pPr>
        <w:spacing w:after="0"/>
        <w:jc w:val="center"/>
      </w:pPr>
      <w:r>
        <w:rPr>
          <w:rFonts w:eastAsia="Times New Roman"/>
          <w:b/>
        </w:rPr>
        <w:lastRenderedPageBreak/>
        <w:t>SUMÁRIO</w:t>
      </w:r>
    </w:p>
    <w:sdt>
      <w:sdtPr>
        <w:id w:val="1017040050"/>
        <w:docPartObj>
          <w:docPartGallery w:val="Table of Contents"/>
          <w:docPartUnique/>
        </w:docPartObj>
      </w:sdtPr>
      <w:sdtEndPr/>
      <w:sdtContent>
        <w:p w14:paraId="017B382A" w14:textId="01A29CAE" w:rsidR="0059251A" w:rsidRDefault="00474360">
          <w:pPr>
            <w:pStyle w:val="Sumrio1"/>
            <w:rPr>
              <w:rFonts w:asciiTheme="minorHAnsi" w:hAnsiTheme="minorHAnsi" w:cstheme="minorBidi"/>
              <w:noProof/>
              <w:kern w:val="2"/>
              <w:szCs w:val="24"/>
              <w:lang w:val="pt-BR" w:eastAsia="pt-BR"/>
              <w14:ligatures w14:val="standardContextual"/>
            </w:rPr>
          </w:pPr>
          <w:r>
            <w:fldChar w:fldCharType="begin"/>
          </w:r>
          <w:r>
            <w:rPr>
              <w:rStyle w:val="IndexLink"/>
              <w:webHidden/>
            </w:rPr>
            <w:instrText xml:space="preserve"> TOC \z \o "1-3" \u \h</w:instrText>
          </w:r>
          <w:r>
            <w:rPr>
              <w:rStyle w:val="IndexLink"/>
            </w:rPr>
            <w:fldChar w:fldCharType="separate"/>
          </w:r>
          <w:hyperlink w:anchor="_Toc238759936" w:history="1">
            <w:r w:rsidR="0059251A" w:rsidRPr="004B5324">
              <w:rPr>
                <w:rStyle w:val="Hyperlink"/>
                <w:rFonts w:eastAsia="Times New Roman"/>
                <w:noProof/>
              </w:rPr>
              <w:t>1 INTRODUÇÃO</w:t>
            </w:r>
            <w:r w:rsidR="0059251A">
              <w:rPr>
                <w:noProof/>
                <w:webHidden/>
              </w:rPr>
              <w:tab/>
            </w:r>
            <w:r w:rsidR="0059251A">
              <w:rPr>
                <w:noProof/>
                <w:webHidden/>
              </w:rPr>
              <w:fldChar w:fldCharType="begin"/>
            </w:r>
            <w:r w:rsidR="0059251A">
              <w:rPr>
                <w:noProof/>
                <w:webHidden/>
              </w:rPr>
              <w:instrText xml:space="preserve"> PAGEREF _Toc238759936 \h </w:instrText>
            </w:r>
            <w:r w:rsidR="0059251A">
              <w:rPr>
                <w:noProof/>
                <w:webHidden/>
              </w:rPr>
            </w:r>
            <w:r w:rsidR="0059251A">
              <w:rPr>
                <w:noProof/>
                <w:webHidden/>
              </w:rPr>
              <w:fldChar w:fldCharType="separate"/>
            </w:r>
            <w:r w:rsidR="0059251A">
              <w:rPr>
                <w:noProof/>
                <w:webHidden/>
              </w:rPr>
              <w:t>1</w:t>
            </w:r>
            <w:r w:rsidR="0059251A">
              <w:rPr>
                <w:noProof/>
                <w:webHidden/>
              </w:rPr>
              <w:fldChar w:fldCharType="end"/>
            </w:r>
          </w:hyperlink>
        </w:p>
        <w:p w14:paraId="6F264FD6" w14:textId="72266ADE" w:rsidR="0059251A" w:rsidRDefault="0059251A">
          <w:pPr>
            <w:pStyle w:val="Sumrio2"/>
            <w:rPr>
              <w:rFonts w:asciiTheme="minorHAnsi" w:hAnsiTheme="minorHAnsi" w:cstheme="minorBidi"/>
              <w:noProof/>
              <w:kern w:val="2"/>
              <w:szCs w:val="24"/>
              <w:lang w:val="pt-BR" w:eastAsia="pt-BR"/>
              <w14:ligatures w14:val="standardContextual"/>
            </w:rPr>
          </w:pPr>
          <w:hyperlink w:anchor="_Toc238759937" w:history="1">
            <w:r w:rsidRPr="004B5324">
              <w:rPr>
                <w:rStyle w:val="Hyperlink"/>
                <w:rFonts w:eastAsia="Times New Roman"/>
                <w:noProof/>
              </w:rPr>
              <w:t>1.1 Contextualização</w:t>
            </w:r>
            <w:r>
              <w:rPr>
                <w:noProof/>
                <w:webHidden/>
              </w:rPr>
              <w:tab/>
            </w:r>
            <w:r>
              <w:rPr>
                <w:noProof/>
                <w:webHidden/>
              </w:rPr>
              <w:fldChar w:fldCharType="begin"/>
            </w:r>
            <w:r>
              <w:rPr>
                <w:noProof/>
                <w:webHidden/>
              </w:rPr>
              <w:instrText xml:space="preserve"> PAGEREF _Toc238759937 \h </w:instrText>
            </w:r>
            <w:r>
              <w:rPr>
                <w:noProof/>
                <w:webHidden/>
              </w:rPr>
            </w:r>
            <w:r>
              <w:rPr>
                <w:noProof/>
                <w:webHidden/>
              </w:rPr>
              <w:fldChar w:fldCharType="separate"/>
            </w:r>
            <w:r>
              <w:rPr>
                <w:noProof/>
                <w:webHidden/>
              </w:rPr>
              <w:t>1</w:t>
            </w:r>
            <w:r>
              <w:rPr>
                <w:noProof/>
                <w:webHidden/>
              </w:rPr>
              <w:fldChar w:fldCharType="end"/>
            </w:r>
          </w:hyperlink>
        </w:p>
        <w:p w14:paraId="2BD1C7DF" w14:textId="6B48CD52" w:rsidR="0059251A" w:rsidRDefault="0059251A">
          <w:pPr>
            <w:pStyle w:val="Sumrio2"/>
            <w:rPr>
              <w:rFonts w:asciiTheme="minorHAnsi" w:hAnsiTheme="minorHAnsi" w:cstheme="minorBidi"/>
              <w:noProof/>
              <w:kern w:val="2"/>
              <w:szCs w:val="24"/>
              <w:lang w:val="pt-BR" w:eastAsia="pt-BR"/>
              <w14:ligatures w14:val="standardContextual"/>
            </w:rPr>
          </w:pPr>
          <w:hyperlink w:anchor="_Toc238759938" w:history="1">
            <w:r w:rsidRPr="004B5324">
              <w:rPr>
                <w:rStyle w:val="Hyperlink"/>
                <w:rFonts w:eastAsia="Times New Roman"/>
                <w:noProof/>
              </w:rPr>
              <w:t>1.2 Problema de pesquisa</w:t>
            </w:r>
            <w:r>
              <w:rPr>
                <w:noProof/>
                <w:webHidden/>
              </w:rPr>
              <w:tab/>
            </w:r>
            <w:r>
              <w:rPr>
                <w:noProof/>
                <w:webHidden/>
              </w:rPr>
              <w:fldChar w:fldCharType="begin"/>
            </w:r>
            <w:r>
              <w:rPr>
                <w:noProof/>
                <w:webHidden/>
              </w:rPr>
              <w:instrText xml:space="preserve"> PAGEREF _Toc238759938 \h </w:instrText>
            </w:r>
            <w:r>
              <w:rPr>
                <w:noProof/>
                <w:webHidden/>
              </w:rPr>
            </w:r>
            <w:r>
              <w:rPr>
                <w:noProof/>
                <w:webHidden/>
              </w:rPr>
              <w:fldChar w:fldCharType="separate"/>
            </w:r>
            <w:r>
              <w:rPr>
                <w:noProof/>
                <w:webHidden/>
              </w:rPr>
              <w:t>2</w:t>
            </w:r>
            <w:r>
              <w:rPr>
                <w:noProof/>
                <w:webHidden/>
              </w:rPr>
              <w:fldChar w:fldCharType="end"/>
            </w:r>
          </w:hyperlink>
        </w:p>
        <w:p w14:paraId="29ED7015" w14:textId="22E57A28" w:rsidR="0059251A" w:rsidRDefault="0059251A">
          <w:pPr>
            <w:pStyle w:val="Sumrio2"/>
            <w:rPr>
              <w:rFonts w:asciiTheme="minorHAnsi" w:hAnsiTheme="minorHAnsi" w:cstheme="minorBidi"/>
              <w:noProof/>
              <w:kern w:val="2"/>
              <w:szCs w:val="24"/>
              <w:lang w:val="pt-BR" w:eastAsia="pt-BR"/>
              <w14:ligatures w14:val="standardContextual"/>
            </w:rPr>
          </w:pPr>
          <w:hyperlink w:anchor="_Toc238759939" w:history="1">
            <w:r w:rsidRPr="004B5324">
              <w:rPr>
                <w:rStyle w:val="Hyperlink"/>
                <w:rFonts w:eastAsia="Times New Roman"/>
                <w:noProof/>
              </w:rPr>
              <w:t>1.3 Justificativa</w:t>
            </w:r>
            <w:r>
              <w:rPr>
                <w:noProof/>
                <w:webHidden/>
              </w:rPr>
              <w:tab/>
            </w:r>
            <w:r>
              <w:rPr>
                <w:noProof/>
                <w:webHidden/>
              </w:rPr>
              <w:fldChar w:fldCharType="begin"/>
            </w:r>
            <w:r>
              <w:rPr>
                <w:noProof/>
                <w:webHidden/>
              </w:rPr>
              <w:instrText xml:space="preserve"> PAGEREF _Toc238759939 \h </w:instrText>
            </w:r>
            <w:r>
              <w:rPr>
                <w:noProof/>
                <w:webHidden/>
              </w:rPr>
            </w:r>
            <w:r>
              <w:rPr>
                <w:noProof/>
                <w:webHidden/>
              </w:rPr>
              <w:fldChar w:fldCharType="separate"/>
            </w:r>
            <w:r>
              <w:rPr>
                <w:noProof/>
                <w:webHidden/>
              </w:rPr>
              <w:t>3</w:t>
            </w:r>
            <w:r>
              <w:rPr>
                <w:noProof/>
                <w:webHidden/>
              </w:rPr>
              <w:fldChar w:fldCharType="end"/>
            </w:r>
          </w:hyperlink>
        </w:p>
        <w:p w14:paraId="14F1A6B4" w14:textId="12C40163" w:rsidR="0059251A" w:rsidRDefault="0059251A">
          <w:pPr>
            <w:pStyle w:val="Sumrio2"/>
            <w:rPr>
              <w:rFonts w:asciiTheme="minorHAnsi" w:hAnsiTheme="minorHAnsi" w:cstheme="minorBidi"/>
              <w:noProof/>
              <w:kern w:val="2"/>
              <w:szCs w:val="24"/>
              <w:lang w:val="pt-BR" w:eastAsia="pt-BR"/>
              <w14:ligatures w14:val="standardContextual"/>
            </w:rPr>
          </w:pPr>
          <w:hyperlink w:anchor="_Toc238759940" w:history="1">
            <w:r w:rsidRPr="004B5324">
              <w:rPr>
                <w:rStyle w:val="Hyperlink"/>
                <w:rFonts w:eastAsia="Times New Roman"/>
                <w:noProof/>
              </w:rPr>
              <w:t>1.4 Objetivos</w:t>
            </w:r>
            <w:r>
              <w:rPr>
                <w:noProof/>
                <w:webHidden/>
              </w:rPr>
              <w:tab/>
            </w:r>
            <w:r>
              <w:rPr>
                <w:noProof/>
                <w:webHidden/>
              </w:rPr>
              <w:fldChar w:fldCharType="begin"/>
            </w:r>
            <w:r>
              <w:rPr>
                <w:noProof/>
                <w:webHidden/>
              </w:rPr>
              <w:instrText xml:space="preserve"> PAGEREF _Toc238759940 \h </w:instrText>
            </w:r>
            <w:r>
              <w:rPr>
                <w:noProof/>
                <w:webHidden/>
              </w:rPr>
            </w:r>
            <w:r>
              <w:rPr>
                <w:noProof/>
                <w:webHidden/>
              </w:rPr>
              <w:fldChar w:fldCharType="separate"/>
            </w:r>
            <w:r>
              <w:rPr>
                <w:noProof/>
                <w:webHidden/>
              </w:rPr>
              <w:t>4</w:t>
            </w:r>
            <w:r>
              <w:rPr>
                <w:noProof/>
                <w:webHidden/>
              </w:rPr>
              <w:fldChar w:fldCharType="end"/>
            </w:r>
          </w:hyperlink>
        </w:p>
        <w:p w14:paraId="15950F66" w14:textId="3BAB9C7D" w:rsidR="0059251A" w:rsidRDefault="0059251A">
          <w:pPr>
            <w:pStyle w:val="Sumrio3"/>
            <w:rPr>
              <w:rFonts w:asciiTheme="minorHAnsi" w:hAnsiTheme="minorHAnsi" w:cstheme="minorBidi"/>
              <w:noProof/>
              <w:kern w:val="2"/>
              <w:szCs w:val="24"/>
              <w:lang w:val="pt-BR" w:eastAsia="pt-BR"/>
              <w14:ligatures w14:val="standardContextual"/>
            </w:rPr>
          </w:pPr>
          <w:hyperlink w:anchor="_Toc238759941" w:history="1">
            <w:r w:rsidRPr="004B5324">
              <w:rPr>
                <w:rStyle w:val="Hyperlink"/>
                <w:rFonts w:eastAsia="Times New Roman"/>
                <w:noProof/>
              </w:rPr>
              <w:t>1.4.1 Objetivo geral</w:t>
            </w:r>
            <w:r>
              <w:rPr>
                <w:noProof/>
                <w:webHidden/>
              </w:rPr>
              <w:tab/>
            </w:r>
            <w:r>
              <w:rPr>
                <w:noProof/>
                <w:webHidden/>
              </w:rPr>
              <w:fldChar w:fldCharType="begin"/>
            </w:r>
            <w:r>
              <w:rPr>
                <w:noProof/>
                <w:webHidden/>
              </w:rPr>
              <w:instrText xml:space="preserve"> PAGEREF _Toc238759941 \h </w:instrText>
            </w:r>
            <w:r>
              <w:rPr>
                <w:noProof/>
                <w:webHidden/>
              </w:rPr>
            </w:r>
            <w:r>
              <w:rPr>
                <w:noProof/>
                <w:webHidden/>
              </w:rPr>
              <w:fldChar w:fldCharType="separate"/>
            </w:r>
            <w:r>
              <w:rPr>
                <w:noProof/>
                <w:webHidden/>
              </w:rPr>
              <w:t>4</w:t>
            </w:r>
            <w:r>
              <w:rPr>
                <w:noProof/>
                <w:webHidden/>
              </w:rPr>
              <w:fldChar w:fldCharType="end"/>
            </w:r>
          </w:hyperlink>
        </w:p>
        <w:p w14:paraId="127C84E3" w14:textId="14AE3066" w:rsidR="0059251A" w:rsidRDefault="0059251A">
          <w:pPr>
            <w:pStyle w:val="Sumrio3"/>
            <w:rPr>
              <w:rFonts w:asciiTheme="minorHAnsi" w:hAnsiTheme="minorHAnsi" w:cstheme="minorBidi"/>
              <w:noProof/>
              <w:kern w:val="2"/>
              <w:szCs w:val="24"/>
              <w:lang w:val="pt-BR" w:eastAsia="pt-BR"/>
              <w14:ligatures w14:val="standardContextual"/>
            </w:rPr>
          </w:pPr>
          <w:hyperlink w:anchor="_Toc238759942" w:history="1">
            <w:r w:rsidRPr="004B5324">
              <w:rPr>
                <w:rStyle w:val="Hyperlink"/>
                <w:rFonts w:eastAsia="Times New Roman"/>
                <w:noProof/>
              </w:rPr>
              <w:t>1.4.2 Objetivos específicos</w:t>
            </w:r>
            <w:r>
              <w:rPr>
                <w:noProof/>
                <w:webHidden/>
              </w:rPr>
              <w:tab/>
            </w:r>
            <w:r>
              <w:rPr>
                <w:noProof/>
                <w:webHidden/>
              </w:rPr>
              <w:fldChar w:fldCharType="begin"/>
            </w:r>
            <w:r>
              <w:rPr>
                <w:noProof/>
                <w:webHidden/>
              </w:rPr>
              <w:instrText xml:space="preserve"> PAGEREF _Toc238759942 \h </w:instrText>
            </w:r>
            <w:r>
              <w:rPr>
                <w:noProof/>
                <w:webHidden/>
              </w:rPr>
            </w:r>
            <w:r>
              <w:rPr>
                <w:noProof/>
                <w:webHidden/>
              </w:rPr>
              <w:fldChar w:fldCharType="separate"/>
            </w:r>
            <w:r>
              <w:rPr>
                <w:noProof/>
                <w:webHidden/>
              </w:rPr>
              <w:t>4</w:t>
            </w:r>
            <w:r>
              <w:rPr>
                <w:noProof/>
                <w:webHidden/>
              </w:rPr>
              <w:fldChar w:fldCharType="end"/>
            </w:r>
          </w:hyperlink>
        </w:p>
        <w:p w14:paraId="4E02C138" w14:textId="45DE216D" w:rsidR="0059251A" w:rsidRDefault="0059251A">
          <w:pPr>
            <w:pStyle w:val="Sumrio2"/>
            <w:rPr>
              <w:rFonts w:asciiTheme="minorHAnsi" w:hAnsiTheme="minorHAnsi" w:cstheme="minorBidi"/>
              <w:noProof/>
              <w:kern w:val="2"/>
              <w:szCs w:val="24"/>
              <w:lang w:val="pt-BR" w:eastAsia="pt-BR"/>
              <w14:ligatures w14:val="standardContextual"/>
            </w:rPr>
          </w:pPr>
          <w:hyperlink w:anchor="_Toc238759943" w:history="1">
            <w:r w:rsidRPr="004B5324">
              <w:rPr>
                <w:rStyle w:val="Hyperlink"/>
                <w:rFonts w:eastAsia="Times New Roman"/>
                <w:noProof/>
              </w:rPr>
              <w:t>1.5 Estrutura do trabalho</w:t>
            </w:r>
            <w:r>
              <w:rPr>
                <w:noProof/>
                <w:webHidden/>
              </w:rPr>
              <w:tab/>
            </w:r>
            <w:r>
              <w:rPr>
                <w:noProof/>
                <w:webHidden/>
              </w:rPr>
              <w:fldChar w:fldCharType="begin"/>
            </w:r>
            <w:r>
              <w:rPr>
                <w:noProof/>
                <w:webHidden/>
              </w:rPr>
              <w:instrText xml:space="preserve"> PAGEREF _Toc238759943 \h </w:instrText>
            </w:r>
            <w:r>
              <w:rPr>
                <w:noProof/>
                <w:webHidden/>
              </w:rPr>
            </w:r>
            <w:r>
              <w:rPr>
                <w:noProof/>
                <w:webHidden/>
              </w:rPr>
              <w:fldChar w:fldCharType="separate"/>
            </w:r>
            <w:r>
              <w:rPr>
                <w:noProof/>
                <w:webHidden/>
              </w:rPr>
              <w:t>5</w:t>
            </w:r>
            <w:r>
              <w:rPr>
                <w:noProof/>
                <w:webHidden/>
              </w:rPr>
              <w:fldChar w:fldCharType="end"/>
            </w:r>
          </w:hyperlink>
        </w:p>
        <w:p w14:paraId="5ABB697E" w14:textId="42DE11B4" w:rsidR="0059251A" w:rsidRDefault="0059251A">
          <w:pPr>
            <w:pStyle w:val="Sumrio1"/>
            <w:rPr>
              <w:rFonts w:asciiTheme="minorHAnsi" w:hAnsiTheme="minorHAnsi" w:cstheme="minorBidi"/>
              <w:noProof/>
              <w:kern w:val="2"/>
              <w:szCs w:val="24"/>
              <w:lang w:val="pt-BR" w:eastAsia="pt-BR"/>
              <w14:ligatures w14:val="standardContextual"/>
            </w:rPr>
          </w:pPr>
          <w:hyperlink w:anchor="_Toc238759944" w:history="1">
            <w:r w:rsidRPr="004B5324">
              <w:rPr>
                <w:rStyle w:val="Hyperlink"/>
                <w:rFonts w:eastAsia="Times New Roman"/>
                <w:noProof/>
              </w:rPr>
              <w:t>2 FUNDAMENTAÇÃO TEÓRICA</w:t>
            </w:r>
            <w:r>
              <w:rPr>
                <w:noProof/>
                <w:webHidden/>
              </w:rPr>
              <w:tab/>
            </w:r>
            <w:r>
              <w:rPr>
                <w:noProof/>
                <w:webHidden/>
              </w:rPr>
              <w:fldChar w:fldCharType="begin"/>
            </w:r>
            <w:r>
              <w:rPr>
                <w:noProof/>
                <w:webHidden/>
              </w:rPr>
              <w:instrText xml:space="preserve"> PAGEREF _Toc238759944 \h </w:instrText>
            </w:r>
            <w:r>
              <w:rPr>
                <w:noProof/>
                <w:webHidden/>
              </w:rPr>
            </w:r>
            <w:r>
              <w:rPr>
                <w:noProof/>
                <w:webHidden/>
              </w:rPr>
              <w:fldChar w:fldCharType="separate"/>
            </w:r>
            <w:r>
              <w:rPr>
                <w:noProof/>
                <w:webHidden/>
              </w:rPr>
              <w:t>6</w:t>
            </w:r>
            <w:r>
              <w:rPr>
                <w:noProof/>
                <w:webHidden/>
              </w:rPr>
              <w:fldChar w:fldCharType="end"/>
            </w:r>
          </w:hyperlink>
        </w:p>
        <w:p w14:paraId="62CAF30B" w14:textId="047FA0D5" w:rsidR="0059251A" w:rsidRDefault="0059251A">
          <w:pPr>
            <w:pStyle w:val="Sumrio2"/>
            <w:rPr>
              <w:rFonts w:asciiTheme="minorHAnsi" w:hAnsiTheme="minorHAnsi" w:cstheme="minorBidi"/>
              <w:noProof/>
              <w:kern w:val="2"/>
              <w:szCs w:val="24"/>
              <w:lang w:val="pt-BR" w:eastAsia="pt-BR"/>
              <w14:ligatures w14:val="standardContextual"/>
            </w:rPr>
          </w:pPr>
          <w:hyperlink w:anchor="_Toc238759945" w:history="1">
            <w:r w:rsidRPr="004B5324">
              <w:rPr>
                <w:rStyle w:val="Hyperlink"/>
                <w:rFonts w:eastAsia="Times New Roman"/>
                <w:noProof/>
              </w:rPr>
              <w:t>2.1 Pré-natal e saúde materna</w:t>
            </w:r>
            <w:r>
              <w:rPr>
                <w:noProof/>
                <w:webHidden/>
              </w:rPr>
              <w:tab/>
            </w:r>
            <w:r>
              <w:rPr>
                <w:noProof/>
                <w:webHidden/>
              </w:rPr>
              <w:fldChar w:fldCharType="begin"/>
            </w:r>
            <w:r>
              <w:rPr>
                <w:noProof/>
                <w:webHidden/>
              </w:rPr>
              <w:instrText xml:space="preserve"> PAGEREF _Toc238759945 \h </w:instrText>
            </w:r>
            <w:r>
              <w:rPr>
                <w:noProof/>
                <w:webHidden/>
              </w:rPr>
            </w:r>
            <w:r>
              <w:rPr>
                <w:noProof/>
                <w:webHidden/>
              </w:rPr>
              <w:fldChar w:fldCharType="separate"/>
            </w:r>
            <w:r>
              <w:rPr>
                <w:noProof/>
                <w:webHidden/>
              </w:rPr>
              <w:t>6</w:t>
            </w:r>
            <w:r>
              <w:rPr>
                <w:noProof/>
                <w:webHidden/>
              </w:rPr>
              <w:fldChar w:fldCharType="end"/>
            </w:r>
          </w:hyperlink>
        </w:p>
        <w:p w14:paraId="1EDAD8E5" w14:textId="3BD261BB" w:rsidR="0059251A" w:rsidRDefault="0059251A">
          <w:pPr>
            <w:pStyle w:val="Sumrio2"/>
            <w:rPr>
              <w:rFonts w:asciiTheme="minorHAnsi" w:hAnsiTheme="minorHAnsi" w:cstheme="minorBidi"/>
              <w:noProof/>
              <w:kern w:val="2"/>
              <w:szCs w:val="24"/>
              <w:lang w:val="pt-BR" w:eastAsia="pt-BR"/>
              <w14:ligatures w14:val="standardContextual"/>
            </w:rPr>
          </w:pPr>
          <w:hyperlink w:anchor="_Toc238759946" w:history="1">
            <w:r w:rsidRPr="004B5324">
              <w:rPr>
                <w:rStyle w:val="Hyperlink"/>
                <w:rFonts w:eastAsia="Times New Roman"/>
                <w:noProof/>
              </w:rPr>
              <w:t>2.2 Determinantes Sociais da Saúde</w:t>
            </w:r>
            <w:r>
              <w:rPr>
                <w:noProof/>
                <w:webHidden/>
              </w:rPr>
              <w:tab/>
            </w:r>
            <w:r>
              <w:rPr>
                <w:noProof/>
                <w:webHidden/>
              </w:rPr>
              <w:fldChar w:fldCharType="begin"/>
            </w:r>
            <w:r>
              <w:rPr>
                <w:noProof/>
                <w:webHidden/>
              </w:rPr>
              <w:instrText xml:space="preserve"> PAGEREF _Toc238759946 \h </w:instrText>
            </w:r>
            <w:r>
              <w:rPr>
                <w:noProof/>
                <w:webHidden/>
              </w:rPr>
            </w:r>
            <w:r>
              <w:rPr>
                <w:noProof/>
                <w:webHidden/>
              </w:rPr>
              <w:fldChar w:fldCharType="separate"/>
            </w:r>
            <w:r>
              <w:rPr>
                <w:noProof/>
                <w:webHidden/>
              </w:rPr>
              <w:t>6</w:t>
            </w:r>
            <w:r>
              <w:rPr>
                <w:noProof/>
                <w:webHidden/>
              </w:rPr>
              <w:fldChar w:fldCharType="end"/>
            </w:r>
          </w:hyperlink>
        </w:p>
        <w:p w14:paraId="4CBF923F" w14:textId="318439A4" w:rsidR="0059251A" w:rsidRDefault="0059251A">
          <w:pPr>
            <w:pStyle w:val="Sumrio2"/>
            <w:rPr>
              <w:rFonts w:asciiTheme="minorHAnsi" w:hAnsiTheme="minorHAnsi" w:cstheme="minorBidi"/>
              <w:noProof/>
              <w:kern w:val="2"/>
              <w:szCs w:val="24"/>
              <w:lang w:val="pt-BR" w:eastAsia="pt-BR"/>
              <w14:ligatures w14:val="standardContextual"/>
            </w:rPr>
          </w:pPr>
          <w:hyperlink w:anchor="_Toc238759947" w:history="1">
            <w:r w:rsidRPr="004B5324">
              <w:rPr>
                <w:rStyle w:val="Hyperlink"/>
                <w:rFonts w:eastAsia="Times New Roman"/>
                <w:noProof/>
              </w:rPr>
              <w:t>2.3 Vulnerabilidade e índices compostos</w:t>
            </w:r>
            <w:r>
              <w:rPr>
                <w:noProof/>
                <w:webHidden/>
              </w:rPr>
              <w:tab/>
            </w:r>
            <w:r>
              <w:rPr>
                <w:noProof/>
                <w:webHidden/>
              </w:rPr>
              <w:fldChar w:fldCharType="begin"/>
            </w:r>
            <w:r>
              <w:rPr>
                <w:noProof/>
                <w:webHidden/>
              </w:rPr>
              <w:instrText xml:space="preserve"> PAGEREF _Toc238759947 \h </w:instrText>
            </w:r>
            <w:r>
              <w:rPr>
                <w:noProof/>
                <w:webHidden/>
              </w:rPr>
            </w:r>
            <w:r>
              <w:rPr>
                <w:noProof/>
                <w:webHidden/>
              </w:rPr>
              <w:fldChar w:fldCharType="separate"/>
            </w:r>
            <w:r>
              <w:rPr>
                <w:noProof/>
                <w:webHidden/>
              </w:rPr>
              <w:t>7</w:t>
            </w:r>
            <w:r>
              <w:rPr>
                <w:noProof/>
                <w:webHidden/>
              </w:rPr>
              <w:fldChar w:fldCharType="end"/>
            </w:r>
          </w:hyperlink>
        </w:p>
        <w:p w14:paraId="6C5A588B" w14:textId="07CFA254" w:rsidR="0059251A" w:rsidRDefault="0059251A">
          <w:pPr>
            <w:pStyle w:val="Sumrio2"/>
            <w:rPr>
              <w:rFonts w:asciiTheme="minorHAnsi" w:hAnsiTheme="minorHAnsi" w:cstheme="minorBidi"/>
              <w:noProof/>
              <w:kern w:val="2"/>
              <w:szCs w:val="24"/>
              <w:lang w:val="pt-BR" w:eastAsia="pt-BR"/>
              <w14:ligatures w14:val="standardContextual"/>
            </w:rPr>
          </w:pPr>
          <w:hyperlink w:anchor="_Toc238759948" w:history="1">
            <w:r w:rsidRPr="004B5324">
              <w:rPr>
                <w:rStyle w:val="Hyperlink"/>
                <w:rFonts w:eastAsia="Times New Roman" w:cs="Times New Roman"/>
                <w:noProof/>
              </w:rPr>
              <w:t>2.4 Aprendizado de máquina</w:t>
            </w:r>
            <w:r>
              <w:rPr>
                <w:noProof/>
                <w:webHidden/>
              </w:rPr>
              <w:tab/>
            </w:r>
            <w:r>
              <w:rPr>
                <w:noProof/>
                <w:webHidden/>
              </w:rPr>
              <w:fldChar w:fldCharType="begin"/>
            </w:r>
            <w:r>
              <w:rPr>
                <w:noProof/>
                <w:webHidden/>
              </w:rPr>
              <w:instrText xml:space="preserve"> PAGEREF _Toc238759948 \h </w:instrText>
            </w:r>
            <w:r>
              <w:rPr>
                <w:noProof/>
                <w:webHidden/>
              </w:rPr>
            </w:r>
            <w:r>
              <w:rPr>
                <w:noProof/>
                <w:webHidden/>
              </w:rPr>
              <w:fldChar w:fldCharType="separate"/>
            </w:r>
            <w:r>
              <w:rPr>
                <w:noProof/>
                <w:webHidden/>
              </w:rPr>
              <w:t>8</w:t>
            </w:r>
            <w:r>
              <w:rPr>
                <w:noProof/>
                <w:webHidden/>
              </w:rPr>
              <w:fldChar w:fldCharType="end"/>
            </w:r>
          </w:hyperlink>
        </w:p>
        <w:p w14:paraId="6103CEA5" w14:textId="7EEF97E8" w:rsidR="0059251A" w:rsidRDefault="0059251A">
          <w:pPr>
            <w:pStyle w:val="Sumrio3"/>
            <w:rPr>
              <w:rFonts w:asciiTheme="minorHAnsi" w:hAnsiTheme="minorHAnsi" w:cstheme="minorBidi"/>
              <w:noProof/>
              <w:kern w:val="2"/>
              <w:szCs w:val="24"/>
              <w:lang w:val="pt-BR" w:eastAsia="pt-BR"/>
              <w14:ligatures w14:val="standardContextual"/>
            </w:rPr>
          </w:pPr>
          <w:hyperlink w:anchor="_Toc238759949" w:history="1">
            <w:r w:rsidRPr="004B5324">
              <w:rPr>
                <w:rStyle w:val="Hyperlink"/>
                <w:rFonts w:eastAsia="Times New Roman" w:cs="Times New Roman"/>
                <w:noProof/>
              </w:rPr>
              <w:t>2.4.1 Aprendizado supervisionado</w:t>
            </w:r>
            <w:r>
              <w:rPr>
                <w:noProof/>
                <w:webHidden/>
              </w:rPr>
              <w:tab/>
            </w:r>
            <w:r>
              <w:rPr>
                <w:noProof/>
                <w:webHidden/>
              </w:rPr>
              <w:fldChar w:fldCharType="begin"/>
            </w:r>
            <w:r>
              <w:rPr>
                <w:noProof/>
                <w:webHidden/>
              </w:rPr>
              <w:instrText xml:space="preserve"> PAGEREF _Toc238759949 \h </w:instrText>
            </w:r>
            <w:r>
              <w:rPr>
                <w:noProof/>
                <w:webHidden/>
              </w:rPr>
            </w:r>
            <w:r>
              <w:rPr>
                <w:noProof/>
                <w:webHidden/>
              </w:rPr>
              <w:fldChar w:fldCharType="separate"/>
            </w:r>
            <w:r>
              <w:rPr>
                <w:noProof/>
                <w:webHidden/>
              </w:rPr>
              <w:t>8</w:t>
            </w:r>
            <w:r>
              <w:rPr>
                <w:noProof/>
                <w:webHidden/>
              </w:rPr>
              <w:fldChar w:fldCharType="end"/>
            </w:r>
          </w:hyperlink>
        </w:p>
        <w:p w14:paraId="6A1B7D69" w14:textId="48E7E142" w:rsidR="0059251A" w:rsidRDefault="0059251A">
          <w:pPr>
            <w:pStyle w:val="Sumrio3"/>
            <w:rPr>
              <w:rFonts w:asciiTheme="minorHAnsi" w:hAnsiTheme="minorHAnsi" w:cstheme="minorBidi"/>
              <w:noProof/>
              <w:kern w:val="2"/>
              <w:szCs w:val="24"/>
              <w:lang w:val="pt-BR" w:eastAsia="pt-BR"/>
              <w14:ligatures w14:val="standardContextual"/>
            </w:rPr>
          </w:pPr>
          <w:hyperlink w:anchor="_Toc238759950" w:history="1">
            <w:r w:rsidRPr="004B5324">
              <w:rPr>
                <w:rStyle w:val="Hyperlink"/>
                <w:rFonts w:eastAsia="Times New Roman" w:cs="Times New Roman"/>
                <w:noProof/>
              </w:rPr>
              <w:t>2.4.2 Aprendizado não supervisionado</w:t>
            </w:r>
            <w:r>
              <w:rPr>
                <w:noProof/>
                <w:webHidden/>
              </w:rPr>
              <w:tab/>
            </w:r>
            <w:r>
              <w:rPr>
                <w:noProof/>
                <w:webHidden/>
              </w:rPr>
              <w:fldChar w:fldCharType="begin"/>
            </w:r>
            <w:r>
              <w:rPr>
                <w:noProof/>
                <w:webHidden/>
              </w:rPr>
              <w:instrText xml:space="preserve"> PAGEREF _Toc238759950 \h </w:instrText>
            </w:r>
            <w:r>
              <w:rPr>
                <w:noProof/>
                <w:webHidden/>
              </w:rPr>
            </w:r>
            <w:r>
              <w:rPr>
                <w:noProof/>
                <w:webHidden/>
              </w:rPr>
              <w:fldChar w:fldCharType="separate"/>
            </w:r>
            <w:r>
              <w:rPr>
                <w:noProof/>
                <w:webHidden/>
              </w:rPr>
              <w:t>9</w:t>
            </w:r>
            <w:r>
              <w:rPr>
                <w:noProof/>
                <w:webHidden/>
              </w:rPr>
              <w:fldChar w:fldCharType="end"/>
            </w:r>
          </w:hyperlink>
        </w:p>
        <w:p w14:paraId="3BA70D72" w14:textId="211F504C" w:rsidR="0059251A" w:rsidRDefault="0059251A">
          <w:pPr>
            <w:pStyle w:val="Sumrio3"/>
            <w:rPr>
              <w:rFonts w:asciiTheme="minorHAnsi" w:hAnsiTheme="minorHAnsi" w:cstheme="minorBidi"/>
              <w:noProof/>
              <w:kern w:val="2"/>
              <w:szCs w:val="24"/>
              <w:lang w:val="pt-BR" w:eastAsia="pt-BR"/>
              <w14:ligatures w14:val="standardContextual"/>
            </w:rPr>
          </w:pPr>
          <w:hyperlink w:anchor="_Toc238759951" w:history="1">
            <w:r w:rsidRPr="004B5324">
              <w:rPr>
                <w:rStyle w:val="Hyperlink"/>
                <w:rFonts w:eastAsia="Times New Roman" w:cs="Times New Roman"/>
                <w:noProof/>
              </w:rPr>
              <w:t>2.4.3 Self-Organizing Maps</w:t>
            </w:r>
            <w:r>
              <w:rPr>
                <w:noProof/>
                <w:webHidden/>
              </w:rPr>
              <w:tab/>
            </w:r>
            <w:r>
              <w:rPr>
                <w:noProof/>
                <w:webHidden/>
              </w:rPr>
              <w:fldChar w:fldCharType="begin"/>
            </w:r>
            <w:r>
              <w:rPr>
                <w:noProof/>
                <w:webHidden/>
              </w:rPr>
              <w:instrText xml:space="preserve"> PAGEREF _Toc238759951 \h </w:instrText>
            </w:r>
            <w:r>
              <w:rPr>
                <w:noProof/>
                <w:webHidden/>
              </w:rPr>
            </w:r>
            <w:r>
              <w:rPr>
                <w:noProof/>
                <w:webHidden/>
              </w:rPr>
              <w:fldChar w:fldCharType="separate"/>
            </w:r>
            <w:r>
              <w:rPr>
                <w:noProof/>
                <w:webHidden/>
              </w:rPr>
              <w:t>9</w:t>
            </w:r>
            <w:r>
              <w:rPr>
                <w:noProof/>
                <w:webHidden/>
              </w:rPr>
              <w:fldChar w:fldCharType="end"/>
            </w:r>
          </w:hyperlink>
        </w:p>
        <w:p w14:paraId="12BBA243" w14:textId="593BD8FF" w:rsidR="0059251A" w:rsidRDefault="0059251A">
          <w:pPr>
            <w:pStyle w:val="Sumrio2"/>
            <w:rPr>
              <w:rFonts w:asciiTheme="minorHAnsi" w:hAnsiTheme="minorHAnsi" w:cstheme="minorBidi"/>
              <w:noProof/>
              <w:kern w:val="2"/>
              <w:szCs w:val="24"/>
              <w:lang w:val="pt-BR" w:eastAsia="pt-BR"/>
              <w14:ligatures w14:val="standardContextual"/>
            </w:rPr>
          </w:pPr>
          <w:hyperlink w:anchor="_Toc238759952" w:history="1">
            <w:r w:rsidRPr="004B5324">
              <w:rPr>
                <w:rStyle w:val="Hyperlink"/>
                <w:rFonts w:eastAsia="Times New Roman"/>
                <w:noProof/>
              </w:rPr>
              <w:t>2.5 Trabalhos relacionados</w:t>
            </w:r>
            <w:r>
              <w:rPr>
                <w:noProof/>
                <w:webHidden/>
              </w:rPr>
              <w:tab/>
            </w:r>
            <w:r>
              <w:rPr>
                <w:noProof/>
                <w:webHidden/>
              </w:rPr>
              <w:fldChar w:fldCharType="begin"/>
            </w:r>
            <w:r>
              <w:rPr>
                <w:noProof/>
                <w:webHidden/>
              </w:rPr>
              <w:instrText xml:space="preserve"> PAGEREF _Toc238759952 \h </w:instrText>
            </w:r>
            <w:r>
              <w:rPr>
                <w:noProof/>
                <w:webHidden/>
              </w:rPr>
            </w:r>
            <w:r>
              <w:rPr>
                <w:noProof/>
                <w:webHidden/>
              </w:rPr>
              <w:fldChar w:fldCharType="separate"/>
            </w:r>
            <w:r>
              <w:rPr>
                <w:noProof/>
                <w:webHidden/>
              </w:rPr>
              <w:t>11</w:t>
            </w:r>
            <w:r>
              <w:rPr>
                <w:noProof/>
                <w:webHidden/>
              </w:rPr>
              <w:fldChar w:fldCharType="end"/>
            </w:r>
          </w:hyperlink>
        </w:p>
        <w:p w14:paraId="434CA1A2" w14:textId="7B23D816" w:rsidR="0059251A" w:rsidRDefault="0059251A">
          <w:pPr>
            <w:pStyle w:val="Sumrio1"/>
            <w:rPr>
              <w:rFonts w:asciiTheme="minorHAnsi" w:hAnsiTheme="minorHAnsi" w:cstheme="minorBidi"/>
              <w:noProof/>
              <w:kern w:val="2"/>
              <w:szCs w:val="24"/>
              <w:lang w:val="pt-BR" w:eastAsia="pt-BR"/>
              <w14:ligatures w14:val="standardContextual"/>
            </w:rPr>
          </w:pPr>
          <w:hyperlink w:anchor="_Toc238759953" w:history="1">
            <w:r w:rsidRPr="004B5324">
              <w:rPr>
                <w:rStyle w:val="Hyperlink"/>
                <w:rFonts w:eastAsia="Times New Roman"/>
                <w:noProof/>
              </w:rPr>
              <w:t>3 METODOLOGIA</w:t>
            </w:r>
            <w:r>
              <w:rPr>
                <w:noProof/>
                <w:webHidden/>
              </w:rPr>
              <w:tab/>
            </w:r>
            <w:r>
              <w:rPr>
                <w:noProof/>
                <w:webHidden/>
              </w:rPr>
              <w:fldChar w:fldCharType="begin"/>
            </w:r>
            <w:r>
              <w:rPr>
                <w:noProof/>
                <w:webHidden/>
              </w:rPr>
              <w:instrText xml:space="preserve"> PAGEREF _Toc238759953 \h </w:instrText>
            </w:r>
            <w:r>
              <w:rPr>
                <w:noProof/>
                <w:webHidden/>
              </w:rPr>
            </w:r>
            <w:r>
              <w:rPr>
                <w:noProof/>
                <w:webHidden/>
              </w:rPr>
              <w:fldChar w:fldCharType="separate"/>
            </w:r>
            <w:r>
              <w:rPr>
                <w:noProof/>
                <w:webHidden/>
              </w:rPr>
              <w:t>13</w:t>
            </w:r>
            <w:r>
              <w:rPr>
                <w:noProof/>
                <w:webHidden/>
              </w:rPr>
              <w:fldChar w:fldCharType="end"/>
            </w:r>
          </w:hyperlink>
        </w:p>
        <w:p w14:paraId="6DE18DA7" w14:textId="29F2B7C2" w:rsidR="0059251A" w:rsidRDefault="0059251A">
          <w:pPr>
            <w:pStyle w:val="Sumrio2"/>
            <w:rPr>
              <w:rFonts w:asciiTheme="minorHAnsi" w:hAnsiTheme="minorHAnsi" w:cstheme="minorBidi"/>
              <w:noProof/>
              <w:kern w:val="2"/>
              <w:szCs w:val="24"/>
              <w:lang w:val="pt-BR" w:eastAsia="pt-BR"/>
              <w14:ligatures w14:val="standardContextual"/>
            </w:rPr>
          </w:pPr>
          <w:hyperlink w:anchor="_Toc238759954" w:history="1">
            <w:r w:rsidRPr="004B5324">
              <w:rPr>
                <w:rStyle w:val="Hyperlink"/>
                <w:rFonts w:eastAsia="Times New Roman"/>
                <w:noProof/>
              </w:rPr>
              <w:t>3.1 Tipo de pesquisa</w:t>
            </w:r>
            <w:r>
              <w:rPr>
                <w:noProof/>
                <w:webHidden/>
              </w:rPr>
              <w:tab/>
            </w:r>
            <w:r>
              <w:rPr>
                <w:noProof/>
                <w:webHidden/>
              </w:rPr>
              <w:fldChar w:fldCharType="begin"/>
            </w:r>
            <w:r>
              <w:rPr>
                <w:noProof/>
                <w:webHidden/>
              </w:rPr>
              <w:instrText xml:space="preserve"> PAGEREF _Toc238759954 \h </w:instrText>
            </w:r>
            <w:r>
              <w:rPr>
                <w:noProof/>
                <w:webHidden/>
              </w:rPr>
            </w:r>
            <w:r>
              <w:rPr>
                <w:noProof/>
                <w:webHidden/>
              </w:rPr>
              <w:fldChar w:fldCharType="separate"/>
            </w:r>
            <w:r>
              <w:rPr>
                <w:noProof/>
                <w:webHidden/>
              </w:rPr>
              <w:t>13</w:t>
            </w:r>
            <w:r>
              <w:rPr>
                <w:noProof/>
                <w:webHidden/>
              </w:rPr>
              <w:fldChar w:fldCharType="end"/>
            </w:r>
          </w:hyperlink>
        </w:p>
        <w:p w14:paraId="01043CA7" w14:textId="56B2FD87" w:rsidR="0059251A" w:rsidRDefault="0059251A">
          <w:pPr>
            <w:pStyle w:val="Sumrio2"/>
            <w:rPr>
              <w:rFonts w:asciiTheme="minorHAnsi" w:hAnsiTheme="minorHAnsi" w:cstheme="minorBidi"/>
              <w:noProof/>
              <w:kern w:val="2"/>
              <w:szCs w:val="24"/>
              <w:lang w:val="pt-BR" w:eastAsia="pt-BR"/>
              <w14:ligatures w14:val="standardContextual"/>
            </w:rPr>
          </w:pPr>
          <w:hyperlink w:anchor="_Toc238759955" w:history="1">
            <w:r w:rsidRPr="004B5324">
              <w:rPr>
                <w:rStyle w:val="Hyperlink"/>
                <w:rFonts w:eastAsia="Times New Roman"/>
                <w:noProof/>
              </w:rPr>
              <w:t>3.2 Determinantes Sociais da Saúde utilizados</w:t>
            </w:r>
            <w:r>
              <w:rPr>
                <w:noProof/>
                <w:webHidden/>
              </w:rPr>
              <w:tab/>
            </w:r>
            <w:r>
              <w:rPr>
                <w:noProof/>
                <w:webHidden/>
              </w:rPr>
              <w:fldChar w:fldCharType="begin"/>
            </w:r>
            <w:r>
              <w:rPr>
                <w:noProof/>
                <w:webHidden/>
              </w:rPr>
              <w:instrText xml:space="preserve"> PAGEREF _Toc238759955 \h </w:instrText>
            </w:r>
            <w:r>
              <w:rPr>
                <w:noProof/>
                <w:webHidden/>
              </w:rPr>
            </w:r>
            <w:r>
              <w:rPr>
                <w:noProof/>
                <w:webHidden/>
              </w:rPr>
              <w:fldChar w:fldCharType="separate"/>
            </w:r>
            <w:r>
              <w:rPr>
                <w:noProof/>
                <w:webHidden/>
              </w:rPr>
              <w:t>13</w:t>
            </w:r>
            <w:r>
              <w:rPr>
                <w:noProof/>
                <w:webHidden/>
              </w:rPr>
              <w:fldChar w:fldCharType="end"/>
            </w:r>
          </w:hyperlink>
        </w:p>
        <w:p w14:paraId="1A97853F" w14:textId="5990B7DE" w:rsidR="0059251A" w:rsidRDefault="0059251A">
          <w:pPr>
            <w:pStyle w:val="Sumrio2"/>
            <w:rPr>
              <w:rFonts w:asciiTheme="minorHAnsi" w:hAnsiTheme="minorHAnsi" w:cstheme="minorBidi"/>
              <w:noProof/>
              <w:kern w:val="2"/>
              <w:szCs w:val="24"/>
              <w:lang w:val="pt-BR" w:eastAsia="pt-BR"/>
              <w14:ligatures w14:val="standardContextual"/>
            </w:rPr>
          </w:pPr>
          <w:hyperlink w:anchor="_Toc238759956" w:history="1">
            <w:r w:rsidRPr="004B5324">
              <w:rPr>
                <w:rStyle w:val="Hyperlink"/>
                <w:rFonts w:eastAsia="Times New Roman"/>
                <w:noProof/>
              </w:rPr>
              <w:t>3.3 Construção do Índice de Vulnerabilidade dos DSS (IV-DSS)</w:t>
            </w:r>
            <w:r>
              <w:rPr>
                <w:noProof/>
                <w:webHidden/>
              </w:rPr>
              <w:tab/>
            </w:r>
            <w:r>
              <w:rPr>
                <w:noProof/>
                <w:webHidden/>
              </w:rPr>
              <w:fldChar w:fldCharType="begin"/>
            </w:r>
            <w:r>
              <w:rPr>
                <w:noProof/>
                <w:webHidden/>
              </w:rPr>
              <w:instrText xml:space="preserve"> PAGEREF _Toc238759956 \h </w:instrText>
            </w:r>
            <w:r>
              <w:rPr>
                <w:noProof/>
                <w:webHidden/>
              </w:rPr>
            </w:r>
            <w:r>
              <w:rPr>
                <w:noProof/>
                <w:webHidden/>
              </w:rPr>
              <w:fldChar w:fldCharType="separate"/>
            </w:r>
            <w:r>
              <w:rPr>
                <w:noProof/>
                <w:webHidden/>
              </w:rPr>
              <w:t>14</w:t>
            </w:r>
            <w:r>
              <w:rPr>
                <w:noProof/>
                <w:webHidden/>
              </w:rPr>
              <w:fldChar w:fldCharType="end"/>
            </w:r>
          </w:hyperlink>
        </w:p>
        <w:p w14:paraId="41DF8CAB" w14:textId="076AF270" w:rsidR="0059251A" w:rsidRDefault="0059251A">
          <w:pPr>
            <w:pStyle w:val="Sumrio3"/>
            <w:rPr>
              <w:rFonts w:asciiTheme="minorHAnsi" w:hAnsiTheme="minorHAnsi" w:cstheme="minorBidi"/>
              <w:noProof/>
              <w:kern w:val="2"/>
              <w:szCs w:val="24"/>
              <w:lang w:val="pt-BR" w:eastAsia="pt-BR"/>
              <w14:ligatures w14:val="standardContextual"/>
            </w:rPr>
          </w:pPr>
          <w:hyperlink w:anchor="_Toc238759957" w:history="1">
            <w:r w:rsidRPr="004B5324">
              <w:rPr>
                <w:rStyle w:val="Hyperlink"/>
                <w:rFonts w:eastAsia="Times New Roman"/>
                <w:noProof/>
              </w:rPr>
              <w:t>3.3.1 Definição conceitual</w:t>
            </w:r>
            <w:r>
              <w:rPr>
                <w:noProof/>
                <w:webHidden/>
              </w:rPr>
              <w:tab/>
            </w:r>
            <w:r>
              <w:rPr>
                <w:noProof/>
                <w:webHidden/>
              </w:rPr>
              <w:fldChar w:fldCharType="begin"/>
            </w:r>
            <w:r>
              <w:rPr>
                <w:noProof/>
                <w:webHidden/>
              </w:rPr>
              <w:instrText xml:space="preserve"> PAGEREF _Toc238759957 \h </w:instrText>
            </w:r>
            <w:r>
              <w:rPr>
                <w:noProof/>
                <w:webHidden/>
              </w:rPr>
            </w:r>
            <w:r>
              <w:rPr>
                <w:noProof/>
                <w:webHidden/>
              </w:rPr>
              <w:fldChar w:fldCharType="separate"/>
            </w:r>
            <w:r>
              <w:rPr>
                <w:noProof/>
                <w:webHidden/>
              </w:rPr>
              <w:t>14</w:t>
            </w:r>
            <w:r>
              <w:rPr>
                <w:noProof/>
                <w:webHidden/>
              </w:rPr>
              <w:fldChar w:fldCharType="end"/>
            </w:r>
          </w:hyperlink>
        </w:p>
        <w:p w14:paraId="382445BD" w14:textId="2AC4CB94" w:rsidR="0059251A" w:rsidRDefault="0059251A">
          <w:pPr>
            <w:pStyle w:val="Sumrio3"/>
            <w:rPr>
              <w:rFonts w:asciiTheme="minorHAnsi" w:hAnsiTheme="minorHAnsi" w:cstheme="minorBidi"/>
              <w:noProof/>
              <w:kern w:val="2"/>
              <w:szCs w:val="24"/>
              <w:lang w:val="pt-BR" w:eastAsia="pt-BR"/>
              <w14:ligatures w14:val="standardContextual"/>
            </w:rPr>
          </w:pPr>
          <w:hyperlink w:anchor="_Toc238759958" w:history="1">
            <w:r w:rsidRPr="004B5324">
              <w:rPr>
                <w:rStyle w:val="Hyperlink"/>
                <w:rFonts w:eastAsia="Times New Roman"/>
                <w:noProof/>
              </w:rPr>
              <w:t>3.3.2 Estrutura (três níveis de agregação)</w:t>
            </w:r>
            <w:r>
              <w:rPr>
                <w:noProof/>
                <w:webHidden/>
              </w:rPr>
              <w:tab/>
            </w:r>
            <w:r>
              <w:rPr>
                <w:noProof/>
                <w:webHidden/>
              </w:rPr>
              <w:fldChar w:fldCharType="begin"/>
            </w:r>
            <w:r>
              <w:rPr>
                <w:noProof/>
                <w:webHidden/>
              </w:rPr>
              <w:instrText xml:space="preserve"> PAGEREF _Toc238759958 \h </w:instrText>
            </w:r>
            <w:r>
              <w:rPr>
                <w:noProof/>
                <w:webHidden/>
              </w:rPr>
            </w:r>
            <w:r>
              <w:rPr>
                <w:noProof/>
                <w:webHidden/>
              </w:rPr>
              <w:fldChar w:fldCharType="separate"/>
            </w:r>
            <w:r>
              <w:rPr>
                <w:noProof/>
                <w:webHidden/>
              </w:rPr>
              <w:t>15</w:t>
            </w:r>
            <w:r>
              <w:rPr>
                <w:noProof/>
                <w:webHidden/>
              </w:rPr>
              <w:fldChar w:fldCharType="end"/>
            </w:r>
          </w:hyperlink>
        </w:p>
        <w:p w14:paraId="62943C13" w14:textId="7A8F7967" w:rsidR="0059251A" w:rsidRDefault="0059251A">
          <w:pPr>
            <w:pStyle w:val="Sumrio3"/>
            <w:rPr>
              <w:rFonts w:asciiTheme="minorHAnsi" w:hAnsiTheme="minorHAnsi" w:cstheme="minorBidi"/>
              <w:noProof/>
              <w:kern w:val="2"/>
              <w:szCs w:val="24"/>
              <w:lang w:val="pt-BR" w:eastAsia="pt-BR"/>
              <w14:ligatures w14:val="standardContextual"/>
            </w:rPr>
          </w:pPr>
          <w:hyperlink w:anchor="_Toc238759959" w:history="1">
            <w:r w:rsidRPr="004B5324">
              <w:rPr>
                <w:rStyle w:val="Hyperlink"/>
                <w:rFonts w:eastAsia="Times New Roman"/>
                <w:noProof/>
              </w:rPr>
              <w:t>3.3.3 Indicadores e escores por dimensão</w:t>
            </w:r>
            <w:r>
              <w:rPr>
                <w:noProof/>
                <w:webHidden/>
              </w:rPr>
              <w:tab/>
            </w:r>
            <w:r>
              <w:rPr>
                <w:noProof/>
                <w:webHidden/>
              </w:rPr>
              <w:fldChar w:fldCharType="begin"/>
            </w:r>
            <w:r>
              <w:rPr>
                <w:noProof/>
                <w:webHidden/>
              </w:rPr>
              <w:instrText xml:space="preserve"> PAGEREF _Toc238759959 \h </w:instrText>
            </w:r>
            <w:r>
              <w:rPr>
                <w:noProof/>
                <w:webHidden/>
              </w:rPr>
            </w:r>
            <w:r>
              <w:rPr>
                <w:noProof/>
                <w:webHidden/>
              </w:rPr>
              <w:fldChar w:fldCharType="separate"/>
            </w:r>
            <w:r>
              <w:rPr>
                <w:noProof/>
                <w:webHidden/>
              </w:rPr>
              <w:t>16</w:t>
            </w:r>
            <w:r>
              <w:rPr>
                <w:noProof/>
                <w:webHidden/>
              </w:rPr>
              <w:fldChar w:fldCharType="end"/>
            </w:r>
          </w:hyperlink>
        </w:p>
        <w:p w14:paraId="6BD18BA0" w14:textId="1B751382" w:rsidR="0059251A" w:rsidRDefault="0059251A">
          <w:pPr>
            <w:pStyle w:val="Sumrio3"/>
            <w:rPr>
              <w:rFonts w:asciiTheme="minorHAnsi" w:hAnsiTheme="minorHAnsi" w:cstheme="minorBidi"/>
              <w:noProof/>
              <w:kern w:val="2"/>
              <w:szCs w:val="24"/>
              <w:lang w:val="pt-BR" w:eastAsia="pt-BR"/>
              <w14:ligatures w14:val="standardContextual"/>
            </w:rPr>
          </w:pPr>
          <w:hyperlink w:anchor="_Toc238759960" w:history="1">
            <w:r w:rsidRPr="004B5324">
              <w:rPr>
                <w:rStyle w:val="Hyperlink"/>
                <w:rFonts w:eastAsia="Times New Roman"/>
                <w:noProof/>
              </w:rPr>
              <w:t>3.3.4 Pesos</w:t>
            </w:r>
            <w:r>
              <w:rPr>
                <w:noProof/>
                <w:webHidden/>
              </w:rPr>
              <w:tab/>
            </w:r>
            <w:r>
              <w:rPr>
                <w:noProof/>
                <w:webHidden/>
              </w:rPr>
              <w:fldChar w:fldCharType="begin"/>
            </w:r>
            <w:r>
              <w:rPr>
                <w:noProof/>
                <w:webHidden/>
              </w:rPr>
              <w:instrText xml:space="preserve"> PAGEREF _Toc238759960 \h </w:instrText>
            </w:r>
            <w:r>
              <w:rPr>
                <w:noProof/>
                <w:webHidden/>
              </w:rPr>
            </w:r>
            <w:r>
              <w:rPr>
                <w:noProof/>
                <w:webHidden/>
              </w:rPr>
              <w:fldChar w:fldCharType="separate"/>
            </w:r>
            <w:r>
              <w:rPr>
                <w:noProof/>
                <w:webHidden/>
              </w:rPr>
              <w:t>17</w:t>
            </w:r>
            <w:r>
              <w:rPr>
                <w:noProof/>
                <w:webHidden/>
              </w:rPr>
              <w:fldChar w:fldCharType="end"/>
            </w:r>
          </w:hyperlink>
        </w:p>
        <w:p w14:paraId="60E67A73" w14:textId="695FD7E3" w:rsidR="0059251A" w:rsidRDefault="0059251A">
          <w:pPr>
            <w:pStyle w:val="Sumrio3"/>
            <w:rPr>
              <w:rFonts w:asciiTheme="minorHAnsi" w:hAnsiTheme="minorHAnsi" w:cstheme="minorBidi"/>
              <w:noProof/>
              <w:kern w:val="2"/>
              <w:szCs w:val="24"/>
              <w:lang w:val="pt-BR" w:eastAsia="pt-BR"/>
              <w14:ligatures w14:val="standardContextual"/>
            </w:rPr>
          </w:pPr>
          <w:hyperlink w:anchor="_Toc238759961" w:history="1">
            <w:r w:rsidRPr="004B5324">
              <w:rPr>
                <w:rStyle w:val="Hyperlink"/>
                <w:rFonts w:eastAsia="Times New Roman"/>
                <w:noProof/>
              </w:rPr>
              <w:t>3.3.5 Escala e interpretação</w:t>
            </w:r>
            <w:r>
              <w:rPr>
                <w:noProof/>
                <w:webHidden/>
              </w:rPr>
              <w:tab/>
            </w:r>
            <w:r>
              <w:rPr>
                <w:noProof/>
                <w:webHidden/>
              </w:rPr>
              <w:fldChar w:fldCharType="begin"/>
            </w:r>
            <w:r>
              <w:rPr>
                <w:noProof/>
                <w:webHidden/>
              </w:rPr>
              <w:instrText xml:space="preserve"> PAGEREF _Toc238759961 \h </w:instrText>
            </w:r>
            <w:r>
              <w:rPr>
                <w:noProof/>
                <w:webHidden/>
              </w:rPr>
            </w:r>
            <w:r>
              <w:rPr>
                <w:noProof/>
                <w:webHidden/>
              </w:rPr>
              <w:fldChar w:fldCharType="separate"/>
            </w:r>
            <w:r>
              <w:rPr>
                <w:noProof/>
                <w:webHidden/>
              </w:rPr>
              <w:t>18</w:t>
            </w:r>
            <w:r>
              <w:rPr>
                <w:noProof/>
                <w:webHidden/>
              </w:rPr>
              <w:fldChar w:fldCharType="end"/>
            </w:r>
          </w:hyperlink>
        </w:p>
        <w:p w14:paraId="04F47B67" w14:textId="5866E77D" w:rsidR="0059251A" w:rsidRDefault="0059251A">
          <w:pPr>
            <w:pStyle w:val="Sumrio3"/>
            <w:rPr>
              <w:rFonts w:asciiTheme="minorHAnsi" w:hAnsiTheme="minorHAnsi" w:cstheme="minorBidi"/>
              <w:noProof/>
              <w:kern w:val="2"/>
              <w:szCs w:val="24"/>
              <w:lang w:val="pt-BR" w:eastAsia="pt-BR"/>
              <w14:ligatures w14:val="standardContextual"/>
            </w:rPr>
          </w:pPr>
          <w:hyperlink w:anchor="_Toc238759962" w:history="1">
            <w:r w:rsidRPr="004B5324">
              <w:rPr>
                <w:rStyle w:val="Hyperlink"/>
                <w:rFonts w:eastAsia="Times New Roman"/>
                <w:noProof/>
              </w:rPr>
              <w:t>3.3.6 Política de missing e validade</w:t>
            </w:r>
            <w:r>
              <w:rPr>
                <w:noProof/>
                <w:webHidden/>
              </w:rPr>
              <w:tab/>
            </w:r>
            <w:r>
              <w:rPr>
                <w:noProof/>
                <w:webHidden/>
              </w:rPr>
              <w:fldChar w:fldCharType="begin"/>
            </w:r>
            <w:r>
              <w:rPr>
                <w:noProof/>
                <w:webHidden/>
              </w:rPr>
              <w:instrText xml:space="preserve"> PAGEREF _Toc238759962 \h </w:instrText>
            </w:r>
            <w:r>
              <w:rPr>
                <w:noProof/>
                <w:webHidden/>
              </w:rPr>
            </w:r>
            <w:r>
              <w:rPr>
                <w:noProof/>
                <w:webHidden/>
              </w:rPr>
              <w:fldChar w:fldCharType="separate"/>
            </w:r>
            <w:r>
              <w:rPr>
                <w:noProof/>
                <w:webHidden/>
              </w:rPr>
              <w:t>18</w:t>
            </w:r>
            <w:r>
              <w:rPr>
                <w:noProof/>
                <w:webHidden/>
              </w:rPr>
              <w:fldChar w:fldCharType="end"/>
            </w:r>
          </w:hyperlink>
        </w:p>
        <w:p w14:paraId="322EC7EE" w14:textId="6093A274" w:rsidR="0059251A" w:rsidRDefault="0059251A">
          <w:pPr>
            <w:pStyle w:val="Sumrio3"/>
            <w:rPr>
              <w:rFonts w:asciiTheme="minorHAnsi" w:hAnsiTheme="minorHAnsi" w:cstheme="minorBidi"/>
              <w:noProof/>
              <w:kern w:val="2"/>
              <w:szCs w:val="24"/>
              <w:lang w:val="pt-BR" w:eastAsia="pt-BR"/>
              <w14:ligatures w14:val="standardContextual"/>
            </w:rPr>
          </w:pPr>
          <w:hyperlink w:anchor="_Toc238759963" w:history="1">
            <w:r w:rsidRPr="004B5324">
              <w:rPr>
                <w:rStyle w:val="Hyperlink"/>
                <w:rFonts w:eastAsia="Times New Roman"/>
                <w:noProof/>
              </w:rPr>
              <w:t>3.3.7 Análises de sensibilidade</w:t>
            </w:r>
            <w:r>
              <w:rPr>
                <w:noProof/>
                <w:webHidden/>
              </w:rPr>
              <w:tab/>
            </w:r>
            <w:r>
              <w:rPr>
                <w:noProof/>
                <w:webHidden/>
              </w:rPr>
              <w:fldChar w:fldCharType="begin"/>
            </w:r>
            <w:r>
              <w:rPr>
                <w:noProof/>
                <w:webHidden/>
              </w:rPr>
              <w:instrText xml:space="preserve"> PAGEREF _Toc238759963 \h </w:instrText>
            </w:r>
            <w:r>
              <w:rPr>
                <w:noProof/>
                <w:webHidden/>
              </w:rPr>
            </w:r>
            <w:r>
              <w:rPr>
                <w:noProof/>
                <w:webHidden/>
              </w:rPr>
              <w:fldChar w:fldCharType="separate"/>
            </w:r>
            <w:r>
              <w:rPr>
                <w:noProof/>
                <w:webHidden/>
              </w:rPr>
              <w:t>18</w:t>
            </w:r>
            <w:r>
              <w:rPr>
                <w:noProof/>
                <w:webHidden/>
              </w:rPr>
              <w:fldChar w:fldCharType="end"/>
            </w:r>
          </w:hyperlink>
        </w:p>
        <w:p w14:paraId="47B8C110" w14:textId="260066FE" w:rsidR="0059251A" w:rsidRDefault="0059251A">
          <w:pPr>
            <w:pStyle w:val="Sumrio2"/>
            <w:rPr>
              <w:rFonts w:asciiTheme="minorHAnsi" w:hAnsiTheme="minorHAnsi" w:cstheme="minorBidi"/>
              <w:noProof/>
              <w:kern w:val="2"/>
              <w:szCs w:val="24"/>
              <w:lang w:val="pt-BR" w:eastAsia="pt-BR"/>
              <w14:ligatures w14:val="standardContextual"/>
            </w:rPr>
          </w:pPr>
          <w:hyperlink w:anchor="_Toc238759964" w:history="1">
            <w:r w:rsidRPr="004B5324">
              <w:rPr>
                <w:rStyle w:val="Hyperlink"/>
                <w:rFonts w:eastAsia="Times New Roman"/>
                <w:noProof/>
              </w:rPr>
              <w:t>3.4 Modelagem dos dados</w:t>
            </w:r>
            <w:r>
              <w:rPr>
                <w:noProof/>
                <w:webHidden/>
              </w:rPr>
              <w:tab/>
            </w:r>
            <w:r>
              <w:rPr>
                <w:noProof/>
                <w:webHidden/>
              </w:rPr>
              <w:fldChar w:fldCharType="begin"/>
            </w:r>
            <w:r>
              <w:rPr>
                <w:noProof/>
                <w:webHidden/>
              </w:rPr>
              <w:instrText xml:space="preserve"> PAGEREF _Toc238759964 \h </w:instrText>
            </w:r>
            <w:r>
              <w:rPr>
                <w:noProof/>
                <w:webHidden/>
              </w:rPr>
            </w:r>
            <w:r>
              <w:rPr>
                <w:noProof/>
                <w:webHidden/>
              </w:rPr>
              <w:fldChar w:fldCharType="separate"/>
            </w:r>
            <w:r>
              <w:rPr>
                <w:noProof/>
                <w:webHidden/>
              </w:rPr>
              <w:t>18</w:t>
            </w:r>
            <w:r>
              <w:rPr>
                <w:noProof/>
                <w:webHidden/>
              </w:rPr>
              <w:fldChar w:fldCharType="end"/>
            </w:r>
          </w:hyperlink>
        </w:p>
        <w:p w14:paraId="15D36738" w14:textId="4169C194" w:rsidR="0059251A" w:rsidRDefault="0059251A">
          <w:pPr>
            <w:pStyle w:val="Sumrio2"/>
            <w:rPr>
              <w:rFonts w:asciiTheme="minorHAnsi" w:hAnsiTheme="minorHAnsi" w:cstheme="minorBidi"/>
              <w:noProof/>
              <w:kern w:val="2"/>
              <w:szCs w:val="24"/>
              <w:lang w:val="pt-BR" w:eastAsia="pt-BR"/>
              <w14:ligatures w14:val="standardContextual"/>
            </w:rPr>
          </w:pPr>
          <w:hyperlink w:anchor="_Toc238759965" w:history="1">
            <w:r w:rsidRPr="004B5324">
              <w:rPr>
                <w:rStyle w:val="Hyperlink"/>
                <w:rFonts w:eastAsia="Times New Roman"/>
                <w:noProof/>
              </w:rPr>
              <w:t>3.5 População, T0 e variável-alvo</w:t>
            </w:r>
            <w:r>
              <w:rPr>
                <w:noProof/>
                <w:webHidden/>
              </w:rPr>
              <w:tab/>
            </w:r>
            <w:r>
              <w:rPr>
                <w:noProof/>
                <w:webHidden/>
              </w:rPr>
              <w:fldChar w:fldCharType="begin"/>
            </w:r>
            <w:r>
              <w:rPr>
                <w:noProof/>
                <w:webHidden/>
              </w:rPr>
              <w:instrText xml:space="preserve"> PAGEREF _Toc238759965 \h </w:instrText>
            </w:r>
            <w:r>
              <w:rPr>
                <w:noProof/>
                <w:webHidden/>
              </w:rPr>
            </w:r>
            <w:r>
              <w:rPr>
                <w:noProof/>
                <w:webHidden/>
              </w:rPr>
              <w:fldChar w:fldCharType="separate"/>
            </w:r>
            <w:r>
              <w:rPr>
                <w:noProof/>
                <w:webHidden/>
              </w:rPr>
              <w:t>19</w:t>
            </w:r>
            <w:r>
              <w:rPr>
                <w:noProof/>
                <w:webHidden/>
              </w:rPr>
              <w:fldChar w:fldCharType="end"/>
            </w:r>
          </w:hyperlink>
        </w:p>
        <w:p w14:paraId="6A2B921A" w14:textId="164538D0" w:rsidR="0059251A" w:rsidRDefault="0059251A">
          <w:pPr>
            <w:pStyle w:val="Sumrio2"/>
            <w:rPr>
              <w:rFonts w:asciiTheme="minorHAnsi" w:hAnsiTheme="minorHAnsi" w:cstheme="minorBidi"/>
              <w:noProof/>
              <w:kern w:val="2"/>
              <w:szCs w:val="24"/>
              <w:lang w:val="pt-BR" w:eastAsia="pt-BR"/>
              <w14:ligatures w14:val="standardContextual"/>
            </w:rPr>
          </w:pPr>
          <w:hyperlink w:anchor="_Toc238759966" w:history="1">
            <w:r w:rsidRPr="004B5324">
              <w:rPr>
                <w:rStyle w:val="Hyperlink"/>
                <w:rFonts w:eastAsia="Times New Roman"/>
                <w:noProof/>
              </w:rPr>
              <w:t>3.6 Geração do dataset sintético</w:t>
            </w:r>
            <w:r>
              <w:rPr>
                <w:noProof/>
                <w:webHidden/>
              </w:rPr>
              <w:tab/>
            </w:r>
            <w:r>
              <w:rPr>
                <w:noProof/>
                <w:webHidden/>
              </w:rPr>
              <w:fldChar w:fldCharType="begin"/>
            </w:r>
            <w:r>
              <w:rPr>
                <w:noProof/>
                <w:webHidden/>
              </w:rPr>
              <w:instrText xml:space="preserve"> PAGEREF _Toc238759966 \h </w:instrText>
            </w:r>
            <w:r>
              <w:rPr>
                <w:noProof/>
                <w:webHidden/>
              </w:rPr>
            </w:r>
            <w:r>
              <w:rPr>
                <w:noProof/>
                <w:webHidden/>
              </w:rPr>
              <w:fldChar w:fldCharType="separate"/>
            </w:r>
            <w:r>
              <w:rPr>
                <w:noProof/>
                <w:webHidden/>
              </w:rPr>
              <w:t>20</w:t>
            </w:r>
            <w:r>
              <w:rPr>
                <w:noProof/>
                <w:webHidden/>
              </w:rPr>
              <w:fldChar w:fldCharType="end"/>
            </w:r>
          </w:hyperlink>
        </w:p>
        <w:p w14:paraId="2490E995" w14:textId="5F4FE3B2" w:rsidR="0059251A" w:rsidRDefault="0059251A">
          <w:pPr>
            <w:pStyle w:val="Sumrio2"/>
            <w:rPr>
              <w:rFonts w:asciiTheme="minorHAnsi" w:hAnsiTheme="minorHAnsi" w:cstheme="minorBidi"/>
              <w:noProof/>
              <w:kern w:val="2"/>
              <w:szCs w:val="24"/>
              <w:lang w:val="pt-BR" w:eastAsia="pt-BR"/>
              <w14:ligatures w14:val="standardContextual"/>
            </w:rPr>
          </w:pPr>
          <w:hyperlink w:anchor="_Toc238759967" w:history="1">
            <w:r w:rsidRPr="004B5324">
              <w:rPr>
                <w:rStyle w:val="Hyperlink"/>
                <w:rFonts w:eastAsia="Times New Roman"/>
                <w:noProof/>
              </w:rPr>
              <w:t>3.7 Seleção de variáveis e controle de leakage</w:t>
            </w:r>
            <w:r>
              <w:rPr>
                <w:noProof/>
                <w:webHidden/>
              </w:rPr>
              <w:tab/>
            </w:r>
            <w:r>
              <w:rPr>
                <w:noProof/>
                <w:webHidden/>
              </w:rPr>
              <w:fldChar w:fldCharType="begin"/>
            </w:r>
            <w:r>
              <w:rPr>
                <w:noProof/>
                <w:webHidden/>
              </w:rPr>
              <w:instrText xml:space="preserve"> PAGEREF _Toc238759967 \h </w:instrText>
            </w:r>
            <w:r>
              <w:rPr>
                <w:noProof/>
                <w:webHidden/>
              </w:rPr>
            </w:r>
            <w:r>
              <w:rPr>
                <w:noProof/>
                <w:webHidden/>
              </w:rPr>
              <w:fldChar w:fldCharType="separate"/>
            </w:r>
            <w:r>
              <w:rPr>
                <w:noProof/>
                <w:webHidden/>
              </w:rPr>
              <w:t>23</w:t>
            </w:r>
            <w:r>
              <w:rPr>
                <w:noProof/>
                <w:webHidden/>
              </w:rPr>
              <w:fldChar w:fldCharType="end"/>
            </w:r>
          </w:hyperlink>
        </w:p>
        <w:p w14:paraId="665DAF73" w14:textId="052B7E78" w:rsidR="0059251A" w:rsidRDefault="0059251A">
          <w:pPr>
            <w:pStyle w:val="Sumrio2"/>
            <w:rPr>
              <w:rFonts w:asciiTheme="minorHAnsi" w:hAnsiTheme="minorHAnsi" w:cstheme="minorBidi"/>
              <w:noProof/>
              <w:kern w:val="2"/>
              <w:szCs w:val="24"/>
              <w:lang w:val="pt-BR" w:eastAsia="pt-BR"/>
              <w14:ligatures w14:val="standardContextual"/>
            </w:rPr>
          </w:pPr>
          <w:hyperlink w:anchor="_Toc238759968" w:history="1">
            <w:r w:rsidRPr="004B5324">
              <w:rPr>
                <w:rStyle w:val="Hyperlink"/>
                <w:rFonts w:eastAsia="Times New Roman"/>
                <w:noProof/>
              </w:rPr>
              <w:t>3.8 Modelos de aprendizado de máquina</w:t>
            </w:r>
            <w:r>
              <w:rPr>
                <w:noProof/>
                <w:webHidden/>
              </w:rPr>
              <w:tab/>
            </w:r>
            <w:r>
              <w:rPr>
                <w:noProof/>
                <w:webHidden/>
              </w:rPr>
              <w:fldChar w:fldCharType="begin"/>
            </w:r>
            <w:r>
              <w:rPr>
                <w:noProof/>
                <w:webHidden/>
              </w:rPr>
              <w:instrText xml:space="preserve"> PAGEREF _Toc238759968 \h </w:instrText>
            </w:r>
            <w:r>
              <w:rPr>
                <w:noProof/>
                <w:webHidden/>
              </w:rPr>
            </w:r>
            <w:r>
              <w:rPr>
                <w:noProof/>
                <w:webHidden/>
              </w:rPr>
              <w:fldChar w:fldCharType="separate"/>
            </w:r>
            <w:r>
              <w:rPr>
                <w:noProof/>
                <w:webHidden/>
              </w:rPr>
              <w:t>24</w:t>
            </w:r>
            <w:r>
              <w:rPr>
                <w:noProof/>
                <w:webHidden/>
              </w:rPr>
              <w:fldChar w:fldCharType="end"/>
            </w:r>
          </w:hyperlink>
        </w:p>
        <w:p w14:paraId="3320C311" w14:textId="2F4151E3" w:rsidR="0059251A" w:rsidRDefault="0059251A">
          <w:pPr>
            <w:pStyle w:val="Sumrio2"/>
            <w:rPr>
              <w:rFonts w:asciiTheme="minorHAnsi" w:hAnsiTheme="minorHAnsi" w:cstheme="minorBidi"/>
              <w:noProof/>
              <w:kern w:val="2"/>
              <w:szCs w:val="24"/>
              <w:lang w:val="pt-BR" w:eastAsia="pt-BR"/>
              <w14:ligatures w14:val="standardContextual"/>
            </w:rPr>
          </w:pPr>
          <w:hyperlink w:anchor="_Toc238759969" w:history="1">
            <w:r w:rsidRPr="004B5324">
              <w:rPr>
                <w:rStyle w:val="Hyperlink"/>
                <w:rFonts w:eastAsia="Times New Roman"/>
                <w:noProof/>
              </w:rPr>
              <w:t>3.9 Treinamento e validação</w:t>
            </w:r>
            <w:r>
              <w:rPr>
                <w:noProof/>
                <w:webHidden/>
              </w:rPr>
              <w:tab/>
            </w:r>
            <w:r>
              <w:rPr>
                <w:noProof/>
                <w:webHidden/>
              </w:rPr>
              <w:fldChar w:fldCharType="begin"/>
            </w:r>
            <w:r>
              <w:rPr>
                <w:noProof/>
                <w:webHidden/>
              </w:rPr>
              <w:instrText xml:space="preserve"> PAGEREF _Toc238759969 \h </w:instrText>
            </w:r>
            <w:r>
              <w:rPr>
                <w:noProof/>
                <w:webHidden/>
              </w:rPr>
            </w:r>
            <w:r>
              <w:rPr>
                <w:noProof/>
                <w:webHidden/>
              </w:rPr>
              <w:fldChar w:fldCharType="separate"/>
            </w:r>
            <w:r>
              <w:rPr>
                <w:noProof/>
                <w:webHidden/>
              </w:rPr>
              <w:t>25</w:t>
            </w:r>
            <w:r>
              <w:rPr>
                <w:noProof/>
                <w:webHidden/>
              </w:rPr>
              <w:fldChar w:fldCharType="end"/>
            </w:r>
          </w:hyperlink>
        </w:p>
        <w:p w14:paraId="0AE8396C" w14:textId="2F5FE115" w:rsidR="0059251A" w:rsidRDefault="0059251A">
          <w:pPr>
            <w:pStyle w:val="Sumrio2"/>
            <w:rPr>
              <w:rFonts w:asciiTheme="minorHAnsi" w:hAnsiTheme="minorHAnsi" w:cstheme="minorBidi"/>
              <w:noProof/>
              <w:kern w:val="2"/>
              <w:szCs w:val="24"/>
              <w:lang w:val="pt-BR" w:eastAsia="pt-BR"/>
              <w14:ligatures w14:val="standardContextual"/>
            </w:rPr>
          </w:pPr>
          <w:hyperlink w:anchor="_Toc238759970" w:history="1">
            <w:r w:rsidRPr="004B5324">
              <w:rPr>
                <w:rStyle w:val="Hyperlink"/>
                <w:rFonts w:eastAsia="Times New Roman"/>
                <w:noProof/>
              </w:rPr>
              <w:t>3.10 Métricas</w:t>
            </w:r>
            <w:r>
              <w:rPr>
                <w:noProof/>
                <w:webHidden/>
              </w:rPr>
              <w:tab/>
            </w:r>
            <w:r>
              <w:rPr>
                <w:noProof/>
                <w:webHidden/>
              </w:rPr>
              <w:fldChar w:fldCharType="begin"/>
            </w:r>
            <w:r>
              <w:rPr>
                <w:noProof/>
                <w:webHidden/>
              </w:rPr>
              <w:instrText xml:space="preserve"> PAGEREF _Toc238759970 \h </w:instrText>
            </w:r>
            <w:r>
              <w:rPr>
                <w:noProof/>
                <w:webHidden/>
              </w:rPr>
            </w:r>
            <w:r>
              <w:rPr>
                <w:noProof/>
                <w:webHidden/>
              </w:rPr>
              <w:fldChar w:fldCharType="separate"/>
            </w:r>
            <w:r>
              <w:rPr>
                <w:noProof/>
                <w:webHidden/>
              </w:rPr>
              <w:t>25</w:t>
            </w:r>
            <w:r>
              <w:rPr>
                <w:noProof/>
                <w:webHidden/>
              </w:rPr>
              <w:fldChar w:fldCharType="end"/>
            </w:r>
          </w:hyperlink>
        </w:p>
        <w:p w14:paraId="09EF9A56" w14:textId="2810B195" w:rsidR="0059251A" w:rsidRDefault="0059251A">
          <w:pPr>
            <w:pStyle w:val="Sumrio2"/>
            <w:rPr>
              <w:rFonts w:asciiTheme="minorHAnsi" w:hAnsiTheme="minorHAnsi" w:cstheme="minorBidi"/>
              <w:noProof/>
              <w:kern w:val="2"/>
              <w:szCs w:val="24"/>
              <w:lang w:val="pt-BR" w:eastAsia="pt-BR"/>
              <w14:ligatures w14:val="standardContextual"/>
            </w:rPr>
          </w:pPr>
          <w:hyperlink w:anchor="_Toc238759971" w:history="1">
            <w:r w:rsidRPr="004B5324">
              <w:rPr>
                <w:rStyle w:val="Hyperlink"/>
                <w:rFonts w:eastAsia="Times New Roman"/>
                <w:noProof/>
              </w:rPr>
              <w:t>3.11 Procedimento de validação da integração Flutter → API → ML</w:t>
            </w:r>
            <w:r>
              <w:rPr>
                <w:noProof/>
                <w:webHidden/>
              </w:rPr>
              <w:tab/>
            </w:r>
            <w:r>
              <w:rPr>
                <w:noProof/>
                <w:webHidden/>
              </w:rPr>
              <w:fldChar w:fldCharType="begin"/>
            </w:r>
            <w:r>
              <w:rPr>
                <w:noProof/>
                <w:webHidden/>
              </w:rPr>
              <w:instrText xml:space="preserve"> PAGEREF _Toc238759971 \h </w:instrText>
            </w:r>
            <w:r>
              <w:rPr>
                <w:noProof/>
                <w:webHidden/>
              </w:rPr>
            </w:r>
            <w:r>
              <w:rPr>
                <w:noProof/>
                <w:webHidden/>
              </w:rPr>
              <w:fldChar w:fldCharType="separate"/>
            </w:r>
            <w:r>
              <w:rPr>
                <w:noProof/>
                <w:webHidden/>
              </w:rPr>
              <w:t>26</w:t>
            </w:r>
            <w:r>
              <w:rPr>
                <w:noProof/>
                <w:webHidden/>
              </w:rPr>
              <w:fldChar w:fldCharType="end"/>
            </w:r>
          </w:hyperlink>
        </w:p>
        <w:p w14:paraId="48008E43" w14:textId="01BDC3D4" w:rsidR="0059251A" w:rsidRDefault="0059251A">
          <w:pPr>
            <w:pStyle w:val="Sumrio2"/>
            <w:rPr>
              <w:rFonts w:asciiTheme="minorHAnsi" w:hAnsiTheme="minorHAnsi" w:cstheme="minorBidi"/>
              <w:noProof/>
              <w:kern w:val="2"/>
              <w:szCs w:val="24"/>
              <w:lang w:val="pt-BR" w:eastAsia="pt-BR"/>
              <w14:ligatures w14:val="standardContextual"/>
            </w:rPr>
          </w:pPr>
          <w:hyperlink w:anchor="_Toc238759972" w:history="1">
            <w:r w:rsidRPr="004B5324">
              <w:rPr>
                <w:rStyle w:val="Hyperlink"/>
                <w:rFonts w:eastAsia="Times New Roman"/>
                <w:noProof/>
              </w:rPr>
              <w:t>3.12 Aspectos éticos e limitações</w:t>
            </w:r>
            <w:r>
              <w:rPr>
                <w:noProof/>
                <w:webHidden/>
              </w:rPr>
              <w:tab/>
            </w:r>
            <w:r>
              <w:rPr>
                <w:noProof/>
                <w:webHidden/>
              </w:rPr>
              <w:fldChar w:fldCharType="begin"/>
            </w:r>
            <w:r>
              <w:rPr>
                <w:noProof/>
                <w:webHidden/>
              </w:rPr>
              <w:instrText xml:space="preserve"> PAGEREF _Toc238759972 \h </w:instrText>
            </w:r>
            <w:r>
              <w:rPr>
                <w:noProof/>
                <w:webHidden/>
              </w:rPr>
            </w:r>
            <w:r>
              <w:rPr>
                <w:noProof/>
                <w:webHidden/>
              </w:rPr>
              <w:fldChar w:fldCharType="separate"/>
            </w:r>
            <w:r>
              <w:rPr>
                <w:noProof/>
                <w:webHidden/>
              </w:rPr>
              <w:t>26</w:t>
            </w:r>
            <w:r>
              <w:rPr>
                <w:noProof/>
                <w:webHidden/>
              </w:rPr>
              <w:fldChar w:fldCharType="end"/>
            </w:r>
          </w:hyperlink>
        </w:p>
        <w:p w14:paraId="585E82F2" w14:textId="076B6DB2" w:rsidR="0059251A" w:rsidRDefault="0059251A">
          <w:pPr>
            <w:pStyle w:val="Sumrio2"/>
            <w:rPr>
              <w:rFonts w:asciiTheme="minorHAnsi" w:hAnsiTheme="minorHAnsi" w:cstheme="minorBidi"/>
              <w:noProof/>
              <w:kern w:val="2"/>
              <w:szCs w:val="24"/>
              <w:lang w:val="pt-BR" w:eastAsia="pt-BR"/>
              <w14:ligatures w14:val="standardContextual"/>
            </w:rPr>
          </w:pPr>
          <w:hyperlink w:anchor="_Toc238759973" w:history="1">
            <w:r w:rsidRPr="004B5324">
              <w:rPr>
                <w:rStyle w:val="Hyperlink"/>
                <w:rFonts w:eastAsia="Times New Roman" w:cs="Times New Roman"/>
                <w:noProof/>
              </w:rPr>
              <w:t>3.13 Análise exploratória não supervisionada com Self-Organizing Map (SOM)</w:t>
            </w:r>
            <w:r>
              <w:rPr>
                <w:noProof/>
                <w:webHidden/>
              </w:rPr>
              <w:tab/>
            </w:r>
            <w:r>
              <w:rPr>
                <w:noProof/>
                <w:webHidden/>
              </w:rPr>
              <w:fldChar w:fldCharType="begin"/>
            </w:r>
            <w:r>
              <w:rPr>
                <w:noProof/>
                <w:webHidden/>
              </w:rPr>
              <w:instrText xml:space="preserve"> PAGEREF _Toc238759973 \h </w:instrText>
            </w:r>
            <w:r>
              <w:rPr>
                <w:noProof/>
                <w:webHidden/>
              </w:rPr>
            </w:r>
            <w:r>
              <w:rPr>
                <w:noProof/>
                <w:webHidden/>
              </w:rPr>
              <w:fldChar w:fldCharType="separate"/>
            </w:r>
            <w:r>
              <w:rPr>
                <w:noProof/>
                <w:webHidden/>
              </w:rPr>
              <w:t>28</w:t>
            </w:r>
            <w:r>
              <w:rPr>
                <w:noProof/>
                <w:webHidden/>
              </w:rPr>
              <w:fldChar w:fldCharType="end"/>
            </w:r>
          </w:hyperlink>
        </w:p>
        <w:p w14:paraId="3CD25941" w14:textId="442A2601" w:rsidR="0059251A" w:rsidRDefault="0059251A">
          <w:pPr>
            <w:pStyle w:val="Sumrio1"/>
            <w:rPr>
              <w:rFonts w:asciiTheme="minorHAnsi" w:hAnsiTheme="minorHAnsi" w:cstheme="minorBidi"/>
              <w:noProof/>
              <w:kern w:val="2"/>
              <w:szCs w:val="24"/>
              <w:lang w:val="pt-BR" w:eastAsia="pt-BR"/>
              <w14:ligatures w14:val="standardContextual"/>
            </w:rPr>
          </w:pPr>
          <w:hyperlink w:anchor="_Toc238759974" w:history="1">
            <w:r w:rsidRPr="004B5324">
              <w:rPr>
                <w:rStyle w:val="Hyperlink"/>
                <w:rFonts w:eastAsia="Times New Roman"/>
                <w:noProof/>
              </w:rPr>
              <w:t>4 DESENVOLVIMENTO DA SOLUÇÃO</w:t>
            </w:r>
            <w:r>
              <w:rPr>
                <w:noProof/>
                <w:webHidden/>
              </w:rPr>
              <w:tab/>
            </w:r>
            <w:r>
              <w:rPr>
                <w:noProof/>
                <w:webHidden/>
              </w:rPr>
              <w:fldChar w:fldCharType="begin"/>
            </w:r>
            <w:r>
              <w:rPr>
                <w:noProof/>
                <w:webHidden/>
              </w:rPr>
              <w:instrText xml:space="preserve"> PAGEREF _Toc238759974 \h </w:instrText>
            </w:r>
            <w:r>
              <w:rPr>
                <w:noProof/>
                <w:webHidden/>
              </w:rPr>
            </w:r>
            <w:r>
              <w:rPr>
                <w:noProof/>
                <w:webHidden/>
              </w:rPr>
              <w:fldChar w:fldCharType="separate"/>
            </w:r>
            <w:r>
              <w:rPr>
                <w:noProof/>
                <w:webHidden/>
              </w:rPr>
              <w:t>30</w:t>
            </w:r>
            <w:r>
              <w:rPr>
                <w:noProof/>
                <w:webHidden/>
              </w:rPr>
              <w:fldChar w:fldCharType="end"/>
            </w:r>
          </w:hyperlink>
        </w:p>
        <w:p w14:paraId="6CB6D632" w14:textId="58C5A024" w:rsidR="0059251A" w:rsidRDefault="0059251A">
          <w:pPr>
            <w:pStyle w:val="Sumrio2"/>
            <w:rPr>
              <w:rFonts w:asciiTheme="minorHAnsi" w:hAnsiTheme="minorHAnsi" w:cstheme="minorBidi"/>
              <w:noProof/>
              <w:kern w:val="2"/>
              <w:szCs w:val="24"/>
              <w:lang w:val="pt-BR" w:eastAsia="pt-BR"/>
              <w14:ligatures w14:val="standardContextual"/>
            </w:rPr>
          </w:pPr>
          <w:hyperlink w:anchor="_Toc238759975" w:history="1">
            <w:r w:rsidRPr="004B5324">
              <w:rPr>
                <w:rStyle w:val="Hyperlink"/>
                <w:rFonts w:eastAsia="Times New Roman"/>
                <w:noProof/>
              </w:rPr>
              <w:t>4.1 Arquitetura</w:t>
            </w:r>
            <w:r>
              <w:rPr>
                <w:noProof/>
                <w:webHidden/>
              </w:rPr>
              <w:tab/>
            </w:r>
            <w:r>
              <w:rPr>
                <w:noProof/>
                <w:webHidden/>
              </w:rPr>
              <w:fldChar w:fldCharType="begin"/>
            </w:r>
            <w:r>
              <w:rPr>
                <w:noProof/>
                <w:webHidden/>
              </w:rPr>
              <w:instrText xml:space="preserve"> PAGEREF _Toc238759975 \h </w:instrText>
            </w:r>
            <w:r>
              <w:rPr>
                <w:noProof/>
                <w:webHidden/>
              </w:rPr>
            </w:r>
            <w:r>
              <w:rPr>
                <w:noProof/>
                <w:webHidden/>
              </w:rPr>
              <w:fldChar w:fldCharType="separate"/>
            </w:r>
            <w:r>
              <w:rPr>
                <w:noProof/>
                <w:webHidden/>
              </w:rPr>
              <w:t>31</w:t>
            </w:r>
            <w:r>
              <w:rPr>
                <w:noProof/>
                <w:webHidden/>
              </w:rPr>
              <w:fldChar w:fldCharType="end"/>
            </w:r>
          </w:hyperlink>
        </w:p>
        <w:p w14:paraId="3D443639" w14:textId="21D8FD54" w:rsidR="0059251A" w:rsidRDefault="0059251A">
          <w:pPr>
            <w:pStyle w:val="Sumrio2"/>
            <w:rPr>
              <w:rFonts w:asciiTheme="minorHAnsi" w:hAnsiTheme="minorHAnsi" w:cstheme="minorBidi"/>
              <w:noProof/>
              <w:kern w:val="2"/>
              <w:szCs w:val="24"/>
              <w:lang w:val="pt-BR" w:eastAsia="pt-BR"/>
              <w14:ligatures w14:val="standardContextual"/>
            </w:rPr>
          </w:pPr>
          <w:hyperlink w:anchor="_Toc238759976" w:history="1">
            <w:r w:rsidRPr="004B5324">
              <w:rPr>
                <w:rStyle w:val="Hyperlink"/>
                <w:rFonts w:eastAsia="Times New Roman"/>
                <w:noProof/>
              </w:rPr>
              <w:t>4.2 Eixo 1 — Questionário dos DSS</w:t>
            </w:r>
            <w:r>
              <w:rPr>
                <w:noProof/>
                <w:webHidden/>
              </w:rPr>
              <w:tab/>
            </w:r>
            <w:r>
              <w:rPr>
                <w:noProof/>
                <w:webHidden/>
              </w:rPr>
              <w:fldChar w:fldCharType="begin"/>
            </w:r>
            <w:r>
              <w:rPr>
                <w:noProof/>
                <w:webHidden/>
              </w:rPr>
              <w:instrText xml:space="preserve"> PAGEREF _Toc238759976 \h </w:instrText>
            </w:r>
            <w:r>
              <w:rPr>
                <w:noProof/>
                <w:webHidden/>
              </w:rPr>
            </w:r>
            <w:r>
              <w:rPr>
                <w:noProof/>
                <w:webHidden/>
              </w:rPr>
              <w:fldChar w:fldCharType="separate"/>
            </w:r>
            <w:r>
              <w:rPr>
                <w:noProof/>
                <w:webHidden/>
              </w:rPr>
              <w:t>33</w:t>
            </w:r>
            <w:r>
              <w:rPr>
                <w:noProof/>
                <w:webHidden/>
              </w:rPr>
              <w:fldChar w:fldCharType="end"/>
            </w:r>
          </w:hyperlink>
        </w:p>
        <w:p w14:paraId="7CE0FE7F" w14:textId="3EEF99F8" w:rsidR="0059251A" w:rsidRDefault="0059251A">
          <w:pPr>
            <w:pStyle w:val="Sumrio2"/>
            <w:rPr>
              <w:rFonts w:asciiTheme="minorHAnsi" w:hAnsiTheme="minorHAnsi" w:cstheme="minorBidi"/>
              <w:noProof/>
              <w:kern w:val="2"/>
              <w:szCs w:val="24"/>
              <w:lang w:val="pt-BR" w:eastAsia="pt-BR"/>
              <w14:ligatures w14:val="standardContextual"/>
            </w:rPr>
          </w:pPr>
          <w:hyperlink w:anchor="_Toc238759977" w:history="1">
            <w:r w:rsidRPr="004B5324">
              <w:rPr>
                <w:rStyle w:val="Hyperlink"/>
                <w:rFonts w:eastAsia="Times New Roman"/>
                <w:noProof/>
              </w:rPr>
              <w:t>4.3 Eixo 2 — Módulo de acompanhamento do pré-natal</w:t>
            </w:r>
            <w:r>
              <w:rPr>
                <w:noProof/>
                <w:webHidden/>
              </w:rPr>
              <w:tab/>
            </w:r>
            <w:r>
              <w:rPr>
                <w:noProof/>
                <w:webHidden/>
              </w:rPr>
              <w:fldChar w:fldCharType="begin"/>
            </w:r>
            <w:r>
              <w:rPr>
                <w:noProof/>
                <w:webHidden/>
              </w:rPr>
              <w:instrText xml:space="preserve"> PAGEREF _Toc238759977 \h </w:instrText>
            </w:r>
            <w:r>
              <w:rPr>
                <w:noProof/>
                <w:webHidden/>
              </w:rPr>
            </w:r>
            <w:r>
              <w:rPr>
                <w:noProof/>
                <w:webHidden/>
              </w:rPr>
              <w:fldChar w:fldCharType="separate"/>
            </w:r>
            <w:r>
              <w:rPr>
                <w:noProof/>
                <w:webHidden/>
              </w:rPr>
              <w:t>33</w:t>
            </w:r>
            <w:r>
              <w:rPr>
                <w:noProof/>
                <w:webHidden/>
              </w:rPr>
              <w:fldChar w:fldCharType="end"/>
            </w:r>
          </w:hyperlink>
        </w:p>
        <w:p w14:paraId="5E904D83" w14:textId="5E3536BE" w:rsidR="0059251A" w:rsidRDefault="0059251A">
          <w:pPr>
            <w:pStyle w:val="Sumrio2"/>
            <w:rPr>
              <w:rFonts w:asciiTheme="minorHAnsi" w:hAnsiTheme="minorHAnsi" w:cstheme="minorBidi"/>
              <w:noProof/>
              <w:kern w:val="2"/>
              <w:szCs w:val="24"/>
              <w:lang w:val="pt-BR" w:eastAsia="pt-BR"/>
              <w14:ligatures w14:val="standardContextual"/>
            </w:rPr>
          </w:pPr>
          <w:hyperlink w:anchor="_Toc238759978" w:history="1">
            <w:r w:rsidRPr="004B5324">
              <w:rPr>
                <w:rStyle w:val="Hyperlink"/>
                <w:rFonts w:eastAsia="Times New Roman"/>
                <w:noProof/>
              </w:rPr>
              <w:t>4.4 Armazenamento local / offline</w:t>
            </w:r>
            <w:r>
              <w:rPr>
                <w:noProof/>
                <w:webHidden/>
              </w:rPr>
              <w:tab/>
            </w:r>
            <w:r>
              <w:rPr>
                <w:noProof/>
                <w:webHidden/>
              </w:rPr>
              <w:fldChar w:fldCharType="begin"/>
            </w:r>
            <w:r>
              <w:rPr>
                <w:noProof/>
                <w:webHidden/>
              </w:rPr>
              <w:instrText xml:space="preserve"> PAGEREF _Toc238759978 \h </w:instrText>
            </w:r>
            <w:r>
              <w:rPr>
                <w:noProof/>
                <w:webHidden/>
              </w:rPr>
            </w:r>
            <w:r>
              <w:rPr>
                <w:noProof/>
                <w:webHidden/>
              </w:rPr>
              <w:fldChar w:fldCharType="separate"/>
            </w:r>
            <w:r>
              <w:rPr>
                <w:noProof/>
                <w:webHidden/>
              </w:rPr>
              <w:t>34</w:t>
            </w:r>
            <w:r>
              <w:rPr>
                <w:noProof/>
                <w:webHidden/>
              </w:rPr>
              <w:fldChar w:fldCharType="end"/>
            </w:r>
          </w:hyperlink>
        </w:p>
        <w:p w14:paraId="60FA92B3" w14:textId="2B070626" w:rsidR="0059251A" w:rsidRDefault="0059251A">
          <w:pPr>
            <w:pStyle w:val="Sumrio2"/>
            <w:rPr>
              <w:rFonts w:asciiTheme="minorHAnsi" w:hAnsiTheme="minorHAnsi" w:cstheme="minorBidi"/>
              <w:noProof/>
              <w:kern w:val="2"/>
              <w:szCs w:val="24"/>
              <w:lang w:val="pt-BR" w:eastAsia="pt-BR"/>
              <w14:ligatures w14:val="standardContextual"/>
            </w:rPr>
          </w:pPr>
          <w:hyperlink w:anchor="_Toc238759979" w:history="1">
            <w:r w:rsidRPr="004B5324">
              <w:rPr>
                <w:rStyle w:val="Hyperlink"/>
                <w:rFonts w:eastAsia="Times New Roman"/>
                <w:noProof/>
              </w:rPr>
              <w:t>4.5 Autenticação e estado atual do DSS</w:t>
            </w:r>
            <w:r>
              <w:rPr>
                <w:noProof/>
                <w:webHidden/>
              </w:rPr>
              <w:tab/>
            </w:r>
            <w:r>
              <w:rPr>
                <w:noProof/>
                <w:webHidden/>
              </w:rPr>
              <w:fldChar w:fldCharType="begin"/>
            </w:r>
            <w:r>
              <w:rPr>
                <w:noProof/>
                <w:webHidden/>
              </w:rPr>
              <w:instrText xml:space="preserve"> PAGEREF _Toc238759979 \h </w:instrText>
            </w:r>
            <w:r>
              <w:rPr>
                <w:noProof/>
                <w:webHidden/>
              </w:rPr>
            </w:r>
            <w:r>
              <w:rPr>
                <w:noProof/>
                <w:webHidden/>
              </w:rPr>
              <w:fldChar w:fldCharType="separate"/>
            </w:r>
            <w:r>
              <w:rPr>
                <w:noProof/>
                <w:webHidden/>
              </w:rPr>
              <w:t>35</w:t>
            </w:r>
            <w:r>
              <w:rPr>
                <w:noProof/>
                <w:webHidden/>
              </w:rPr>
              <w:fldChar w:fldCharType="end"/>
            </w:r>
          </w:hyperlink>
        </w:p>
        <w:p w14:paraId="07DABD64" w14:textId="234AA28E" w:rsidR="0059251A" w:rsidRDefault="0059251A">
          <w:pPr>
            <w:pStyle w:val="Sumrio2"/>
            <w:rPr>
              <w:rFonts w:asciiTheme="minorHAnsi" w:hAnsiTheme="minorHAnsi" w:cstheme="minorBidi"/>
              <w:noProof/>
              <w:kern w:val="2"/>
              <w:szCs w:val="24"/>
              <w:lang w:val="pt-BR" w:eastAsia="pt-BR"/>
              <w14:ligatures w14:val="standardContextual"/>
            </w:rPr>
          </w:pPr>
          <w:hyperlink w:anchor="_Toc238759980" w:history="1">
            <w:r w:rsidRPr="004B5324">
              <w:rPr>
                <w:rStyle w:val="Hyperlink"/>
                <w:rFonts w:eastAsia="Times New Roman"/>
                <w:noProof/>
              </w:rPr>
              <w:t>4.6 Onde o IV-DSS é calculado</w:t>
            </w:r>
            <w:r>
              <w:rPr>
                <w:noProof/>
                <w:webHidden/>
              </w:rPr>
              <w:tab/>
            </w:r>
            <w:r>
              <w:rPr>
                <w:noProof/>
                <w:webHidden/>
              </w:rPr>
              <w:fldChar w:fldCharType="begin"/>
            </w:r>
            <w:r>
              <w:rPr>
                <w:noProof/>
                <w:webHidden/>
              </w:rPr>
              <w:instrText xml:space="preserve"> PAGEREF _Toc238759980 \h </w:instrText>
            </w:r>
            <w:r>
              <w:rPr>
                <w:noProof/>
                <w:webHidden/>
              </w:rPr>
            </w:r>
            <w:r>
              <w:rPr>
                <w:noProof/>
                <w:webHidden/>
              </w:rPr>
              <w:fldChar w:fldCharType="separate"/>
            </w:r>
            <w:r>
              <w:rPr>
                <w:noProof/>
                <w:webHidden/>
              </w:rPr>
              <w:t>36</w:t>
            </w:r>
            <w:r>
              <w:rPr>
                <w:noProof/>
                <w:webHidden/>
              </w:rPr>
              <w:fldChar w:fldCharType="end"/>
            </w:r>
          </w:hyperlink>
        </w:p>
        <w:p w14:paraId="6DA04911" w14:textId="324F10C8" w:rsidR="0059251A" w:rsidRDefault="0059251A">
          <w:pPr>
            <w:pStyle w:val="Sumrio2"/>
            <w:rPr>
              <w:rFonts w:asciiTheme="minorHAnsi" w:hAnsiTheme="minorHAnsi" w:cstheme="minorBidi"/>
              <w:noProof/>
              <w:kern w:val="2"/>
              <w:szCs w:val="24"/>
              <w:lang w:val="pt-BR" w:eastAsia="pt-BR"/>
              <w14:ligatures w14:val="standardContextual"/>
            </w:rPr>
          </w:pPr>
          <w:hyperlink w:anchor="_Toc238759981" w:history="1">
            <w:r w:rsidRPr="004B5324">
              <w:rPr>
                <w:rStyle w:val="Hyperlink"/>
                <w:noProof/>
              </w:rPr>
              <w:t>4.7 Domínio de acompanhamento: implementação e evolução planejada</w:t>
            </w:r>
            <w:r>
              <w:rPr>
                <w:noProof/>
                <w:webHidden/>
              </w:rPr>
              <w:tab/>
            </w:r>
            <w:r>
              <w:rPr>
                <w:noProof/>
                <w:webHidden/>
              </w:rPr>
              <w:fldChar w:fldCharType="begin"/>
            </w:r>
            <w:r>
              <w:rPr>
                <w:noProof/>
                <w:webHidden/>
              </w:rPr>
              <w:instrText xml:space="preserve"> PAGEREF _Toc238759981 \h </w:instrText>
            </w:r>
            <w:r>
              <w:rPr>
                <w:noProof/>
                <w:webHidden/>
              </w:rPr>
            </w:r>
            <w:r>
              <w:rPr>
                <w:noProof/>
                <w:webHidden/>
              </w:rPr>
              <w:fldChar w:fldCharType="separate"/>
            </w:r>
            <w:r>
              <w:rPr>
                <w:noProof/>
                <w:webHidden/>
              </w:rPr>
              <w:t>36</w:t>
            </w:r>
            <w:r>
              <w:rPr>
                <w:noProof/>
                <w:webHidden/>
              </w:rPr>
              <w:fldChar w:fldCharType="end"/>
            </w:r>
          </w:hyperlink>
        </w:p>
        <w:p w14:paraId="392003AB" w14:textId="23CC1EAA" w:rsidR="0059251A" w:rsidRDefault="0059251A">
          <w:pPr>
            <w:pStyle w:val="Sumrio1"/>
            <w:rPr>
              <w:rFonts w:asciiTheme="minorHAnsi" w:hAnsiTheme="minorHAnsi" w:cstheme="minorBidi"/>
              <w:noProof/>
              <w:kern w:val="2"/>
              <w:szCs w:val="24"/>
              <w:lang w:val="pt-BR" w:eastAsia="pt-BR"/>
              <w14:ligatures w14:val="standardContextual"/>
            </w:rPr>
          </w:pPr>
          <w:hyperlink w:anchor="_Toc238759982" w:history="1">
            <w:r w:rsidRPr="004B5324">
              <w:rPr>
                <w:rStyle w:val="Hyperlink"/>
                <w:rFonts w:eastAsia="Times New Roman"/>
                <w:noProof/>
              </w:rPr>
              <w:t>5 RESULTADOS E DISCUSSÃO</w:t>
            </w:r>
            <w:r>
              <w:rPr>
                <w:noProof/>
                <w:webHidden/>
              </w:rPr>
              <w:tab/>
            </w:r>
            <w:r>
              <w:rPr>
                <w:noProof/>
                <w:webHidden/>
              </w:rPr>
              <w:fldChar w:fldCharType="begin"/>
            </w:r>
            <w:r>
              <w:rPr>
                <w:noProof/>
                <w:webHidden/>
              </w:rPr>
              <w:instrText xml:space="preserve"> PAGEREF _Toc238759982 \h </w:instrText>
            </w:r>
            <w:r>
              <w:rPr>
                <w:noProof/>
                <w:webHidden/>
              </w:rPr>
            </w:r>
            <w:r>
              <w:rPr>
                <w:noProof/>
                <w:webHidden/>
              </w:rPr>
              <w:fldChar w:fldCharType="separate"/>
            </w:r>
            <w:r>
              <w:rPr>
                <w:noProof/>
                <w:webHidden/>
              </w:rPr>
              <w:t>39</w:t>
            </w:r>
            <w:r>
              <w:rPr>
                <w:noProof/>
                <w:webHidden/>
              </w:rPr>
              <w:fldChar w:fldCharType="end"/>
            </w:r>
          </w:hyperlink>
        </w:p>
        <w:p w14:paraId="1C397F94" w14:textId="56D5AF4F" w:rsidR="0059251A" w:rsidRDefault="0059251A">
          <w:pPr>
            <w:pStyle w:val="Sumrio2"/>
            <w:rPr>
              <w:rFonts w:asciiTheme="minorHAnsi" w:hAnsiTheme="minorHAnsi" w:cstheme="minorBidi"/>
              <w:noProof/>
              <w:kern w:val="2"/>
              <w:szCs w:val="24"/>
              <w:lang w:val="pt-BR" w:eastAsia="pt-BR"/>
              <w14:ligatures w14:val="standardContextual"/>
            </w:rPr>
          </w:pPr>
          <w:hyperlink w:anchor="_Toc238759983" w:history="1">
            <w:r w:rsidRPr="004B5324">
              <w:rPr>
                <w:rStyle w:val="Hyperlink"/>
                <w:rFonts w:eastAsia="Times New Roman"/>
                <w:noProof/>
              </w:rPr>
              <w:t>5.1 Conjunto sintético e protocolo</w:t>
            </w:r>
            <w:r>
              <w:rPr>
                <w:noProof/>
                <w:webHidden/>
              </w:rPr>
              <w:tab/>
            </w:r>
            <w:r>
              <w:rPr>
                <w:noProof/>
                <w:webHidden/>
              </w:rPr>
              <w:fldChar w:fldCharType="begin"/>
            </w:r>
            <w:r>
              <w:rPr>
                <w:noProof/>
                <w:webHidden/>
              </w:rPr>
              <w:instrText xml:space="preserve"> PAGEREF _Toc238759983 \h </w:instrText>
            </w:r>
            <w:r>
              <w:rPr>
                <w:noProof/>
                <w:webHidden/>
              </w:rPr>
            </w:r>
            <w:r>
              <w:rPr>
                <w:noProof/>
                <w:webHidden/>
              </w:rPr>
              <w:fldChar w:fldCharType="separate"/>
            </w:r>
            <w:r>
              <w:rPr>
                <w:noProof/>
                <w:webHidden/>
              </w:rPr>
              <w:t>39</w:t>
            </w:r>
            <w:r>
              <w:rPr>
                <w:noProof/>
                <w:webHidden/>
              </w:rPr>
              <w:fldChar w:fldCharType="end"/>
            </w:r>
          </w:hyperlink>
        </w:p>
        <w:p w14:paraId="64E01D0A" w14:textId="22128A30" w:rsidR="0059251A" w:rsidRDefault="0059251A">
          <w:pPr>
            <w:pStyle w:val="Sumrio2"/>
            <w:rPr>
              <w:rFonts w:asciiTheme="minorHAnsi" w:hAnsiTheme="minorHAnsi" w:cstheme="minorBidi"/>
              <w:noProof/>
              <w:kern w:val="2"/>
              <w:szCs w:val="24"/>
              <w:lang w:val="pt-BR" w:eastAsia="pt-BR"/>
              <w14:ligatures w14:val="standardContextual"/>
            </w:rPr>
          </w:pPr>
          <w:hyperlink w:anchor="_Toc238759984" w:history="1">
            <w:r w:rsidRPr="004B5324">
              <w:rPr>
                <w:rStyle w:val="Hyperlink"/>
                <w:rFonts w:eastAsia="Times New Roman"/>
                <w:noProof/>
              </w:rPr>
              <w:t>5.2 Comparação e seleção de modelos</w:t>
            </w:r>
            <w:r>
              <w:rPr>
                <w:noProof/>
                <w:webHidden/>
              </w:rPr>
              <w:tab/>
            </w:r>
            <w:r>
              <w:rPr>
                <w:noProof/>
                <w:webHidden/>
              </w:rPr>
              <w:fldChar w:fldCharType="begin"/>
            </w:r>
            <w:r>
              <w:rPr>
                <w:noProof/>
                <w:webHidden/>
              </w:rPr>
              <w:instrText xml:space="preserve"> PAGEREF _Toc238759984 \h </w:instrText>
            </w:r>
            <w:r>
              <w:rPr>
                <w:noProof/>
                <w:webHidden/>
              </w:rPr>
            </w:r>
            <w:r>
              <w:rPr>
                <w:noProof/>
                <w:webHidden/>
              </w:rPr>
              <w:fldChar w:fldCharType="separate"/>
            </w:r>
            <w:r>
              <w:rPr>
                <w:noProof/>
                <w:webHidden/>
              </w:rPr>
              <w:t>40</w:t>
            </w:r>
            <w:r>
              <w:rPr>
                <w:noProof/>
                <w:webHidden/>
              </w:rPr>
              <w:fldChar w:fldCharType="end"/>
            </w:r>
          </w:hyperlink>
        </w:p>
        <w:p w14:paraId="04C70564" w14:textId="51077340" w:rsidR="0059251A" w:rsidRDefault="0059251A">
          <w:pPr>
            <w:pStyle w:val="Sumrio2"/>
            <w:rPr>
              <w:rFonts w:asciiTheme="minorHAnsi" w:hAnsiTheme="minorHAnsi" w:cstheme="minorBidi"/>
              <w:noProof/>
              <w:kern w:val="2"/>
              <w:szCs w:val="24"/>
              <w:lang w:val="pt-BR" w:eastAsia="pt-BR"/>
              <w14:ligatures w14:val="standardContextual"/>
            </w:rPr>
          </w:pPr>
          <w:hyperlink w:anchor="_Toc238759985" w:history="1">
            <w:r w:rsidRPr="004B5324">
              <w:rPr>
                <w:rStyle w:val="Hyperlink"/>
                <w:rFonts w:eastAsia="Times New Roman"/>
                <w:noProof/>
              </w:rPr>
              <w:t>5.3 Desempenho do modelo selecionado (hold-out)</w:t>
            </w:r>
            <w:r>
              <w:rPr>
                <w:noProof/>
                <w:webHidden/>
              </w:rPr>
              <w:tab/>
            </w:r>
            <w:r>
              <w:rPr>
                <w:noProof/>
                <w:webHidden/>
              </w:rPr>
              <w:fldChar w:fldCharType="begin"/>
            </w:r>
            <w:r>
              <w:rPr>
                <w:noProof/>
                <w:webHidden/>
              </w:rPr>
              <w:instrText xml:space="preserve"> PAGEREF _Toc238759985 \h </w:instrText>
            </w:r>
            <w:r>
              <w:rPr>
                <w:noProof/>
                <w:webHidden/>
              </w:rPr>
            </w:r>
            <w:r>
              <w:rPr>
                <w:noProof/>
                <w:webHidden/>
              </w:rPr>
              <w:fldChar w:fldCharType="separate"/>
            </w:r>
            <w:r>
              <w:rPr>
                <w:noProof/>
                <w:webHidden/>
              </w:rPr>
              <w:t>41</w:t>
            </w:r>
            <w:r>
              <w:rPr>
                <w:noProof/>
                <w:webHidden/>
              </w:rPr>
              <w:fldChar w:fldCharType="end"/>
            </w:r>
          </w:hyperlink>
        </w:p>
        <w:p w14:paraId="6226915C" w14:textId="3286FE7C" w:rsidR="0059251A" w:rsidRDefault="0059251A">
          <w:pPr>
            <w:pStyle w:val="Sumrio2"/>
            <w:rPr>
              <w:rFonts w:asciiTheme="minorHAnsi" w:hAnsiTheme="minorHAnsi" w:cstheme="minorBidi"/>
              <w:noProof/>
              <w:kern w:val="2"/>
              <w:szCs w:val="24"/>
              <w:lang w:val="pt-BR" w:eastAsia="pt-BR"/>
              <w14:ligatures w14:val="standardContextual"/>
            </w:rPr>
          </w:pPr>
          <w:hyperlink w:anchor="_Toc238759986" w:history="1">
            <w:r w:rsidRPr="004B5324">
              <w:rPr>
                <w:rStyle w:val="Hyperlink"/>
                <w:rFonts w:eastAsia="Times New Roman"/>
                <w:noProof/>
              </w:rPr>
              <w:t>5.4 Análise de threshold</w:t>
            </w:r>
            <w:r>
              <w:rPr>
                <w:noProof/>
                <w:webHidden/>
              </w:rPr>
              <w:tab/>
            </w:r>
            <w:r>
              <w:rPr>
                <w:noProof/>
                <w:webHidden/>
              </w:rPr>
              <w:fldChar w:fldCharType="begin"/>
            </w:r>
            <w:r>
              <w:rPr>
                <w:noProof/>
                <w:webHidden/>
              </w:rPr>
              <w:instrText xml:space="preserve"> PAGEREF _Toc238759986 \h </w:instrText>
            </w:r>
            <w:r>
              <w:rPr>
                <w:noProof/>
                <w:webHidden/>
              </w:rPr>
            </w:r>
            <w:r>
              <w:rPr>
                <w:noProof/>
                <w:webHidden/>
              </w:rPr>
              <w:fldChar w:fldCharType="separate"/>
            </w:r>
            <w:r>
              <w:rPr>
                <w:noProof/>
                <w:webHidden/>
              </w:rPr>
              <w:t>42</w:t>
            </w:r>
            <w:r>
              <w:rPr>
                <w:noProof/>
                <w:webHidden/>
              </w:rPr>
              <w:fldChar w:fldCharType="end"/>
            </w:r>
          </w:hyperlink>
        </w:p>
        <w:p w14:paraId="7CA373EC" w14:textId="779C5832" w:rsidR="0059251A" w:rsidRDefault="0059251A">
          <w:pPr>
            <w:pStyle w:val="Sumrio2"/>
            <w:rPr>
              <w:rFonts w:asciiTheme="minorHAnsi" w:hAnsiTheme="minorHAnsi" w:cstheme="minorBidi"/>
              <w:noProof/>
              <w:kern w:val="2"/>
              <w:szCs w:val="24"/>
              <w:lang w:val="pt-BR" w:eastAsia="pt-BR"/>
              <w14:ligatures w14:val="standardContextual"/>
            </w:rPr>
          </w:pPr>
          <w:hyperlink w:anchor="_Toc238759987" w:history="1">
            <w:r w:rsidRPr="004B5324">
              <w:rPr>
                <w:rStyle w:val="Hyperlink"/>
                <w:rFonts w:eastAsia="Times New Roman"/>
                <w:noProof/>
              </w:rPr>
              <w:t>5.5 Calibração e estabilidade</w:t>
            </w:r>
            <w:r>
              <w:rPr>
                <w:noProof/>
                <w:webHidden/>
              </w:rPr>
              <w:tab/>
            </w:r>
            <w:r>
              <w:rPr>
                <w:noProof/>
                <w:webHidden/>
              </w:rPr>
              <w:fldChar w:fldCharType="begin"/>
            </w:r>
            <w:r>
              <w:rPr>
                <w:noProof/>
                <w:webHidden/>
              </w:rPr>
              <w:instrText xml:space="preserve"> PAGEREF _Toc238759987 \h </w:instrText>
            </w:r>
            <w:r>
              <w:rPr>
                <w:noProof/>
                <w:webHidden/>
              </w:rPr>
            </w:r>
            <w:r>
              <w:rPr>
                <w:noProof/>
                <w:webHidden/>
              </w:rPr>
              <w:fldChar w:fldCharType="separate"/>
            </w:r>
            <w:r>
              <w:rPr>
                <w:noProof/>
                <w:webHidden/>
              </w:rPr>
              <w:t>43</w:t>
            </w:r>
            <w:r>
              <w:rPr>
                <w:noProof/>
                <w:webHidden/>
              </w:rPr>
              <w:fldChar w:fldCharType="end"/>
            </w:r>
          </w:hyperlink>
        </w:p>
        <w:p w14:paraId="25A32E74" w14:textId="7767AF05" w:rsidR="0059251A" w:rsidRDefault="0059251A">
          <w:pPr>
            <w:pStyle w:val="Sumrio2"/>
            <w:rPr>
              <w:rFonts w:asciiTheme="minorHAnsi" w:hAnsiTheme="minorHAnsi" w:cstheme="minorBidi"/>
              <w:noProof/>
              <w:kern w:val="2"/>
              <w:szCs w:val="24"/>
              <w:lang w:val="pt-BR" w:eastAsia="pt-BR"/>
              <w14:ligatures w14:val="standardContextual"/>
            </w:rPr>
          </w:pPr>
          <w:hyperlink w:anchor="_Toc238759988" w:history="1">
            <w:r w:rsidRPr="004B5324">
              <w:rPr>
                <w:rStyle w:val="Hyperlink"/>
                <w:rFonts w:eastAsia="Times New Roman"/>
                <w:noProof/>
              </w:rPr>
              <w:t>5.6 Sensibilidade metodológica</w:t>
            </w:r>
            <w:r>
              <w:rPr>
                <w:noProof/>
                <w:webHidden/>
              </w:rPr>
              <w:tab/>
            </w:r>
            <w:r>
              <w:rPr>
                <w:noProof/>
                <w:webHidden/>
              </w:rPr>
              <w:fldChar w:fldCharType="begin"/>
            </w:r>
            <w:r>
              <w:rPr>
                <w:noProof/>
                <w:webHidden/>
              </w:rPr>
              <w:instrText xml:space="preserve"> PAGEREF _Toc238759988 \h </w:instrText>
            </w:r>
            <w:r>
              <w:rPr>
                <w:noProof/>
                <w:webHidden/>
              </w:rPr>
            </w:r>
            <w:r>
              <w:rPr>
                <w:noProof/>
                <w:webHidden/>
              </w:rPr>
              <w:fldChar w:fldCharType="separate"/>
            </w:r>
            <w:r>
              <w:rPr>
                <w:noProof/>
                <w:webHidden/>
              </w:rPr>
              <w:t>44</w:t>
            </w:r>
            <w:r>
              <w:rPr>
                <w:noProof/>
                <w:webHidden/>
              </w:rPr>
              <w:fldChar w:fldCharType="end"/>
            </w:r>
          </w:hyperlink>
        </w:p>
        <w:p w14:paraId="0039EC97" w14:textId="534DC4D9" w:rsidR="0059251A" w:rsidRDefault="0059251A">
          <w:pPr>
            <w:pStyle w:val="Sumrio2"/>
            <w:rPr>
              <w:rFonts w:asciiTheme="minorHAnsi" w:hAnsiTheme="minorHAnsi" w:cstheme="minorBidi"/>
              <w:noProof/>
              <w:kern w:val="2"/>
              <w:szCs w:val="24"/>
              <w:lang w:val="pt-BR" w:eastAsia="pt-BR"/>
              <w14:ligatures w14:val="standardContextual"/>
            </w:rPr>
          </w:pPr>
          <w:hyperlink w:anchor="_Toc238759989" w:history="1">
            <w:r w:rsidRPr="004B5324">
              <w:rPr>
                <w:rStyle w:val="Hyperlink"/>
                <w:rFonts w:eastAsia="Times New Roman"/>
                <w:noProof/>
              </w:rPr>
              <w:t>5.7 Interpretabilidade</w:t>
            </w:r>
            <w:r>
              <w:rPr>
                <w:noProof/>
                <w:webHidden/>
              </w:rPr>
              <w:tab/>
            </w:r>
            <w:r>
              <w:rPr>
                <w:noProof/>
                <w:webHidden/>
              </w:rPr>
              <w:fldChar w:fldCharType="begin"/>
            </w:r>
            <w:r>
              <w:rPr>
                <w:noProof/>
                <w:webHidden/>
              </w:rPr>
              <w:instrText xml:space="preserve"> PAGEREF _Toc238759989 \h </w:instrText>
            </w:r>
            <w:r>
              <w:rPr>
                <w:noProof/>
                <w:webHidden/>
              </w:rPr>
            </w:r>
            <w:r>
              <w:rPr>
                <w:noProof/>
                <w:webHidden/>
              </w:rPr>
              <w:fldChar w:fldCharType="separate"/>
            </w:r>
            <w:r>
              <w:rPr>
                <w:noProof/>
                <w:webHidden/>
              </w:rPr>
              <w:t>44</w:t>
            </w:r>
            <w:r>
              <w:rPr>
                <w:noProof/>
                <w:webHidden/>
              </w:rPr>
              <w:fldChar w:fldCharType="end"/>
            </w:r>
          </w:hyperlink>
        </w:p>
        <w:p w14:paraId="4936052B" w14:textId="43644D26" w:rsidR="0059251A" w:rsidRDefault="0059251A">
          <w:pPr>
            <w:pStyle w:val="Sumrio2"/>
            <w:rPr>
              <w:rFonts w:asciiTheme="minorHAnsi" w:hAnsiTheme="minorHAnsi" w:cstheme="minorBidi"/>
              <w:noProof/>
              <w:kern w:val="2"/>
              <w:szCs w:val="24"/>
              <w:lang w:val="pt-BR" w:eastAsia="pt-BR"/>
              <w14:ligatures w14:val="standardContextual"/>
            </w:rPr>
          </w:pPr>
          <w:hyperlink w:anchor="_Toc238759990" w:history="1">
            <w:r w:rsidRPr="004B5324">
              <w:rPr>
                <w:rStyle w:val="Hyperlink"/>
                <w:rFonts w:eastAsia="Times New Roman"/>
                <w:noProof/>
              </w:rPr>
              <w:t>5.8 IV-DSS</w:t>
            </w:r>
            <w:r>
              <w:rPr>
                <w:noProof/>
                <w:webHidden/>
              </w:rPr>
              <w:tab/>
            </w:r>
            <w:r>
              <w:rPr>
                <w:noProof/>
                <w:webHidden/>
              </w:rPr>
              <w:fldChar w:fldCharType="begin"/>
            </w:r>
            <w:r>
              <w:rPr>
                <w:noProof/>
                <w:webHidden/>
              </w:rPr>
              <w:instrText xml:space="preserve"> PAGEREF _Toc238759990 \h </w:instrText>
            </w:r>
            <w:r>
              <w:rPr>
                <w:noProof/>
                <w:webHidden/>
              </w:rPr>
            </w:r>
            <w:r>
              <w:rPr>
                <w:noProof/>
                <w:webHidden/>
              </w:rPr>
              <w:fldChar w:fldCharType="separate"/>
            </w:r>
            <w:r>
              <w:rPr>
                <w:noProof/>
                <w:webHidden/>
              </w:rPr>
              <w:t>45</w:t>
            </w:r>
            <w:r>
              <w:rPr>
                <w:noProof/>
                <w:webHidden/>
              </w:rPr>
              <w:fldChar w:fldCharType="end"/>
            </w:r>
          </w:hyperlink>
        </w:p>
        <w:p w14:paraId="387111D3" w14:textId="1BCCD7BA" w:rsidR="0059251A" w:rsidRDefault="0059251A">
          <w:pPr>
            <w:pStyle w:val="Sumrio2"/>
            <w:rPr>
              <w:rFonts w:asciiTheme="minorHAnsi" w:hAnsiTheme="minorHAnsi" w:cstheme="minorBidi"/>
              <w:noProof/>
              <w:kern w:val="2"/>
              <w:szCs w:val="24"/>
              <w:lang w:val="pt-BR" w:eastAsia="pt-BR"/>
              <w14:ligatures w14:val="standardContextual"/>
            </w:rPr>
          </w:pPr>
          <w:hyperlink w:anchor="_Toc238759991" w:history="1">
            <w:r w:rsidRPr="004B5324">
              <w:rPr>
                <w:rStyle w:val="Hyperlink"/>
                <w:rFonts w:eastAsia="Times New Roman"/>
                <w:noProof/>
              </w:rPr>
              <w:t>5.9 Validação da implementação de software</w:t>
            </w:r>
            <w:r>
              <w:rPr>
                <w:noProof/>
                <w:webHidden/>
              </w:rPr>
              <w:tab/>
            </w:r>
            <w:r>
              <w:rPr>
                <w:noProof/>
                <w:webHidden/>
              </w:rPr>
              <w:fldChar w:fldCharType="begin"/>
            </w:r>
            <w:r>
              <w:rPr>
                <w:noProof/>
                <w:webHidden/>
              </w:rPr>
              <w:instrText xml:space="preserve"> PAGEREF _Toc238759991 \h </w:instrText>
            </w:r>
            <w:r>
              <w:rPr>
                <w:noProof/>
                <w:webHidden/>
              </w:rPr>
            </w:r>
            <w:r>
              <w:rPr>
                <w:noProof/>
                <w:webHidden/>
              </w:rPr>
              <w:fldChar w:fldCharType="separate"/>
            </w:r>
            <w:r>
              <w:rPr>
                <w:noProof/>
                <w:webHidden/>
              </w:rPr>
              <w:t>45</w:t>
            </w:r>
            <w:r>
              <w:rPr>
                <w:noProof/>
                <w:webHidden/>
              </w:rPr>
              <w:fldChar w:fldCharType="end"/>
            </w:r>
          </w:hyperlink>
        </w:p>
        <w:p w14:paraId="64C58D4A" w14:textId="78B1B70F" w:rsidR="0059251A" w:rsidRDefault="0059251A">
          <w:pPr>
            <w:pStyle w:val="Sumrio2"/>
            <w:rPr>
              <w:rFonts w:asciiTheme="minorHAnsi" w:hAnsiTheme="minorHAnsi" w:cstheme="minorBidi"/>
              <w:noProof/>
              <w:kern w:val="2"/>
              <w:szCs w:val="24"/>
              <w:lang w:val="pt-BR" w:eastAsia="pt-BR"/>
              <w14:ligatures w14:val="standardContextual"/>
            </w:rPr>
          </w:pPr>
          <w:hyperlink w:anchor="_Toc238759992" w:history="1">
            <w:r w:rsidRPr="004B5324">
              <w:rPr>
                <w:rStyle w:val="Hyperlink"/>
                <w:rFonts w:eastAsia="Times New Roman"/>
                <w:noProof/>
              </w:rPr>
              <w:t>5.10 Discussão</w:t>
            </w:r>
            <w:r>
              <w:rPr>
                <w:noProof/>
                <w:webHidden/>
              </w:rPr>
              <w:tab/>
            </w:r>
            <w:r>
              <w:rPr>
                <w:noProof/>
                <w:webHidden/>
              </w:rPr>
              <w:fldChar w:fldCharType="begin"/>
            </w:r>
            <w:r>
              <w:rPr>
                <w:noProof/>
                <w:webHidden/>
              </w:rPr>
              <w:instrText xml:space="preserve"> PAGEREF _Toc238759992 \h </w:instrText>
            </w:r>
            <w:r>
              <w:rPr>
                <w:noProof/>
                <w:webHidden/>
              </w:rPr>
            </w:r>
            <w:r>
              <w:rPr>
                <w:noProof/>
                <w:webHidden/>
              </w:rPr>
              <w:fldChar w:fldCharType="separate"/>
            </w:r>
            <w:r>
              <w:rPr>
                <w:noProof/>
                <w:webHidden/>
              </w:rPr>
              <w:t>46</w:t>
            </w:r>
            <w:r>
              <w:rPr>
                <w:noProof/>
                <w:webHidden/>
              </w:rPr>
              <w:fldChar w:fldCharType="end"/>
            </w:r>
          </w:hyperlink>
        </w:p>
        <w:p w14:paraId="09CA2E39" w14:textId="33402F55" w:rsidR="0059251A" w:rsidRDefault="0059251A">
          <w:pPr>
            <w:pStyle w:val="Sumrio2"/>
            <w:rPr>
              <w:rFonts w:asciiTheme="minorHAnsi" w:hAnsiTheme="minorHAnsi" w:cstheme="minorBidi"/>
              <w:noProof/>
              <w:kern w:val="2"/>
              <w:szCs w:val="24"/>
              <w:lang w:val="pt-BR" w:eastAsia="pt-BR"/>
              <w14:ligatures w14:val="standardContextual"/>
            </w:rPr>
          </w:pPr>
          <w:hyperlink w:anchor="_Toc238759993" w:history="1">
            <w:r w:rsidRPr="004B5324">
              <w:rPr>
                <w:rStyle w:val="Hyperlink"/>
                <w:rFonts w:eastAsia="Times New Roman" w:cs="Times New Roman"/>
                <w:noProof/>
              </w:rPr>
              <w:t>5.11 Análise exploratória dos perfis DSS com Self-Organizing Map</w:t>
            </w:r>
            <w:r>
              <w:rPr>
                <w:noProof/>
                <w:webHidden/>
              </w:rPr>
              <w:tab/>
            </w:r>
            <w:r>
              <w:rPr>
                <w:noProof/>
                <w:webHidden/>
              </w:rPr>
              <w:fldChar w:fldCharType="begin"/>
            </w:r>
            <w:r>
              <w:rPr>
                <w:noProof/>
                <w:webHidden/>
              </w:rPr>
              <w:instrText xml:space="preserve"> PAGEREF _Toc238759993 \h </w:instrText>
            </w:r>
            <w:r>
              <w:rPr>
                <w:noProof/>
                <w:webHidden/>
              </w:rPr>
            </w:r>
            <w:r>
              <w:rPr>
                <w:noProof/>
                <w:webHidden/>
              </w:rPr>
              <w:fldChar w:fldCharType="separate"/>
            </w:r>
            <w:r>
              <w:rPr>
                <w:noProof/>
                <w:webHidden/>
              </w:rPr>
              <w:t>48</w:t>
            </w:r>
            <w:r>
              <w:rPr>
                <w:noProof/>
                <w:webHidden/>
              </w:rPr>
              <w:fldChar w:fldCharType="end"/>
            </w:r>
          </w:hyperlink>
        </w:p>
        <w:p w14:paraId="2C5BE81F" w14:textId="6C82DB0C" w:rsidR="0059251A" w:rsidRDefault="0059251A">
          <w:pPr>
            <w:pStyle w:val="Sumrio1"/>
            <w:rPr>
              <w:rFonts w:asciiTheme="minorHAnsi" w:hAnsiTheme="minorHAnsi" w:cstheme="minorBidi"/>
              <w:noProof/>
              <w:kern w:val="2"/>
              <w:szCs w:val="24"/>
              <w:lang w:val="pt-BR" w:eastAsia="pt-BR"/>
              <w14:ligatures w14:val="standardContextual"/>
            </w:rPr>
          </w:pPr>
          <w:hyperlink w:anchor="_Toc238759994" w:history="1">
            <w:r w:rsidRPr="004B5324">
              <w:rPr>
                <w:rStyle w:val="Hyperlink"/>
                <w:rFonts w:eastAsia="Times New Roman"/>
                <w:noProof/>
              </w:rPr>
              <w:t>6 CONCLUSÃO</w:t>
            </w:r>
            <w:r>
              <w:rPr>
                <w:noProof/>
                <w:webHidden/>
              </w:rPr>
              <w:tab/>
            </w:r>
            <w:r>
              <w:rPr>
                <w:noProof/>
                <w:webHidden/>
              </w:rPr>
              <w:fldChar w:fldCharType="begin"/>
            </w:r>
            <w:r>
              <w:rPr>
                <w:noProof/>
                <w:webHidden/>
              </w:rPr>
              <w:instrText xml:space="preserve"> PAGEREF _Toc238759994 \h </w:instrText>
            </w:r>
            <w:r>
              <w:rPr>
                <w:noProof/>
                <w:webHidden/>
              </w:rPr>
            </w:r>
            <w:r>
              <w:rPr>
                <w:noProof/>
                <w:webHidden/>
              </w:rPr>
              <w:fldChar w:fldCharType="separate"/>
            </w:r>
            <w:r>
              <w:rPr>
                <w:noProof/>
                <w:webHidden/>
              </w:rPr>
              <w:t>54</w:t>
            </w:r>
            <w:r>
              <w:rPr>
                <w:noProof/>
                <w:webHidden/>
              </w:rPr>
              <w:fldChar w:fldCharType="end"/>
            </w:r>
          </w:hyperlink>
        </w:p>
        <w:p w14:paraId="5CE4B591" w14:textId="50384EAF" w:rsidR="0059251A" w:rsidRDefault="0059251A">
          <w:pPr>
            <w:pStyle w:val="Sumrio2"/>
            <w:rPr>
              <w:rFonts w:asciiTheme="minorHAnsi" w:hAnsiTheme="minorHAnsi" w:cstheme="minorBidi"/>
              <w:noProof/>
              <w:kern w:val="2"/>
              <w:szCs w:val="24"/>
              <w:lang w:val="pt-BR" w:eastAsia="pt-BR"/>
              <w14:ligatures w14:val="standardContextual"/>
            </w:rPr>
          </w:pPr>
          <w:hyperlink w:anchor="_Toc238759995" w:history="1">
            <w:r w:rsidRPr="004B5324">
              <w:rPr>
                <w:rStyle w:val="Hyperlink"/>
                <w:rFonts w:eastAsia="Times New Roman"/>
                <w:noProof/>
              </w:rPr>
              <w:t>6.1 Síntese dos resultados</w:t>
            </w:r>
            <w:r>
              <w:rPr>
                <w:noProof/>
                <w:webHidden/>
              </w:rPr>
              <w:tab/>
            </w:r>
            <w:r>
              <w:rPr>
                <w:noProof/>
                <w:webHidden/>
              </w:rPr>
              <w:fldChar w:fldCharType="begin"/>
            </w:r>
            <w:r>
              <w:rPr>
                <w:noProof/>
                <w:webHidden/>
              </w:rPr>
              <w:instrText xml:space="preserve"> PAGEREF _Toc238759995 \h </w:instrText>
            </w:r>
            <w:r>
              <w:rPr>
                <w:noProof/>
                <w:webHidden/>
              </w:rPr>
            </w:r>
            <w:r>
              <w:rPr>
                <w:noProof/>
                <w:webHidden/>
              </w:rPr>
              <w:fldChar w:fldCharType="separate"/>
            </w:r>
            <w:r>
              <w:rPr>
                <w:noProof/>
                <w:webHidden/>
              </w:rPr>
              <w:t>54</w:t>
            </w:r>
            <w:r>
              <w:rPr>
                <w:noProof/>
                <w:webHidden/>
              </w:rPr>
              <w:fldChar w:fldCharType="end"/>
            </w:r>
          </w:hyperlink>
        </w:p>
        <w:p w14:paraId="4D166061" w14:textId="05D1CED6" w:rsidR="0059251A" w:rsidRDefault="0059251A">
          <w:pPr>
            <w:pStyle w:val="Sumrio2"/>
            <w:rPr>
              <w:rFonts w:asciiTheme="minorHAnsi" w:hAnsiTheme="minorHAnsi" w:cstheme="minorBidi"/>
              <w:noProof/>
              <w:kern w:val="2"/>
              <w:szCs w:val="24"/>
              <w:lang w:val="pt-BR" w:eastAsia="pt-BR"/>
              <w14:ligatures w14:val="standardContextual"/>
            </w:rPr>
          </w:pPr>
          <w:hyperlink w:anchor="_Toc238759996" w:history="1">
            <w:r w:rsidRPr="004B5324">
              <w:rPr>
                <w:rStyle w:val="Hyperlink"/>
                <w:rFonts w:eastAsia="Times New Roman"/>
                <w:noProof/>
              </w:rPr>
              <w:t>6.2 Limitações do estudo</w:t>
            </w:r>
            <w:r>
              <w:rPr>
                <w:noProof/>
                <w:webHidden/>
              </w:rPr>
              <w:tab/>
            </w:r>
            <w:r>
              <w:rPr>
                <w:noProof/>
                <w:webHidden/>
              </w:rPr>
              <w:fldChar w:fldCharType="begin"/>
            </w:r>
            <w:r>
              <w:rPr>
                <w:noProof/>
                <w:webHidden/>
              </w:rPr>
              <w:instrText xml:space="preserve"> PAGEREF _Toc238759996 \h </w:instrText>
            </w:r>
            <w:r>
              <w:rPr>
                <w:noProof/>
                <w:webHidden/>
              </w:rPr>
            </w:r>
            <w:r>
              <w:rPr>
                <w:noProof/>
                <w:webHidden/>
              </w:rPr>
              <w:fldChar w:fldCharType="separate"/>
            </w:r>
            <w:r>
              <w:rPr>
                <w:noProof/>
                <w:webHidden/>
              </w:rPr>
              <w:t>55</w:t>
            </w:r>
            <w:r>
              <w:rPr>
                <w:noProof/>
                <w:webHidden/>
              </w:rPr>
              <w:fldChar w:fldCharType="end"/>
            </w:r>
          </w:hyperlink>
        </w:p>
        <w:p w14:paraId="6E7C47DF" w14:textId="4AAC2AE4" w:rsidR="0059251A" w:rsidRDefault="0059251A">
          <w:pPr>
            <w:pStyle w:val="Sumrio2"/>
            <w:rPr>
              <w:rFonts w:asciiTheme="minorHAnsi" w:hAnsiTheme="minorHAnsi" w:cstheme="minorBidi"/>
              <w:noProof/>
              <w:kern w:val="2"/>
              <w:szCs w:val="24"/>
              <w:lang w:val="pt-BR" w:eastAsia="pt-BR"/>
              <w14:ligatures w14:val="standardContextual"/>
            </w:rPr>
          </w:pPr>
          <w:hyperlink w:anchor="_Toc238759997" w:history="1">
            <w:r w:rsidRPr="004B5324">
              <w:rPr>
                <w:rStyle w:val="Hyperlink"/>
                <w:rFonts w:eastAsia="Times New Roman"/>
                <w:noProof/>
              </w:rPr>
              <w:t>6.3 Trabalhos futuros</w:t>
            </w:r>
            <w:r>
              <w:rPr>
                <w:noProof/>
                <w:webHidden/>
              </w:rPr>
              <w:tab/>
            </w:r>
            <w:r>
              <w:rPr>
                <w:noProof/>
                <w:webHidden/>
              </w:rPr>
              <w:fldChar w:fldCharType="begin"/>
            </w:r>
            <w:r>
              <w:rPr>
                <w:noProof/>
                <w:webHidden/>
              </w:rPr>
              <w:instrText xml:space="preserve"> PAGEREF _Toc238759997 \h </w:instrText>
            </w:r>
            <w:r>
              <w:rPr>
                <w:noProof/>
                <w:webHidden/>
              </w:rPr>
            </w:r>
            <w:r>
              <w:rPr>
                <w:noProof/>
                <w:webHidden/>
              </w:rPr>
              <w:fldChar w:fldCharType="separate"/>
            </w:r>
            <w:r>
              <w:rPr>
                <w:noProof/>
                <w:webHidden/>
              </w:rPr>
              <w:t>55</w:t>
            </w:r>
            <w:r>
              <w:rPr>
                <w:noProof/>
                <w:webHidden/>
              </w:rPr>
              <w:fldChar w:fldCharType="end"/>
            </w:r>
          </w:hyperlink>
        </w:p>
        <w:p w14:paraId="30DE1FA9" w14:textId="09AB4CA8" w:rsidR="0059251A" w:rsidRDefault="0059251A">
          <w:pPr>
            <w:pStyle w:val="Sumrio1"/>
            <w:rPr>
              <w:rFonts w:asciiTheme="minorHAnsi" w:hAnsiTheme="minorHAnsi" w:cstheme="minorBidi"/>
              <w:noProof/>
              <w:kern w:val="2"/>
              <w:szCs w:val="24"/>
              <w:lang w:val="pt-BR" w:eastAsia="pt-BR"/>
              <w14:ligatures w14:val="standardContextual"/>
            </w:rPr>
          </w:pPr>
          <w:hyperlink w:anchor="_Toc238759998" w:history="1">
            <w:r w:rsidRPr="004B5324">
              <w:rPr>
                <w:rStyle w:val="Hyperlink"/>
                <w:rFonts w:eastAsia="Times New Roman"/>
                <w:noProof/>
              </w:rPr>
              <w:t>REFERÊNCIAS</w:t>
            </w:r>
            <w:r>
              <w:rPr>
                <w:noProof/>
                <w:webHidden/>
              </w:rPr>
              <w:tab/>
            </w:r>
            <w:r>
              <w:rPr>
                <w:noProof/>
                <w:webHidden/>
              </w:rPr>
              <w:fldChar w:fldCharType="begin"/>
            </w:r>
            <w:r>
              <w:rPr>
                <w:noProof/>
                <w:webHidden/>
              </w:rPr>
              <w:instrText xml:space="preserve"> PAGEREF _Toc238759998 \h </w:instrText>
            </w:r>
            <w:r>
              <w:rPr>
                <w:noProof/>
                <w:webHidden/>
              </w:rPr>
            </w:r>
            <w:r>
              <w:rPr>
                <w:noProof/>
                <w:webHidden/>
              </w:rPr>
              <w:fldChar w:fldCharType="separate"/>
            </w:r>
            <w:r>
              <w:rPr>
                <w:noProof/>
                <w:webHidden/>
              </w:rPr>
              <w:t>56</w:t>
            </w:r>
            <w:r>
              <w:rPr>
                <w:noProof/>
                <w:webHidden/>
              </w:rPr>
              <w:fldChar w:fldCharType="end"/>
            </w:r>
          </w:hyperlink>
        </w:p>
        <w:p w14:paraId="547174BA" w14:textId="5A4192F3" w:rsidR="0059251A" w:rsidRDefault="0059251A">
          <w:pPr>
            <w:pStyle w:val="Sumrio1"/>
            <w:rPr>
              <w:rFonts w:asciiTheme="minorHAnsi" w:hAnsiTheme="minorHAnsi" w:cstheme="minorBidi"/>
              <w:noProof/>
              <w:kern w:val="2"/>
              <w:szCs w:val="24"/>
              <w:lang w:val="pt-BR" w:eastAsia="pt-BR"/>
              <w14:ligatures w14:val="standardContextual"/>
            </w:rPr>
          </w:pPr>
          <w:hyperlink w:anchor="_Toc238759999" w:history="1">
            <w:r w:rsidRPr="004B5324">
              <w:rPr>
                <w:rStyle w:val="Hyperlink"/>
                <w:rFonts w:eastAsia="Times New Roman"/>
                <w:noProof/>
              </w:rPr>
              <w:t>APÊNDICE A — DECISÕES METODOLÓGICAS CONSOLIDADAS E EM ABERTO</w:t>
            </w:r>
            <w:r>
              <w:rPr>
                <w:noProof/>
                <w:webHidden/>
              </w:rPr>
              <w:tab/>
            </w:r>
            <w:r>
              <w:rPr>
                <w:noProof/>
                <w:webHidden/>
              </w:rPr>
              <w:fldChar w:fldCharType="begin"/>
            </w:r>
            <w:r>
              <w:rPr>
                <w:noProof/>
                <w:webHidden/>
              </w:rPr>
              <w:instrText xml:space="preserve"> PAGEREF _Toc238759999 \h </w:instrText>
            </w:r>
            <w:r>
              <w:rPr>
                <w:noProof/>
                <w:webHidden/>
              </w:rPr>
            </w:r>
            <w:r>
              <w:rPr>
                <w:noProof/>
                <w:webHidden/>
              </w:rPr>
              <w:fldChar w:fldCharType="separate"/>
            </w:r>
            <w:r>
              <w:rPr>
                <w:noProof/>
                <w:webHidden/>
              </w:rPr>
              <w:t>61</w:t>
            </w:r>
            <w:r>
              <w:rPr>
                <w:noProof/>
                <w:webHidden/>
              </w:rPr>
              <w:fldChar w:fldCharType="end"/>
            </w:r>
          </w:hyperlink>
        </w:p>
        <w:p w14:paraId="1F97F7B6" w14:textId="0099A378" w:rsidR="0059251A" w:rsidRDefault="0059251A">
          <w:pPr>
            <w:pStyle w:val="Sumrio1"/>
            <w:rPr>
              <w:rFonts w:asciiTheme="minorHAnsi" w:hAnsiTheme="minorHAnsi" w:cstheme="minorBidi"/>
              <w:noProof/>
              <w:kern w:val="2"/>
              <w:szCs w:val="24"/>
              <w:lang w:val="pt-BR" w:eastAsia="pt-BR"/>
              <w14:ligatures w14:val="standardContextual"/>
            </w:rPr>
          </w:pPr>
          <w:hyperlink w:anchor="_Toc238760000" w:history="1">
            <w:r w:rsidRPr="004B5324">
              <w:rPr>
                <w:rStyle w:val="Hyperlink"/>
                <w:rFonts w:eastAsia="Times New Roman"/>
                <w:noProof/>
              </w:rPr>
              <w:t>APÊNDICE B — FUNDAMENTAÇÃO DA ESCOLHA DO TÍTULO</w:t>
            </w:r>
            <w:r>
              <w:rPr>
                <w:noProof/>
                <w:webHidden/>
              </w:rPr>
              <w:tab/>
            </w:r>
            <w:r>
              <w:rPr>
                <w:noProof/>
                <w:webHidden/>
              </w:rPr>
              <w:fldChar w:fldCharType="begin"/>
            </w:r>
            <w:r>
              <w:rPr>
                <w:noProof/>
                <w:webHidden/>
              </w:rPr>
              <w:instrText xml:space="preserve"> PAGEREF _Toc238760000 \h </w:instrText>
            </w:r>
            <w:r>
              <w:rPr>
                <w:noProof/>
                <w:webHidden/>
              </w:rPr>
            </w:r>
            <w:r>
              <w:rPr>
                <w:noProof/>
                <w:webHidden/>
              </w:rPr>
              <w:fldChar w:fldCharType="separate"/>
            </w:r>
            <w:r>
              <w:rPr>
                <w:noProof/>
                <w:webHidden/>
              </w:rPr>
              <w:t>62</w:t>
            </w:r>
            <w:r>
              <w:rPr>
                <w:noProof/>
                <w:webHidden/>
              </w:rPr>
              <w:fldChar w:fldCharType="end"/>
            </w:r>
          </w:hyperlink>
        </w:p>
        <w:p w14:paraId="20A6A310" w14:textId="2406C96D" w:rsidR="00E62C65" w:rsidRDefault="00474360">
          <w:pPr>
            <w:pStyle w:val="Sumrio1"/>
            <w:tabs>
              <w:tab w:val="clear" w:pos="9071"/>
              <w:tab w:val="right" w:leader="dot" w:pos="9070"/>
            </w:tabs>
          </w:pPr>
          <w:r>
            <w:rPr>
              <w:rStyle w:val="IndexLink"/>
            </w:rPr>
            <w:fldChar w:fldCharType="end"/>
          </w:r>
        </w:p>
      </w:sdtContent>
    </w:sdt>
    <w:p w14:paraId="33CA5B74" w14:textId="77777777" w:rsidR="00E62C65" w:rsidRDefault="00474360">
      <w:r>
        <w:br w:type="page"/>
      </w:r>
    </w:p>
    <w:p w14:paraId="75234548" w14:textId="77777777" w:rsidR="00E62C65" w:rsidRDefault="00474360">
      <w:pPr>
        <w:spacing w:after="0"/>
        <w:jc w:val="center"/>
      </w:pPr>
      <w:r>
        <w:rPr>
          <w:rFonts w:eastAsia="Times New Roman"/>
          <w:b/>
        </w:rPr>
        <w:lastRenderedPageBreak/>
        <w:t>CONTROLE EDITORIAL — REMOVER ANTES DA ENTREGA</w:t>
      </w:r>
    </w:p>
    <w:p w14:paraId="6525DAAF" w14:textId="77777777" w:rsidR="00E62C65" w:rsidRDefault="00474360">
      <w:pPr>
        <w:pStyle w:val="EditorialStatus"/>
      </w:pPr>
      <w:r>
        <w:rPr>
          <w:rFonts w:eastAsia="Times New Roman"/>
        </w:rPr>
        <w:t>Esta página existe somente no documento mestre de trabalho. Ela organiza a evolução sincronizada entre software e monografia.</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73F536A1" w14:textId="77777777">
        <w:trPr>
          <w:tblHeader/>
          <w:jc w:val="center"/>
        </w:trPr>
        <w:tc>
          <w:tcPr>
            <w:tcW w:w="3024" w:type="dxa"/>
            <w:shd w:val="clear" w:color="auto" w:fill="E7E6E6"/>
            <w:vAlign w:val="center"/>
          </w:tcPr>
          <w:p w14:paraId="78434B68" w14:textId="77777777" w:rsidR="00E62C65" w:rsidRDefault="00474360">
            <w:pPr>
              <w:spacing w:after="0" w:line="240" w:lineRule="auto"/>
              <w:jc w:val="center"/>
              <w:rPr>
                <w:rFonts w:eastAsia="MS Mincho"/>
              </w:rPr>
            </w:pPr>
            <w:r>
              <w:rPr>
                <w:rFonts w:eastAsia="Times New Roman"/>
                <w:b/>
                <w:sz w:val="18"/>
              </w:rPr>
              <w:t>Parte</w:t>
            </w:r>
          </w:p>
        </w:tc>
        <w:tc>
          <w:tcPr>
            <w:tcW w:w="3024" w:type="dxa"/>
            <w:shd w:val="clear" w:color="auto" w:fill="E7E6E6"/>
            <w:vAlign w:val="center"/>
          </w:tcPr>
          <w:p w14:paraId="48B0BAD5" w14:textId="77777777" w:rsidR="00E62C65" w:rsidRDefault="00474360">
            <w:pPr>
              <w:spacing w:after="0" w:line="240" w:lineRule="auto"/>
              <w:jc w:val="center"/>
              <w:rPr>
                <w:rFonts w:eastAsia="MS Mincho"/>
              </w:rPr>
            </w:pPr>
            <w:r>
              <w:rPr>
                <w:rFonts w:eastAsia="Times New Roman"/>
                <w:b/>
                <w:sz w:val="18"/>
              </w:rPr>
              <w:t>Estado em 25/08/2026</w:t>
            </w:r>
          </w:p>
        </w:tc>
        <w:tc>
          <w:tcPr>
            <w:tcW w:w="3024" w:type="dxa"/>
            <w:shd w:val="clear" w:color="auto" w:fill="E7E6E6"/>
            <w:vAlign w:val="center"/>
          </w:tcPr>
          <w:p w14:paraId="3EFC6681" w14:textId="77777777" w:rsidR="00E62C65" w:rsidRDefault="00474360">
            <w:pPr>
              <w:spacing w:after="0" w:line="240" w:lineRule="auto"/>
              <w:jc w:val="center"/>
              <w:rPr>
                <w:rFonts w:eastAsia="MS Mincho"/>
              </w:rPr>
            </w:pPr>
            <w:r>
              <w:rPr>
                <w:rFonts w:eastAsia="Times New Roman"/>
                <w:b/>
                <w:sz w:val="18"/>
              </w:rPr>
              <w:t>Regra de atualização</w:t>
            </w:r>
          </w:p>
        </w:tc>
      </w:tr>
      <w:tr w:rsidR="00E62C65" w14:paraId="1CD98EA8" w14:textId="77777777">
        <w:trPr>
          <w:jc w:val="center"/>
        </w:trPr>
        <w:tc>
          <w:tcPr>
            <w:tcW w:w="3024" w:type="dxa"/>
            <w:vAlign w:val="center"/>
          </w:tcPr>
          <w:p w14:paraId="213DC18A" w14:textId="77777777" w:rsidR="00E62C65" w:rsidRDefault="00474360">
            <w:pPr>
              <w:spacing w:after="0" w:line="240" w:lineRule="auto"/>
              <w:rPr>
                <w:rFonts w:eastAsia="MS Mincho"/>
              </w:rPr>
            </w:pPr>
            <w:r>
              <w:rPr>
                <w:rFonts w:eastAsia="Times New Roman"/>
                <w:sz w:val="18"/>
              </w:rPr>
              <w:t>Capítulo 1 – Introdução</w:t>
            </w:r>
          </w:p>
        </w:tc>
        <w:tc>
          <w:tcPr>
            <w:tcW w:w="3024" w:type="dxa"/>
            <w:vAlign w:val="center"/>
          </w:tcPr>
          <w:p w14:paraId="59369922" w14:textId="77777777" w:rsidR="00E62C65" w:rsidRDefault="00474360">
            <w:pPr>
              <w:spacing w:after="0" w:line="240" w:lineRule="auto"/>
              <w:rPr>
                <w:rFonts w:eastAsia="MS Mincho"/>
              </w:rPr>
            </w:pPr>
            <w:r>
              <w:rPr>
                <w:rFonts w:eastAsia="Times New Roman"/>
                <w:sz w:val="18"/>
              </w:rPr>
              <w:t>CONGELADO</w:t>
            </w:r>
          </w:p>
        </w:tc>
        <w:tc>
          <w:tcPr>
            <w:tcW w:w="3024" w:type="dxa"/>
            <w:vAlign w:val="center"/>
          </w:tcPr>
          <w:p w14:paraId="1E9D8A91" w14:textId="77777777" w:rsidR="00E62C65" w:rsidRDefault="00474360">
            <w:pPr>
              <w:spacing w:after="0" w:line="240" w:lineRule="auto"/>
              <w:rPr>
                <w:rFonts w:eastAsia="MS Mincho"/>
              </w:rPr>
            </w:pPr>
            <w:r>
              <w:rPr>
                <w:rFonts w:eastAsia="Times New Roman"/>
                <w:sz w:val="18"/>
              </w:rPr>
              <w:t>Alterar apenas mediante decisão metodológica/documental explícita.</w:t>
            </w:r>
          </w:p>
        </w:tc>
      </w:tr>
      <w:tr w:rsidR="00E62C65" w14:paraId="72C1DC28" w14:textId="77777777">
        <w:trPr>
          <w:jc w:val="center"/>
        </w:trPr>
        <w:tc>
          <w:tcPr>
            <w:tcW w:w="3024" w:type="dxa"/>
            <w:vAlign w:val="center"/>
          </w:tcPr>
          <w:p w14:paraId="61427C6D" w14:textId="77777777" w:rsidR="00E62C65" w:rsidRDefault="00474360">
            <w:pPr>
              <w:spacing w:after="0" w:line="240" w:lineRule="auto"/>
              <w:rPr>
                <w:rFonts w:eastAsia="MS Mincho"/>
              </w:rPr>
            </w:pPr>
            <w:r>
              <w:rPr>
                <w:rFonts w:eastAsia="Times New Roman"/>
                <w:sz w:val="18"/>
              </w:rPr>
              <w:t>Capítulo 2 – Fundamentação Teórica</w:t>
            </w:r>
          </w:p>
        </w:tc>
        <w:tc>
          <w:tcPr>
            <w:tcW w:w="3024" w:type="dxa"/>
            <w:vAlign w:val="center"/>
          </w:tcPr>
          <w:p w14:paraId="4EAC40AE" w14:textId="77777777" w:rsidR="00E62C65" w:rsidRDefault="00474360">
            <w:pPr>
              <w:spacing w:after="0" w:line="240" w:lineRule="auto"/>
              <w:rPr>
                <w:rFonts w:eastAsia="MS Mincho"/>
              </w:rPr>
            </w:pPr>
            <w:r>
              <w:rPr>
                <w:rFonts w:eastAsia="Times New Roman"/>
                <w:sz w:val="18"/>
              </w:rPr>
              <w:t>ESTRUTURA PRONTA</w:t>
            </w:r>
          </w:p>
        </w:tc>
        <w:tc>
          <w:tcPr>
            <w:tcW w:w="3024" w:type="dxa"/>
            <w:vAlign w:val="center"/>
          </w:tcPr>
          <w:p w14:paraId="413A404F" w14:textId="77777777" w:rsidR="00E62C65" w:rsidRDefault="00474360">
            <w:pPr>
              <w:spacing w:after="0" w:line="240" w:lineRule="auto"/>
              <w:rPr>
                <w:rFonts w:eastAsia="MS Mincho"/>
              </w:rPr>
            </w:pPr>
            <w:r>
              <w:rPr>
                <w:rFonts w:eastAsia="Times New Roman"/>
                <w:sz w:val="18"/>
              </w:rPr>
              <w:t>Redação acadêmica ainda será desenvolvida a partir da matriz bibliográfica validada.</w:t>
            </w:r>
          </w:p>
        </w:tc>
      </w:tr>
      <w:tr w:rsidR="00E62C65" w14:paraId="705934C6" w14:textId="77777777">
        <w:trPr>
          <w:jc w:val="center"/>
        </w:trPr>
        <w:tc>
          <w:tcPr>
            <w:tcW w:w="3024" w:type="dxa"/>
            <w:vAlign w:val="center"/>
          </w:tcPr>
          <w:p w14:paraId="1227D2FC" w14:textId="77777777" w:rsidR="00E62C65" w:rsidRDefault="00474360">
            <w:pPr>
              <w:spacing w:after="0" w:line="240" w:lineRule="auto"/>
              <w:rPr>
                <w:rFonts w:eastAsia="MS Mincho"/>
              </w:rPr>
            </w:pPr>
            <w:r>
              <w:rPr>
                <w:rFonts w:eastAsia="Times New Roman"/>
                <w:sz w:val="18"/>
              </w:rPr>
              <w:t>Capítulo 3 – Metodologia</w:t>
            </w:r>
          </w:p>
        </w:tc>
        <w:tc>
          <w:tcPr>
            <w:tcW w:w="3024" w:type="dxa"/>
            <w:vAlign w:val="center"/>
          </w:tcPr>
          <w:p w14:paraId="1CD5C91E" w14:textId="77777777" w:rsidR="00E62C65" w:rsidRDefault="00474360">
            <w:pPr>
              <w:spacing w:after="0" w:line="240" w:lineRule="auto"/>
              <w:rPr>
                <w:rFonts w:eastAsia="MS Mincho"/>
              </w:rPr>
            </w:pPr>
            <w:r>
              <w:rPr>
                <w:rFonts w:eastAsia="Times New Roman"/>
                <w:sz w:val="18"/>
              </w:rPr>
              <w:t>RASCUNHO TÉCNICO CONSOLIDADO</w:t>
            </w:r>
          </w:p>
        </w:tc>
        <w:tc>
          <w:tcPr>
            <w:tcW w:w="3024" w:type="dxa"/>
            <w:vAlign w:val="center"/>
          </w:tcPr>
          <w:p w14:paraId="509146E2" w14:textId="77777777" w:rsidR="00E62C65" w:rsidRDefault="00474360">
            <w:pPr>
              <w:spacing w:after="0" w:line="240" w:lineRule="auto"/>
              <w:rPr>
                <w:rFonts w:eastAsia="MS Mincho"/>
              </w:rPr>
            </w:pPr>
            <w:r>
              <w:rPr>
                <w:rFonts w:eastAsia="Times New Roman"/>
                <w:sz w:val="18"/>
              </w:rPr>
              <w:t>Revisar academicamente e citar literatura metodológica; atualizar se o método científico mudar.</w:t>
            </w:r>
          </w:p>
        </w:tc>
      </w:tr>
      <w:tr w:rsidR="00E62C65" w14:paraId="2666D284" w14:textId="77777777">
        <w:trPr>
          <w:jc w:val="center"/>
        </w:trPr>
        <w:tc>
          <w:tcPr>
            <w:tcW w:w="3024" w:type="dxa"/>
            <w:vAlign w:val="center"/>
          </w:tcPr>
          <w:p w14:paraId="294A869E" w14:textId="77777777" w:rsidR="00E62C65" w:rsidRDefault="00474360">
            <w:pPr>
              <w:spacing w:after="0" w:line="240" w:lineRule="auto"/>
              <w:rPr>
                <w:rFonts w:eastAsia="MS Mincho"/>
              </w:rPr>
            </w:pPr>
            <w:r>
              <w:rPr>
                <w:rFonts w:eastAsia="Times New Roman"/>
                <w:sz w:val="18"/>
              </w:rPr>
              <w:t>Capítulo 4 – Desenvolvimento da Solução</w:t>
            </w:r>
          </w:p>
        </w:tc>
        <w:tc>
          <w:tcPr>
            <w:tcW w:w="3024" w:type="dxa"/>
            <w:vAlign w:val="center"/>
          </w:tcPr>
          <w:p w14:paraId="2B1B2A73" w14:textId="77777777" w:rsidR="00E62C65" w:rsidRDefault="00474360">
            <w:pPr>
              <w:spacing w:after="0" w:line="240" w:lineRule="auto"/>
              <w:rPr>
                <w:rFonts w:eastAsia="MS Mincho"/>
              </w:rPr>
            </w:pPr>
            <w:r>
              <w:rPr>
                <w:rFonts w:eastAsia="Times New Roman"/>
                <w:sz w:val="18"/>
              </w:rPr>
              <w:t>RASCUNHO TÉCNICO ATUAL</w:t>
            </w:r>
          </w:p>
        </w:tc>
        <w:tc>
          <w:tcPr>
            <w:tcW w:w="3024" w:type="dxa"/>
            <w:vAlign w:val="center"/>
          </w:tcPr>
          <w:p w14:paraId="4C384974" w14:textId="77777777" w:rsidR="00E62C65" w:rsidRDefault="00474360">
            <w:pPr>
              <w:spacing w:after="0" w:line="240" w:lineRule="auto"/>
              <w:rPr>
                <w:rFonts w:eastAsia="MS Mincho"/>
              </w:rPr>
            </w:pPr>
            <w:r>
              <w:rPr>
                <w:rFonts w:eastAsia="Times New Roman"/>
                <w:sz w:val="18"/>
              </w:rPr>
              <w:t>Atualizar a cada marco de Flutter/API; a API do acompanhamento pré-natal ainda não está implementada.</w:t>
            </w:r>
          </w:p>
        </w:tc>
      </w:tr>
      <w:tr w:rsidR="00E62C65" w14:paraId="05C1B4F7" w14:textId="77777777">
        <w:trPr>
          <w:jc w:val="center"/>
        </w:trPr>
        <w:tc>
          <w:tcPr>
            <w:tcW w:w="3024" w:type="dxa"/>
            <w:vAlign w:val="center"/>
          </w:tcPr>
          <w:p w14:paraId="51A6D098" w14:textId="77777777" w:rsidR="00E62C65" w:rsidRDefault="00474360">
            <w:pPr>
              <w:spacing w:after="0" w:line="240" w:lineRule="auto"/>
              <w:rPr>
                <w:rFonts w:eastAsia="MS Mincho"/>
              </w:rPr>
            </w:pPr>
            <w:r>
              <w:rPr>
                <w:rFonts w:eastAsia="Times New Roman"/>
                <w:sz w:val="18"/>
              </w:rPr>
              <w:t>Capítulo 5 – Resultados e Discussão</w:t>
            </w:r>
          </w:p>
        </w:tc>
        <w:tc>
          <w:tcPr>
            <w:tcW w:w="3024" w:type="dxa"/>
            <w:vAlign w:val="center"/>
          </w:tcPr>
          <w:p w14:paraId="079D2B5E" w14:textId="77777777" w:rsidR="00E62C65" w:rsidRDefault="00474360">
            <w:pPr>
              <w:spacing w:after="0" w:line="240" w:lineRule="auto"/>
              <w:rPr>
                <w:rFonts w:eastAsia="MS Mincho"/>
              </w:rPr>
            </w:pPr>
            <w:r>
              <w:rPr>
                <w:rFonts w:eastAsia="Times New Roman"/>
                <w:sz w:val="18"/>
              </w:rPr>
              <w:t>RESULTADOS TÉCNICOS ATUAIS</w:t>
            </w:r>
          </w:p>
        </w:tc>
        <w:tc>
          <w:tcPr>
            <w:tcW w:w="3024" w:type="dxa"/>
            <w:vAlign w:val="center"/>
          </w:tcPr>
          <w:p w14:paraId="339567F3" w14:textId="77777777" w:rsidR="00E62C65" w:rsidRDefault="00474360">
            <w:pPr>
              <w:spacing w:after="0" w:line="240" w:lineRule="auto"/>
              <w:rPr>
                <w:rFonts w:eastAsia="MS Mincho"/>
              </w:rPr>
            </w:pPr>
            <w:r>
              <w:rPr>
                <w:rFonts w:eastAsia="Times New Roman"/>
                <w:sz w:val="18"/>
              </w:rPr>
              <w:t>Resultados de IA/API/DSS já incorporados; discussão bibliográfica será aprofundada.</w:t>
            </w:r>
          </w:p>
        </w:tc>
      </w:tr>
      <w:tr w:rsidR="00E62C65" w14:paraId="08ADD6D9" w14:textId="77777777">
        <w:trPr>
          <w:jc w:val="center"/>
        </w:trPr>
        <w:tc>
          <w:tcPr>
            <w:tcW w:w="3024" w:type="dxa"/>
            <w:vAlign w:val="center"/>
          </w:tcPr>
          <w:p w14:paraId="7348197B" w14:textId="77777777" w:rsidR="00E62C65" w:rsidRDefault="00474360">
            <w:pPr>
              <w:spacing w:after="0" w:line="240" w:lineRule="auto"/>
              <w:rPr>
                <w:rFonts w:eastAsia="MS Mincho"/>
              </w:rPr>
            </w:pPr>
            <w:r>
              <w:rPr>
                <w:rFonts w:eastAsia="Times New Roman"/>
                <w:sz w:val="18"/>
              </w:rPr>
              <w:t>Capítulo 6 – Conclusão</w:t>
            </w:r>
          </w:p>
        </w:tc>
        <w:tc>
          <w:tcPr>
            <w:tcW w:w="3024" w:type="dxa"/>
            <w:vAlign w:val="center"/>
          </w:tcPr>
          <w:p w14:paraId="300674E7" w14:textId="77777777" w:rsidR="00E62C65" w:rsidRDefault="00474360">
            <w:pPr>
              <w:spacing w:after="0" w:line="240" w:lineRule="auto"/>
              <w:rPr>
                <w:rFonts w:eastAsia="MS Mincho"/>
              </w:rPr>
            </w:pPr>
            <w:r>
              <w:rPr>
                <w:rFonts w:eastAsia="Times New Roman"/>
                <w:sz w:val="18"/>
              </w:rPr>
              <w:t>PROVISÓRIA</w:t>
            </w:r>
          </w:p>
        </w:tc>
        <w:tc>
          <w:tcPr>
            <w:tcW w:w="3024" w:type="dxa"/>
            <w:vAlign w:val="center"/>
          </w:tcPr>
          <w:p w14:paraId="02BF8715" w14:textId="77777777" w:rsidR="00E62C65" w:rsidRDefault="00474360">
            <w:pPr>
              <w:spacing w:after="0" w:line="240" w:lineRule="auto"/>
              <w:rPr>
                <w:rFonts w:eastAsia="MS Mincho"/>
              </w:rPr>
            </w:pPr>
            <w:r>
              <w:rPr>
                <w:rFonts w:eastAsia="Times New Roman"/>
                <w:sz w:val="18"/>
              </w:rPr>
              <w:t>Reescrever após concluir a evolução do acompanhamento pré-natal e consolidar resultados finais.</w:t>
            </w:r>
          </w:p>
        </w:tc>
      </w:tr>
    </w:tbl>
    <w:p w14:paraId="1017E860" w14:textId="77777777" w:rsidR="00E62C65" w:rsidRDefault="00474360">
      <w:pPr>
        <w:spacing w:before="40" w:after="120"/>
      </w:pPr>
      <w:r>
        <w:rPr>
          <w:rFonts w:eastAsia="Times New Roman"/>
          <w:sz w:val="18"/>
        </w:rPr>
        <w:t>Fonte: controle interno do projeto (2026).</w:t>
      </w:r>
    </w:p>
    <w:p w14:paraId="003A756C" w14:textId="77777777" w:rsidR="00E62C65" w:rsidRDefault="00474360">
      <w:pPr>
        <w:spacing w:after="0" w:line="360" w:lineRule="auto"/>
        <w:jc w:val="both"/>
        <w:sectPr w:rsidR="00E62C65">
          <w:pgSz w:w="11906" w:h="16838"/>
          <w:pgMar w:top="1701" w:right="1134" w:bottom="1134" w:left="1701" w:header="0" w:footer="0" w:gutter="0"/>
          <w:cols w:space="720"/>
          <w:formProt w:val="0"/>
          <w:docGrid w:linePitch="360"/>
        </w:sectPr>
      </w:pPr>
      <w:r>
        <w:rPr>
          <w:rFonts w:eastAsia="Times New Roman"/>
        </w:rPr>
        <w:t>Regra de sincronização: marco técnico concluído e testado → documentação técnica atualizada → impacto acadêmico revisado → documento mestre atualizado.</w:t>
      </w:r>
    </w:p>
    <w:p w14:paraId="5DB7708F" w14:textId="77777777" w:rsidR="00E62C65" w:rsidRDefault="00474360">
      <w:pPr>
        <w:pStyle w:val="Ttulo1"/>
      </w:pPr>
      <w:bookmarkStart w:id="0" w:name="_Toc238759936"/>
      <w:r>
        <w:rPr>
          <w:rFonts w:ascii="Times New Roman" w:eastAsia="Times New Roman" w:hAnsi="Times New Roman"/>
        </w:rPr>
        <w:lastRenderedPageBreak/>
        <w:t>1 INTRODUÇÃO</w:t>
      </w:r>
      <w:bookmarkEnd w:id="0"/>
    </w:p>
    <w:p w14:paraId="6166089C" w14:textId="77777777" w:rsidR="00E62C65" w:rsidRDefault="00474360">
      <w:pPr>
        <w:pStyle w:val="Ttulo2"/>
      </w:pPr>
      <w:bookmarkStart w:id="1" w:name="_Toc238759937"/>
      <w:r>
        <w:rPr>
          <w:rFonts w:ascii="Times New Roman" w:eastAsia="Times New Roman" w:hAnsi="Times New Roman"/>
        </w:rPr>
        <w:t>1.1 Contextualização</w:t>
      </w:r>
      <w:bookmarkEnd w:id="1"/>
    </w:p>
    <w:p w14:paraId="2265335F" w14:textId="77777777" w:rsidR="00E62C65" w:rsidRDefault="00474360">
      <w:pPr>
        <w:spacing w:after="0" w:line="360" w:lineRule="auto"/>
        <w:ind w:firstLine="709"/>
        <w:jc w:val="both"/>
      </w:pPr>
      <w:r>
        <w:rPr>
          <w:rFonts w:eastAsia="Times New Roman"/>
        </w:rPr>
        <w:t>O acompanhamento pré-natal constitui um componente central da atenção à gestação e da promoção da saúde materno-infantil, sendo objeto de diretrizes internacionais que recomendam uma atenção organizada, periódica e centrada na gestante (WORLD HEALTH ORGANIZATION, 2016). No Brasil, essa atenção integra a política de saúde materno-infantil do Sistema Único de Saúde (SUS) e foi reafirmada, em sua configuração mais recente, pela Rede Alyne, instituída pela Portaria GM/MS nº 5.350, de 2024, que prevê a captação oportuna da gestante e a realização de um conjunto mínimo de consultas intercaladas entre diferentes profissionais (Brasil, 2024). A mortalidade materna permanece, todavia, um problema relevante em escala global (WORLD HEALTH ORGANIZATION, 2019, 2024), o que reforça a importância de estratégias que favoreçam a continuidade do acompanhamento.</w:t>
      </w:r>
    </w:p>
    <w:p w14:paraId="1F70902A" w14:textId="77777777" w:rsidR="00E62C65" w:rsidRDefault="00474360">
      <w:pPr>
        <w:spacing w:after="0" w:line="360" w:lineRule="auto"/>
        <w:ind w:firstLine="709"/>
        <w:jc w:val="both"/>
      </w:pPr>
      <w:r>
        <w:rPr>
          <w:rFonts w:eastAsia="Times New Roman"/>
        </w:rPr>
        <w:t>Apesar da expansão da cobertura, a adequação e a continuidade do pré-natal permanecem desiguais no Brasil. Desigualdades socioeconômicas e barreiras de acesso estão associadas à menor adequação, à não realização, ao início tardio ou à descontinuidade do acompanhamento pré-natal, conforme a definição operacional adotada em cada estudo (Rosa; Silveira; Costa, 2014; Viellas et al., 2014; Degli Esposti et al., 2020; Santorio et al., 2024). Estudos conduzidos em diferentes contextos brasileiros evidenciam a associação entre condições sociais e a não realização do pré-natal (Rosa; Silveira; Costa, 2014), bem como o papel de determinantes sociais na realização do acompanhamento, em análises de base populacional (Santorio et al., 2024). As desigualdades observadas assumem, ademais, recortes sociais e geográficos, refletindo-se no desempenho da assistência (Degli Esposti et al., 2020).</w:t>
      </w:r>
    </w:p>
    <w:p w14:paraId="3C576E21" w14:textId="77777777" w:rsidR="00E62C65" w:rsidRDefault="00474360">
      <w:pPr>
        <w:spacing w:after="0" w:line="360" w:lineRule="auto"/>
        <w:ind w:firstLine="709"/>
        <w:jc w:val="both"/>
      </w:pPr>
      <w:r>
        <w:rPr>
          <w:rFonts w:eastAsia="Times New Roman"/>
        </w:rPr>
        <w:t>Os Determinantes Sociais da Saúde (DSS) constituem o conjunto de condições sociais, econômicas e ambientais em que as pessoas nascem, vivem e trabalham e que moldam as oportunidades de saúde, gerando iniquidades evitáveis quando distribuídos de forma desigual (Buss; Pellegrini Filho, 2007; CNDSS, 2008; Solar; Irwin, 2010; WORLD HEALTH ORGANIZATION, 2025). No escopo deste trabalho, esses determinantes são operacionalizados em seis dimensões — educação, trabalho e renda, saneamento, acesso aos serviços de saúde, habitação e alimentação — que orientam a coleta estruturada de informações e a caracterização de perfis de vulnerabilidade social.</w:t>
      </w:r>
    </w:p>
    <w:p w14:paraId="0128BDC9" w14:textId="77777777" w:rsidR="00E62C65" w:rsidRDefault="00474360">
      <w:pPr>
        <w:spacing w:after="0" w:line="360" w:lineRule="auto"/>
        <w:ind w:firstLine="709"/>
        <w:jc w:val="both"/>
      </w:pPr>
      <w:r>
        <w:rPr>
          <w:rFonts w:eastAsia="Times New Roman"/>
        </w:rPr>
        <w:t xml:space="preserve">Em paralelo, o avanço das tecnologias digitais em saúde tem ampliado as possibilidades de coleta, registro e acompanhamento dessas informações. Iniciativas de saúde móvel (mHealth) têm sido investigadas como apoio ao pré-natal e ao pós-parto (Feroz; </w:t>
      </w:r>
      <w:r>
        <w:rPr>
          <w:rFonts w:eastAsia="Times New Roman"/>
        </w:rPr>
        <w:lastRenderedPageBreak/>
        <w:t>Perveen; Aftab, 2017), e aplicativos voltados à gestação vêm sendo estudados como recurso de apoio ao autocuidado e à gestão da gravidez (Iyawa; Dansharif; Khan, 2021). No contexto brasileiro, a Estratégia de Saúde Digital para o Brasil 2020–2028 estabelece diretrizes para o uso de tecnologias digitais no sistema de saúde (Brasil, 2020). É nessa confluência entre os DSS, a saúde digital e o aprendizado de máquina que se insere a proposta deste trabalho.</w:t>
      </w:r>
    </w:p>
    <w:p w14:paraId="13057AAD" w14:textId="77777777" w:rsidR="00E62C65" w:rsidRDefault="00474360">
      <w:pPr>
        <w:spacing w:after="0" w:line="360" w:lineRule="auto"/>
        <w:ind w:firstLine="709"/>
        <w:jc w:val="both"/>
      </w:pPr>
      <w:r>
        <w:rPr>
          <w:rFonts w:eastAsia="Times New Roman"/>
        </w:rPr>
        <w:t>O emprego de inteligência artificial na saúde pública tem sido objeto de crescente discussão (Alves; Terazima; Lima, 2025). Nesse contexto, este trabalho investiga experimentalmente o emprego de aprendizado de máquina supervisionado sobre variáveis estruturadas dos DSS para estimar a propensão à descontinuidade do acompanhamento pré-natal, materializando-se no aplicativo "Meu Bebê", que integra, em uma mesma aplicação, a coleta estruturada dos DSS e um módulo de acompanhamento do pré-natal.</w:t>
      </w:r>
    </w:p>
    <w:p w14:paraId="543FEA3B" w14:textId="77777777" w:rsidR="00E62C65" w:rsidRDefault="00474360">
      <w:pPr>
        <w:spacing w:after="0" w:line="360" w:lineRule="auto"/>
        <w:ind w:firstLine="709"/>
        <w:jc w:val="both"/>
      </w:pPr>
      <w:r>
        <w:rPr>
          <w:rFonts w:eastAsia="Times New Roman"/>
        </w:rPr>
        <w:t>O estudo é conduzido sobre um dataset sintético, com finalidade de avaliação técnica e controlada da metodologia: os dados não representam prevalências reais e os resultados não autorizam inferência clínica ou populacional sobre gestantes reais. A estimativa produzida não constitui diagnóstico, classificação clínica ou certeza de descontinuidade, e nenhuma associação estatística é apresentada como relação causal. De modo complementar e separado do aplicativo, o estudo calcula, em seu componente analítico, o Índice de Vulnerabilidade dos Determinantes Sociais da Saúde (IV-DSS), de caráter descritivo e experimental, destinado a caracterizar a vulnerabilidade social dos perfis representados no dataset sintético — distinto da probabilidade estimada pelo modelo.</w:t>
      </w:r>
    </w:p>
    <w:p w14:paraId="3309C54B" w14:textId="77777777" w:rsidR="00E62C65" w:rsidRDefault="00474360">
      <w:pPr>
        <w:pStyle w:val="Ttulo2"/>
      </w:pPr>
      <w:bookmarkStart w:id="2" w:name="_Toc238759938"/>
      <w:r>
        <w:rPr>
          <w:rFonts w:ascii="Times New Roman" w:eastAsia="Times New Roman" w:hAnsi="Times New Roman"/>
        </w:rPr>
        <w:t>1.2 Problema de pesquisa</w:t>
      </w:r>
      <w:bookmarkEnd w:id="2"/>
    </w:p>
    <w:p w14:paraId="18E2A6F7" w14:textId="77777777" w:rsidR="00E62C65" w:rsidRDefault="00474360">
      <w:pPr>
        <w:spacing w:after="0" w:line="360" w:lineRule="auto"/>
        <w:ind w:firstLine="709"/>
        <w:jc w:val="both"/>
      </w:pPr>
      <w:r>
        <w:rPr>
          <w:rFonts w:eastAsia="Times New Roman"/>
        </w:rPr>
        <w:t>Apesar da existência de diretrizes nacionais e da expansão do acesso, persistem desigualdades na adequação e na continuidade do acompanhamento pré-natal, associadas a condições sociais e a barreiras de acesso (Rosa; Silveira; Costa, 2014; Viellas et al., 2014; Degli Esposti et al., 2020; Santorio et al., 2024). A disponibilidade de informações estruturadas sobre os DSS abre espaço para investigar se técnicas de aprendizado de máquina podem, a partir dessas variáveis, produzir estimativas experimentais de propensão à descontinuidade.</w:t>
      </w:r>
    </w:p>
    <w:p w14:paraId="4A2C079B" w14:textId="77777777" w:rsidR="00E62C65" w:rsidRDefault="00474360">
      <w:pPr>
        <w:spacing w:after="0" w:line="360" w:lineRule="auto"/>
        <w:ind w:firstLine="709"/>
        <w:jc w:val="both"/>
      </w:pPr>
      <w:r>
        <w:rPr>
          <w:rFonts w:eastAsia="Times New Roman"/>
        </w:rPr>
        <w:t xml:space="preserve">É necessário, contudo, distinguir o fenômeno real — a descontinuidade do acompanhamento pré-natal, cuja operacionalização longitudinal com dados reais ainda exige fundamentação específica — da variável-alvo experimental adotada neste estudo, definida sobre dados sintéticos. O problema investigado, portanto, pode ser enunciado nos seguintes termos: </w:t>
      </w:r>
      <w:r>
        <w:rPr>
          <w:rFonts w:eastAsia="Times New Roman"/>
          <w:b/>
        </w:rPr>
        <w:t xml:space="preserve">em que medida uma abordagem experimental de aprendizado de máquina </w:t>
      </w:r>
      <w:r>
        <w:rPr>
          <w:rFonts w:eastAsia="Times New Roman"/>
          <w:b/>
        </w:rPr>
        <w:lastRenderedPageBreak/>
        <w:t>baseada nos DSS, inicialmente avaliada com dados sintéticos, é capaz de produzir estimativas de propensão à descontinuidade do acompanhamento pré-natal?</w:t>
      </w:r>
    </w:p>
    <w:p w14:paraId="162C8FCA" w14:textId="77777777" w:rsidR="00E62C65" w:rsidRDefault="00474360">
      <w:pPr>
        <w:spacing w:after="0" w:line="360" w:lineRule="auto"/>
        <w:ind w:firstLine="709"/>
        <w:jc w:val="both"/>
      </w:pPr>
      <w:r>
        <w:rPr>
          <w:rFonts w:eastAsia="Times New Roman"/>
        </w:rPr>
        <w:t>Não se pretende, com este trabalho, estabelecer causalidade nem produzir diagnóstico ou classificação clínica. Trata-se de avaliar, de forma controlada e reproduzível, a viabilidade técnica de um pipeline computacional que relacione os DSS a um desfecho experimental.</w:t>
      </w:r>
    </w:p>
    <w:p w14:paraId="469500FD" w14:textId="77777777" w:rsidR="00E62C65" w:rsidRDefault="00474360">
      <w:pPr>
        <w:pStyle w:val="Ttulo2"/>
      </w:pPr>
      <w:bookmarkStart w:id="3" w:name="_Toc238759939"/>
      <w:r>
        <w:rPr>
          <w:rFonts w:ascii="Times New Roman" w:eastAsia="Times New Roman" w:hAnsi="Times New Roman"/>
        </w:rPr>
        <w:t>1.3 Justificativa</w:t>
      </w:r>
      <w:bookmarkEnd w:id="3"/>
    </w:p>
    <w:p w14:paraId="5D53C41F" w14:textId="77777777" w:rsidR="00E62C65" w:rsidRDefault="00474360">
      <w:pPr>
        <w:spacing w:after="0" w:line="360" w:lineRule="auto"/>
        <w:ind w:firstLine="709"/>
        <w:jc w:val="both"/>
      </w:pPr>
      <w:r>
        <w:rPr>
          <w:rFonts w:eastAsia="Times New Roman"/>
        </w:rPr>
        <w:t>A relevância social deste trabalho reside na centralidade do pré-natal para a saúde materna e na persistência de desigualdades de acesso e de continuidade, documentadas para o contexto brasileiro (Rosa; Silveira; Costa, 2014; Viellas et al., 2014; Degli Esposti et al., 2020). A mortalidade materna permanece um problema relevante em escala global (WORLD HEALTH ORGANIZATION, 2019, 2024), e o acompanhamento pré-natal adequado figura entre as estratégias de prevenção recomendadas (WORLD HEALTH ORGANIZATION, 2016). Compreender como condições relacionadas aos DSS se associam às desigualdades observadas na adequação e na continuidade desse acompanhamento pode subsidiar o planejamento da atenção, ainda que este trabalho não se proponha a intervir diretamente sobre esse fenômeno nem a estabelecer relações de causalidade.</w:t>
      </w:r>
    </w:p>
    <w:p w14:paraId="7197CDC6" w14:textId="77777777" w:rsidR="00E62C65" w:rsidRDefault="00474360">
      <w:pPr>
        <w:spacing w:after="0" w:line="360" w:lineRule="auto"/>
        <w:ind w:firstLine="709"/>
        <w:jc w:val="both"/>
      </w:pPr>
      <w:r>
        <w:rPr>
          <w:rFonts w:eastAsia="Times New Roman"/>
        </w:rPr>
        <w:t>Do ponto de vista científico e tecnológico, justifica-se investigar se uma abordagem de aprendizado de máquina, aplicada a dados estruturados dos DSS, é capaz de produzir estimativas de propensão passíveis de avaliação segundo o protocolo experimental adotado. A opção por um dataset sintético permite a avaliação controlada e reproduzível do pipeline, ao mesmo tempo em que afasta qualquer leitura de validade clínica ou de representatividade populacional: os dados não representam prevalências reais nem autorizam inferência sobre gestantes reais.</w:t>
      </w:r>
    </w:p>
    <w:p w14:paraId="67BE1013" w14:textId="77777777" w:rsidR="00E62C65" w:rsidRDefault="00474360">
      <w:pPr>
        <w:spacing w:after="0" w:line="360" w:lineRule="auto"/>
        <w:ind w:firstLine="709"/>
        <w:jc w:val="both"/>
      </w:pPr>
      <w:r>
        <w:rPr>
          <w:rFonts w:eastAsia="Times New Roman"/>
        </w:rPr>
        <w:t>A solução tecnológica proposta reúne, no aplicativo, a coleta estruturada dos DSS, o módulo de acompanhamento do pré-natal e o consumo da estimativa experimental produzida pelo pipeline de aprendizado de máquina. Paralelamente, no componente analítico do estudo, é calculado o Índice de Vulnerabilidade dos Determinantes Sociais da Saúde (IV-DSS), de caráter descritivo e experimental, distinto da probabilidade produzida pelo modelo e sem configurar classificação clínica. Prevê-se, para o módulo de acompanhamento, a integração a uma API para persistência e gerenciamento dos dados. Essa integração — questionário, estimativa e acompanhamento em uma mesma solução — constitui um resultado de engenharia relevante, independentemente do desempenho preditivo alcançado pelo modelo.</w:t>
      </w:r>
    </w:p>
    <w:p w14:paraId="017B9F85" w14:textId="77777777" w:rsidR="00E62C65" w:rsidRDefault="00474360">
      <w:pPr>
        <w:spacing w:after="0" w:line="360" w:lineRule="auto"/>
        <w:ind w:firstLine="709"/>
        <w:jc w:val="both"/>
      </w:pPr>
      <w:r>
        <w:rPr>
          <w:rFonts w:eastAsia="Times New Roman"/>
        </w:rPr>
        <w:lastRenderedPageBreak/>
        <w:t>Acrescenta-se a relevância acadêmica: o trabalho consolida um pipeline experimental reproduzível — contrato de dados, geração controlada de dados sintéticos, protocolo de treinamento e validação, métricas adequadas a classes desbalanceadas e integração de software — que poderá ser reutilizado em etapas futuras com dados reais, sob os devidos requisitos éticos e de consentimento.</w:t>
      </w:r>
    </w:p>
    <w:p w14:paraId="7EA35308" w14:textId="77777777" w:rsidR="00E62C65" w:rsidRDefault="00474360">
      <w:pPr>
        <w:pStyle w:val="Ttulo2"/>
      </w:pPr>
      <w:bookmarkStart w:id="4" w:name="_Toc238759940"/>
      <w:r>
        <w:rPr>
          <w:rFonts w:ascii="Times New Roman" w:eastAsia="Times New Roman" w:hAnsi="Times New Roman"/>
        </w:rPr>
        <w:t>1.4 Objetivos</w:t>
      </w:r>
      <w:bookmarkEnd w:id="4"/>
    </w:p>
    <w:p w14:paraId="5AB55011" w14:textId="77777777" w:rsidR="00E62C65" w:rsidRDefault="00474360">
      <w:pPr>
        <w:pStyle w:val="Ttulo3"/>
      </w:pPr>
      <w:bookmarkStart w:id="5" w:name="_Toc238759941"/>
      <w:r>
        <w:rPr>
          <w:rFonts w:ascii="Times New Roman" w:eastAsia="Times New Roman" w:hAnsi="Times New Roman"/>
        </w:rPr>
        <w:t>1.4.1 Objetivo geral</w:t>
      </w:r>
      <w:bookmarkEnd w:id="5"/>
    </w:p>
    <w:p w14:paraId="78CD92C9" w14:textId="77777777" w:rsidR="00E62C65" w:rsidRDefault="00474360">
      <w:pPr>
        <w:spacing w:after="0" w:line="360" w:lineRule="auto"/>
        <w:ind w:firstLine="709"/>
        <w:jc w:val="both"/>
      </w:pPr>
      <w:r>
        <w:rPr>
          <w:rFonts w:eastAsia="Times New Roman"/>
        </w:rPr>
        <w:t>Desenvolver um aplicativo móvel para coleta estruturada dos Determinantes Sociais da Saúde e acompanhamento do pré-natal, construir um Índice de Vulnerabilidade dos DSS (IV-DSS) para caracterização dos perfis representados no dataset sintético, e desenvolver um modelo de aprendizado de máquina — treinado e avaliado sobre um dataset sintético — capaz de estimar a propensão à descontinuidade do acompanhamento pré-natal.</w:t>
      </w:r>
    </w:p>
    <w:p w14:paraId="01851778" w14:textId="77777777" w:rsidR="00E62C65" w:rsidRDefault="00474360">
      <w:pPr>
        <w:pStyle w:val="Ttulo3"/>
      </w:pPr>
      <w:bookmarkStart w:id="6" w:name="_Toc238759942"/>
      <w:r>
        <w:rPr>
          <w:rFonts w:ascii="Times New Roman" w:eastAsia="Times New Roman" w:hAnsi="Times New Roman"/>
        </w:rPr>
        <w:t>1.4.2 Objetivos específicos</w:t>
      </w:r>
      <w:bookmarkEnd w:id="6"/>
    </w:p>
    <w:p w14:paraId="69E2002D" w14:textId="77777777" w:rsidR="00E62C65" w:rsidRDefault="00474360">
      <w:pPr>
        <w:spacing w:line="360" w:lineRule="auto"/>
        <w:ind w:left="454" w:hanging="340"/>
      </w:pPr>
      <w:r>
        <w:rPr>
          <w:rFonts w:eastAsia="Times New Roman"/>
        </w:rPr>
        <w:t>1. Modelar os DSS em um contrato de dados canônico, versionado e reproduzível.</w:t>
      </w:r>
    </w:p>
    <w:p w14:paraId="1E2DB749" w14:textId="77777777" w:rsidR="00E62C65" w:rsidRDefault="00474360">
      <w:pPr>
        <w:spacing w:line="360" w:lineRule="auto"/>
        <w:ind w:left="454" w:hanging="340"/>
      </w:pPr>
      <w:r>
        <w:rPr>
          <w:rFonts w:eastAsia="Times New Roman"/>
        </w:rPr>
        <w:t>2. Construir um Índice de Vulnerabilidade dos DSS (IV-DSS), baseado nas dimensões investigadas, para caracterizar o nível de vulnerabilidade social dos perfis representados no dataset sintético.</w:t>
      </w:r>
    </w:p>
    <w:p w14:paraId="5ADD30E7" w14:textId="77777777" w:rsidR="00E62C65" w:rsidRDefault="00474360">
      <w:pPr>
        <w:spacing w:line="360" w:lineRule="auto"/>
        <w:ind w:left="454" w:hanging="340"/>
      </w:pPr>
      <w:r>
        <w:rPr>
          <w:rFonts w:eastAsia="Times New Roman"/>
        </w:rPr>
        <w:t>3. Desenvolver o aplicativo Flutter com o questionário dos Determinantes Sociais da Saúde e o módulo de acompanhamento do pré-natal, integrando este último a uma API para persistência e gerenciamento dos dados.</w:t>
      </w:r>
    </w:p>
    <w:p w14:paraId="72A9EF66" w14:textId="77777777" w:rsidR="00E62C65" w:rsidRDefault="00474360">
      <w:pPr>
        <w:spacing w:line="360" w:lineRule="auto"/>
        <w:ind w:left="454" w:hanging="340"/>
      </w:pPr>
      <w:r>
        <w:rPr>
          <w:rFonts w:eastAsia="Times New Roman"/>
        </w:rPr>
        <w:t>4. Definir a variável-alvo experimental utilizada no estudo sintético, distinguindo-a da futura operacionalização longitudinal com dados reais.</w:t>
      </w:r>
    </w:p>
    <w:p w14:paraId="7C5201F4" w14:textId="77777777" w:rsidR="00E62C65" w:rsidRDefault="00474360">
      <w:pPr>
        <w:spacing w:line="360" w:lineRule="auto"/>
        <w:ind w:left="454" w:hanging="340"/>
      </w:pPr>
      <w:r>
        <w:rPr>
          <w:rFonts w:eastAsia="Times New Roman"/>
        </w:rPr>
        <w:t>5. Gerar um dataset sintético reproduzível (seed fixa), com dependências probabilísticas controladas e explicitamente definidas entre os DSS e o desfecho sintético.</w:t>
      </w:r>
    </w:p>
    <w:p w14:paraId="7121EF0A" w14:textId="77777777" w:rsidR="00E62C65" w:rsidRDefault="00474360">
      <w:pPr>
        <w:spacing w:line="360" w:lineRule="auto"/>
        <w:ind w:left="454" w:hanging="340"/>
      </w:pPr>
      <w:r>
        <w:rPr>
          <w:rFonts w:eastAsia="Times New Roman"/>
        </w:rPr>
        <w:t>6. Aplicar e avaliar técnicas de aprendizado de máquina para estimar a propensão à descontinuidade do acompanhamento pré-natal.</w:t>
      </w:r>
    </w:p>
    <w:p w14:paraId="3DDC4726" w14:textId="77777777" w:rsidR="00E62C65" w:rsidRDefault="00474360">
      <w:pPr>
        <w:spacing w:line="360" w:lineRule="auto"/>
        <w:ind w:left="454" w:hanging="340"/>
      </w:pPr>
      <w:r>
        <w:rPr>
          <w:rFonts w:eastAsia="Times New Roman"/>
        </w:rPr>
        <w:t>7. Avaliar os modelos por métricas adequadas a classes desbalanceadas.</w:t>
      </w:r>
    </w:p>
    <w:p w14:paraId="46A241AA" w14:textId="77777777" w:rsidR="00E62C65" w:rsidRDefault="00474360">
      <w:pPr>
        <w:spacing w:line="360" w:lineRule="auto"/>
        <w:ind w:left="454" w:hanging="340"/>
      </w:pPr>
      <w:r>
        <w:rPr>
          <w:rFonts w:eastAsia="Times New Roman"/>
        </w:rPr>
        <w:t xml:space="preserve">8. Integrar o questionário dos Determinantes Sociais da Saúde ao serviço de API e ao modelo de aprendizado de máquina, estabelecendo o fluxo Flutter → API → ML para </w:t>
      </w:r>
      <w:r>
        <w:rPr>
          <w:rFonts w:eastAsia="Times New Roman"/>
        </w:rPr>
        <w:lastRenderedPageBreak/>
        <w:t>obtenção da estimativa experimental de propensão à descontinuidade do acompanhamento pré-natal.</w:t>
      </w:r>
    </w:p>
    <w:p w14:paraId="59BDEDD3" w14:textId="77777777" w:rsidR="00E62C65" w:rsidRDefault="00474360">
      <w:pPr>
        <w:pStyle w:val="Ttulo2"/>
      </w:pPr>
      <w:bookmarkStart w:id="7" w:name="_Toc238759943"/>
      <w:r>
        <w:rPr>
          <w:rFonts w:ascii="Times New Roman" w:eastAsia="Times New Roman" w:hAnsi="Times New Roman"/>
        </w:rPr>
        <w:t>1.5 Estrutura do trabalho</w:t>
      </w:r>
      <w:bookmarkEnd w:id="7"/>
    </w:p>
    <w:p w14:paraId="66599409" w14:textId="77777777" w:rsidR="00E62C65" w:rsidRDefault="00474360">
      <w:pPr>
        <w:spacing w:after="0" w:line="360" w:lineRule="auto"/>
        <w:ind w:firstLine="709"/>
        <w:jc w:val="both"/>
      </w:pPr>
      <w:r>
        <w:rPr>
          <w:rFonts w:eastAsia="Times New Roman"/>
        </w:rPr>
        <w:t>Além desta introdução, o trabalho organiza-se em cinco capítulos. O Capítulo 2 apresenta a fundamentação teórica, abordando o pré-natal e a saúde materna, os Determinantes Sociais da Saúde, a vulnerabilidade e os índices compostos, o aprendizado de máquina supervisionado e não supervisionado — incluindo os Self-Organizing Maps — e os trabalhos relacionados. O Capítulo 3 descreve a metodologia, abrangendo o tipo de pesquisa, as dimensões dos DSS adotadas, a construção do IV-DSS, a modelagem dos dados, a população e a variável-alvo, a geração do dataset sintético, a seleção de variáveis, os modelos, o treinamento e a validação, as métricas, a análise exploratória não supervisionada com Self-Organizing Map, o procedimento de validação da integração entre aplicativo, API e modelo, e os aspectos éticos e limitações. O Capítulo 4 detalha o desenvolvimento da solução, com a arquitetura e os eixos funcionais do aplicativo e a integração com a API e o modelo. O Capítulo 5 apresenta e discute os resultados experimentais, a análise exploratória dos perfis DSS com Self-Organizing Map e a validação da implementação de software. O Capítulo 6 conclui o trabalho, retomando os objetivos, sintetizando contribuições e limitações e indicando trabalhos futuros.</w:t>
      </w:r>
    </w:p>
    <w:p w14:paraId="15911C0D" w14:textId="77777777" w:rsidR="00E62C65" w:rsidRDefault="00474360">
      <w:r>
        <w:br w:type="page"/>
      </w:r>
    </w:p>
    <w:p w14:paraId="7AEDDF15" w14:textId="77777777" w:rsidR="00E62C65" w:rsidRDefault="00474360">
      <w:pPr>
        <w:pStyle w:val="Ttulo1"/>
        <w:spacing w:before="0"/>
      </w:pPr>
      <w:bookmarkStart w:id="8" w:name="_Toc238759944"/>
      <w:r>
        <w:rPr>
          <w:rFonts w:ascii="Times New Roman" w:eastAsia="Times New Roman" w:hAnsi="Times New Roman"/>
        </w:rPr>
        <w:lastRenderedPageBreak/>
        <w:t>2 FUNDAMENTAÇÃO TEÓRICA</w:t>
      </w:r>
      <w:bookmarkEnd w:id="8"/>
    </w:p>
    <w:p w14:paraId="129429F5" w14:textId="77777777" w:rsidR="00E62C65" w:rsidRDefault="00E62C65"/>
    <w:p w14:paraId="591A6342" w14:textId="77777777" w:rsidR="00E62C65" w:rsidRDefault="00474360">
      <w:pPr>
        <w:pStyle w:val="Ttulo2"/>
      </w:pPr>
      <w:bookmarkStart w:id="9" w:name="_Toc238759945"/>
      <w:r>
        <w:rPr>
          <w:rFonts w:ascii="Times New Roman" w:eastAsia="Times New Roman" w:hAnsi="Times New Roman"/>
        </w:rPr>
        <w:t>2.1 Pré-natal e saúde materna</w:t>
      </w:r>
      <w:bookmarkEnd w:id="9"/>
    </w:p>
    <w:p w14:paraId="645ED136" w14:textId="77777777" w:rsidR="00E62C65" w:rsidRDefault="00474360">
      <w:pPr>
        <w:spacing w:after="0" w:line="360" w:lineRule="auto"/>
        <w:ind w:firstLine="709"/>
        <w:jc w:val="both"/>
      </w:pPr>
      <w:r>
        <w:t>A atenção pré-natal constitui uma das estratégias centrais de promoção da saúde materno-infantil, sendo objeto de recomendações internacionais que orientam uma assistência organizada, periódica e centrada na gestante (WORLD HEALTH ORGANIZATION, 2016). A mortalidade materna permanece, todavia, um problema relevante em escala global (WORLD HEALTH ORGANIZATION, 2019, 2024), o que reforça a importância de estratégias que favoreçam a continuidade do acompanhamento.</w:t>
      </w:r>
    </w:p>
    <w:p w14:paraId="248CF696" w14:textId="77777777" w:rsidR="00114E20" w:rsidRDefault="00D41E34">
      <w:r>
        <w:t>No Brasil, essa atenção integra a política de saúde materno-infantil do Sistema Único de Saúde (SUS) e foi reafirmada, em sua configuração mais recente, pela Rede Alyne, instituída pela Portaria GM/MS nº 5.350, de 2024, que prevê a captação oportuna da gestante e a realização de um conjunto mínimo de consultas intercaladas entre diferentes profissionais (BRASIL, 2024). A assistência pré-natal avançou expressivamente nas últimas décadas, tanto em cobertura quanto em estruturação programática (LEAL et al., 2018), mas a adequação e a continuidade do cuidado permanecem desiguais.</w:t>
      </w:r>
    </w:p>
    <w:p w14:paraId="4EDC9688" w14:textId="77777777" w:rsidR="00114E20" w:rsidRDefault="00D41E34">
      <w:r>
        <w:t>Apesar da expansão da cobertura, a adequação e a continuidade do pré-natal permanecem desiguais no Brasil. Desigualdades socioeconômicas e barreiras de acesso estão associadas à menor adequação, à não realização, ao início tardio ou à descontinuidade do acompanhamento pré-natal, conforme a definição operacional adotada em cada estudo (ROSA; SILVEIRA; COSTA, 2014; VIELLAS et al., 2014; DEGLI ESPOSTI et al., 2020; SANTORIO et al., 2024). Estudos conduzidos em diferentes contextos brasileiros evidenciam a associação entre condições sociais e a não realização do pré-natal (ROSA; SILVEIRA; COSTA, 2014), o papel de determinantes sociais na realização do acompanhamento, em análises de base populacional (SANTORIO et al., 2024), e os recortes sociais e geográficos do desempenho da assistência (DEGLI ESPOSTI et al., 2020).</w:t>
      </w:r>
    </w:p>
    <w:p w14:paraId="7F87C887" w14:textId="77777777" w:rsidR="00E62C65" w:rsidRDefault="00474360">
      <w:pPr>
        <w:pStyle w:val="Ttulo2"/>
      </w:pPr>
      <w:bookmarkStart w:id="10" w:name="_Toc238759946"/>
      <w:r>
        <w:rPr>
          <w:rFonts w:ascii="Times New Roman" w:eastAsia="Times New Roman" w:hAnsi="Times New Roman"/>
        </w:rPr>
        <w:t>2.2 Determinantes Sociais da Saúde</w:t>
      </w:r>
      <w:bookmarkEnd w:id="10"/>
    </w:p>
    <w:p w14:paraId="1724DD2E" w14:textId="77777777" w:rsidR="00E62C65" w:rsidRDefault="00474360">
      <w:pPr>
        <w:spacing w:after="0" w:line="360" w:lineRule="auto"/>
        <w:ind w:firstLine="709"/>
        <w:jc w:val="both"/>
      </w:pPr>
      <w:r>
        <w:t>Os Determinantes Sociais da Saúde (DSS) constituem o conjunto de condições sociais, econômicas e ambientais em que as pessoas nascem, vivem e trabalham e que moldam as oportunidades de saúde, gerando iniquidades evitáveis quando distribuídos de forma desigual (BUSS; PELLEGRINI FILHO, 2007; CNDSS, 2008; SOLAR; IRWIN, 2010; WORLD HEALTH ORGANIZATION, 2025). O debate brasileiro e internacional consolidou, a partir de distintas tradições teóricas, a distinção entre a noção de determinação social do processo saúde-doença e a abordagem dos determinantes sociais da saúde, esta última orientada à identificação de fatores mensuráveis e potencialmente modificáveis (GARBOIS; SODRÉ; DALBELLO-ARAUJO, 2017).</w:t>
      </w:r>
    </w:p>
    <w:p w14:paraId="7C45E42E" w14:textId="77777777" w:rsidR="00114E20" w:rsidRDefault="00D41E34">
      <w:r>
        <w:lastRenderedPageBreak/>
        <w:t>Entre os modelos conceituais que organizam esses determinantes, destaca-se o modelo em camadas de Dahlgren e Whitehead (DAHLGREN; WHITEHEAD, 1991), atualizado pelos próprios autores três décadas depois (DAHLGREN; WHITEHEAD, 2021), que dispõe os determinantes em camadas concêntricas — dos fatores individuais aos condicionantes socioeconômicos, culturais e ambientais mais amplos. A Comissão Nacional sobre Determinantes Sociais da Saúde adotou esse modelo como referência para explicitar que as condições de vida e de trabalho determinam, em larga medida, a distribuição desigual da saúde e da doença (CNDSS, 2008). A Figura 1 apresenta esse modelo em camadas.</w:t>
      </w:r>
    </w:p>
    <w:p w14:paraId="204FBAF0" w14:textId="77777777" w:rsidR="00114E20" w:rsidRDefault="00D41E34">
      <w:r>
        <w:t>Esses determinantes operam de forma sistemática sobre a saúde materna e o acesso aos cuidados: condições socioeconômicas desfavoráveis, menor escolaridade, inserção precária no trabalho, saneamento inadequado e barreiras geográficas ou organizacionais de acesso configuram eixos relevantes de iniquidade em saúde (MARMOT, 2005; SOLAR; IRWIN, 2010). No escopo deste trabalho, esses determinantes são operacionalizados em seis dimensões — educação, trabalho e renda, saneamento, acesso aos serviços de saúde, habitação e alimentação — que orientam a coleta estruturada de informações e a caracterização de perfis de vulnerabilidade social (seção 3.2).</w:t>
      </w:r>
    </w:p>
    <w:p w14:paraId="2DC35757" w14:textId="77777777" w:rsidR="00114E20" w:rsidRDefault="00D41E34">
      <w:pPr>
        <w:jc w:val="center"/>
      </w:pPr>
      <w:r>
        <w:t>Figura 1 — Modelo de determinantes sociais da saúde em camadas (Dahlgren e Whitehead)</w:t>
      </w:r>
    </w:p>
    <w:p w14:paraId="39FA6964" w14:textId="77777777" w:rsidR="00114E20" w:rsidRDefault="00D41E34">
      <w:pPr>
        <w:jc w:val="center"/>
      </w:pPr>
      <w:r>
        <w:rPr>
          <w:noProof/>
        </w:rPr>
        <w:drawing>
          <wp:inline distT="0" distB="0" distL="0" distR="0" wp14:anchorId="18E025E7" wp14:editId="6A1ABF05">
            <wp:extent cx="5400000" cy="3585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modelo_dss.png"/>
                    <pic:cNvPicPr/>
                  </pic:nvPicPr>
                  <pic:blipFill>
                    <a:blip r:embed="rId8"/>
                    <a:stretch>
                      <a:fillRect/>
                    </a:stretch>
                  </pic:blipFill>
                  <pic:spPr>
                    <a:xfrm>
                      <a:off x="0" y="0"/>
                      <a:ext cx="5400000" cy="3585571"/>
                    </a:xfrm>
                    <a:prstGeom prst="rect">
                      <a:avLst/>
                    </a:prstGeom>
                  </pic:spPr>
                </pic:pic>
              </a:graphicData>
            </a:graphic>
          </wp:inline>
        </w:drawing>
      </w:r>
    </w:p>
    <w:p w14:paraId="56A9F16D" w14:textId="77777777" w:rsidR="00114E20" w:rsidRDefault="00D41E34">
      <w:pPr>
        <w:jc w:val="center"/>
      </w:pPr>
      <w:r>
        <w:rPr>
          <w:sz w:val="18"/>
        </w:rPr>
        <w:t>Fonte: elaborado pelo autor, adaptado de Dahlgren e Whitehead (1991, 2021).</w:t>
      </w:r>
    </w:p>
    <w:p w14:paraId="509FC31B" w14:textId="77777777" w:rsidR="00E62C65" w:rsidRDefault="00474360">
      <w:pPr>
        <w:pStyle w:val="Ttulo2"/>
      </w:pPr>
      <w:bookmarkStart w:id="11" w:name="_Toc238759947"/>
      <w:r>
        <w:rPr>
          <w:rFonts w:ascii="Times New Roman" w:eastAsia="Times New Roman" w:hAnsi="Times New Roman"/>
        </w:rPr>
        <w:t>2.3 Vulnerabilidade e índices compostos</w:t>
      </w:r>
      <w:bookmarkEnd w:id="11"/>
    </w:p>
    <w:p w14:paraId="1C0CBADA" w14:textId="77777777" w:rsidR="00E62C65" w:rsidRDefault="00474360">
      <w:pPr>
        <w:spacing w:after="0" w:line="360" w:lineRule="auto"/>
        <w:ind w:firstLine="709"/>
        <w:jc w:val="both"/>
      </w:pPr>
      <w:r>
        <w:t xml:space="preserve">A noção de vulnerabilidade em saúde distingue-se da noção de risco: enquanto o risco refere-se, em geral, à probabilidade de ocorrência de um evento adverso em um contexto estatístico, a vulnerabilidade desloca o foco para as condições sociais e relacionais que </w:t>
      </w:r>
      <w:r>
        <w:lastRenderedPageBreak/>
        <w:t>colocam diferentes grupos em situação de maior suscetibilidade e menor capacidade de resposta (AYRES et al., 2003). Essa distinção é central para este trabalho, que não trata o nível de vulnerabilidade social como uma medida de risco individual de descontinuidade, mas como uma caracterização das condições sociais que podem predispor à descontinuidade do acompanhamento.</w:t>
      </w:r>
    </w:p>
    <w:p w14:paraId="2F690115" w14:textId="77777777" w:rsidR="00114E20" w:rsidRDefault="00D41E34">
      <w:r>
        <w:t>A literatura de vulnerabilidade social desenvolveu-se, complementarmente, em tradições voltadas a riscos ambientais e desastres, nas quais a vulnerabilidade é compreendida como uma propriedade das condições sociais que modula a exposição e a capacidade de enfrentamento (CUTTER; BORUFF; SHIRLEY, 2003; ADGER, 2006; WISNER et al., 2004). Embora essas tradições não tenham origem na saúde, contribuem para a compreensão de que a vulnerabilidade é multidimensional e de que pode ser operacionalizada por meio de indicadores agregados.</w:t>
      </w:r>
    </w:p>
    <w:p w14:paraId="6A5B4BD5" w14:textId="77777777" w:rsidR="00114E20" w:rsidRDefault="00D41E34">
      <w:r>
        <w:t>A mensuração de fenômenos multidimensionais como a vulnerabilidade social recorre, frequentemente, a índices compostos, que combinam múltiplos indicadores em uma medida sintética (OECD; EUROPEAN COMMISSION; JOINT RESEARCH CENTRE, 2008). A construção desses índices envolve decisões metodológicas explícitas — normalização, ponderação e agregação — cuja robustez deve ser submetida a análise de sensibilidade (SALTELLI, 2007; GRECO et al., 2019), podendo adotar abordagens compensatórias ou não compensatórias (MAZZIOTTA; PARETO, 2016). É com base nesse referencial que o Índice de Vulnerabilidade dos Determinantes Sociais da Saúde (IV-DSS) é definido, na seção 3.3, como um índice descritivo experimental.</w:t>
      </w:r>
    </w:p>
    <w:p w14:paraId="4B7915FA" w14:textId="77777777" w:rsidR="00E62C65" w:rsidRDefault="00474360">
      <w:pPr>
        <w:pStyle w:val="Ttulo2"/>
      </w:pPr>
      <w:bookmarkStart w:id="12" w:name="_Toc238759948"/>
      <w:r>
        <w:rPr>
          <w:rFonts w:ascii="Times New Roman" w:eastAsia="Times New Roman" w:hAnsi="Times New Roman" w:cs="Times New Roman"/>
          <w:b w:val="0"/>
        </w:rPr>
        <w:t>2.4 Aprendizado de máquina</w:t>
      </w:r>
      <w:bookmarkEnd w:id="12"/>
    </w:p>
    <w:p w14:paraId="7F4CEB5D" w14:textId="77777777" w:rsidR="00CD492F" w:rsidRDefault="0059251A">
      <w:pPr>
        <w:pStyle w:val="Ttulo3"/>
      </w:pPr>
      <w:bookmarkStart w:id="13" w:name="_Toc238759949"/>
      <w:r>
        <w:rPr>
          <w:rFonts w:ascii="Times New Roman" w:eastAsia="Times New Roman" w:hAnsi="Times New Roman" w:cs="Times New Roman"/>
          <w:b w:val="0"/>
        </w:rPr>
        <w:t>2.4.1 Aprendizado supervisionado</w:t>
      </w:r>
      <w:bookmarkEnd w:id="13"/>
    </w:p>
    <w:p w14:paraId="44EE3CEE" w14:textId="77777777" w:rsidR="00E62C65" w:rsidRDefault="00474360">
      <w:pPr>
        <w:spacing w:after="0" w:line="360" w:lineRule="auto"/>
        <w:ind w:firstLine="709"/>
        <w:jc w:val="both"/>
      </w:pPr>
      <w:r>
        <w:t>O aprendizado de máquina supervisionado compreende um conjunto de métodos que aprendem, a partir de exemplos rotulados, uma função que associa variáveis de entrada a um desfecho, sendo amplamente empregado em problemas de classificação binária. Neste trabalho, três classificadores são considerados: a regressão logística, modelo linear interpretável com estimação por máxima verossimilhança (HOSMER; LEMESHOW; STURDIVANT, 2013); o Random Forest, ensemble de árvores de decisão que combina reamostragem e aleatorização de variáveis (BREIMAN, 2001); e o XGBoost, algoritmo de gradient boosting baseado em árvores, reconhecido por seu desempenho em tarefas tabulares (CHEN; GUESTRIN, 2016). Estudos comparativos indicam que, em dados tabulares, os ensembles baseados em árvores frequentemente apresentam desempenho competitivo em relação a modelos lineares, ainda que a escolha dependa do contexto (COURONNÉ; PROBST; BOULESTEIX, 2018).</w:t>
      </w:r>
    </w:p>
    <w:p w14:paraId="02A450E7" w14:textId="77777777" w:rsidR="00114E20" w:rsidRDefault="00D41E34">
      <w:r>
        <w:t xml:space="preserve">A avaliação de classificadores em cenários com classes desbalanceadas — como o desfecho raro aqui estudado — exige métricas que não sejam enganadas pela classe majoritária (HE; </w:t>
      </w:r>
      <w:r>
        <w:lastRenderedPageBreak/>
        <w:t>GARCIA, 2009). A área sob a curva Precision-Recall (PR-AUC) é reconhecida como mais informativa que a ROC-AUC quando a classe positiva é minoritária (SAITO; REHMSMEIER, 2015), e a calibração das probabilidades preditas, mensurável pelo Brier score, é um requisito complementar de qualidade (BRIER, 1950; VAN CALSTER et al., 2019).</w:t>
      </w:r>
    </w:p>
    <w:p w14:paraId="74C06A9B" w14:textId="77777777" w:rsidR="00114E20" w:rsidRDefault="00D41E34">
      <w:r>
        <w:t>No domínio da saúde, o emprego de aprendizado de máquina e de tecnologias digitais é acompanhado de discussões sobre responsabilidade, viés e governança. Iniciativas de saúde móvel têm sido investigadas como apoio ao pré-natal e ao pós-parto (FEROZ; PERVEEN; AFTAB, 2017), aplicativos voltados à gestação vêm sendo estudados como recurso de apoio ao autocuidado (IYAWA; DANSHARIF; KHAN, 2021), e o uso de inteligência artificial na saúde pública brasileira é objeto de crescente discussão (ALVES; TERAZIMA; LIMA, 2025). Organizações internacionais recomendam que o uso de inteligência artificial em saúde observe princípios éticos e de governança (WORLD HEALTH ORGANIZATION, 2021), e que modelos preditivos sejam relatados de forma transparente (COLLINS et al., 2015), inclusive diante de vieses algorítmicos documentados em sistemas de saúde (OBERMEYER et al., 2019).</w:t>
      </w:r>
    </w:p>
    <w:p w14:paraId="14C6C176" w14:textId="77777777" w:rsidR="00CD492F" w:rsidRDefault="0059251A">
      <w:pPr>
        <w:pStyle w:val="Ttulo3"/>
      </w:pPr>
      <w:bookmarkStart w:id="14" w:name="_Toc238759950"/>
      <w:r>
        <w:rPr>
          <w:rFonts w:ascii="Times New Roman" w:eastAsia="Times New Roman" w:hAnsi="Times New Roman" w:cs="Times New Roman"/>
          <w:b w:val="0"/>
        </w:rPr>
        <w:t>2.4.2 Aprendizado não supervisionado</w:t>
      </w:r>
      <w:bookmarkEnd w:id="14"/>
    </w:p>
    <w:p w14:paraId="27F88DBB" w14:textId="77777777" w:rsidR="00CD492F" w:rsidRDefault="0059251A">
      <w:pPr>
        <w:ind w:firstLine="709"/>
        <w:jc w:val="both"/>
      </w:pPr>
      <w:r>
        <w:rPr>
          <w:rFonts w:eastAsia="Times New Roman" w:cs="Times New Roman"/>
        </w:rPr>
        <w:t>De modo distinto do paradigma supervisionado, o aprendizado não supervisionado opera sobre dados sem variável-alvo rotulada: o algoritmo busca, nos próprios dados, estrutura, regularidade ou organização — em especial agrupamentos (clusters) de registros com características semelhantes (HASTIE; TIBSHIRANI; FRIEDMAN, 2009). Não há, portanto, um desfecho a ser predito nem uma função de mapeamento supervisionada entre entradas e saídas; a tarefa consiste em revelar padrões latentes.</w:t>
      </w:r>
    </w:p>
    <w:p w14:paraId="05620BD0" w14:textId="77777777" w:rsidR="00CD492F" w:rsidRDefault="0059251A">
      <w:pPr>
        <w:ind w:firstLine="709"/>
        <w:jc w:val="both"/>
      </w:pPr>
      <w:r>
        <w:rPr>
          <w:rFonts w:eastAsia="Times New Roman" w:cs="Times New Roman"/>
        </w:rPr>
        <w:t>Neste trabalho, a análise não supervisionada emprega um Self-Organizing Map (SOM) sobre as características dos Determinantes Sociais da Saúde (DSS). Nessa etapa, a variável-alvo sintética descontinuou_pre_natal não participa do treinamento nem da formação dos agrupamentos: o SOM organiza os registros exclusivamente por sua semelhança nas características DSS, identificando organização topológica e perfis semelhantes. O resultado é uma leitura exploratória complementar, distinta da estimativa supervisionada p</w:t>
      </w:r>
      <w:r>
        <w:rPr>
          <w:rFonts w:eastAsia="Times New Roman" w:cs="Times New Roman"/>
        </w:rPr>
        <w:t>roduzida pelo Random Forest.</w:t>
      </w:r>
    </w:p>
    <w:p w14:paraId="1D6BEBFA" w14:textId="77777777" w:rsidR="00CD492F" w:rsidRDefault="0059251A">
      <w:pPr>
        <w:pStyle w:val="Ttulo3"/>
      </w:pPr>
      <w:bookmarkStart w:id="15" w:name="_Toc238759951"/>
      <w:r>
        <w:rPr>
          <w:rFonts w:ascii="Times New Roman" w:eastAsia="Times New Roman" w:hAnsi="Times New Roman" w:cs="Times New Roman"/>
          <w:b w:val="0"/>
        </w:rPr>
        <w:t>2.4.3 Self-Organizing Maps</w:t>
      </w:r>
      <w:bookmarkEnd w:id="15"/>
    </w:p>
    <w:p w14:paraId="50489F40" w14:textId="77777777" w:rsidR="00CD492F" w:rsidRDefault="0059251A">
      <w:pPr>
        <w:ind w:firstLine="709"/>
        <w:jc w:val="both"/>
      </w:pPr>
      <w:r>
        <w:rPr>
          <w:rFonts w:eastAsia="Times New Roman" w:cs="Times New Roman"/>
        </w:rPr>
        <w:t>O Self-Organizing Map (SOM), proposto por Teuvo Kohonen (KOHONEN, 1990), é uma rede neural de aprendizagem não supervisionada que projeta dados de alta dimensionalidade em uma grade discreta, usualmente bidimensional, de neurônios, preservando a topologia das relações originais (KOHONEN, 2001). Cada neurônio da grade possui um vetor de pesos de mesma dimensão dos dados de entrada, e o treinamento ocorre por aprendizagem competitiva: a cada registro apresentado, um neurônio vencedor é identificado e, juntame</w:t>
      </w:r>
      <w:r>
        <w:rPr>
          <w:rFonts w:eastAsia="Times New Roman" w:cs="Times New Roman"/>
        </w:rPr>
        <w:t xml:space="preserve">nte com seus vizinhos, tem os pesos ajustados em direção ao registro. Ao final, registros semelhantes tendem a ser mapeados para neurônios próximos na grade, o que torna o SOM útil para análise exploratória, visualização e identificação de agrupamentos </w:t>
      </w:r>
      <w:r>
        <w:rPr>
          <w:rFonts w:eastAsia="Times New Roman" w:cs="Times New Roman"/>
        </w:rPr>
        <w:lastRenderedPageBreak/>
        <w:t>(KOHONEN, 2001). O SOM não é um classificador da descontinuidade do pré-natal: trata-se de um método de organização e exploração dos dados.</w:t>
      </w:r>
    </w:p>
    <w:p w14:paraId="0D123464" w14:textId="77777777" w:rsidR="00CD492F" w:rsidRDefault="0059251A">
      <w:pPr>
        <w:ind w:firstLine="709"/>
        <w:jc w:val="both"/>
      </w:pPr>
      <w:r>
        <w:rPr>
          <w:rFonts w:eastAsia="Times New Roman" w:cs="Times New Roman"/>
        </w:rPr>
        <w:t xml:space="preserve">O neurônio vencedor — </w:t>
      </w:r>
      <w:r>
        <w:rPr>
          <w:rFonts w:eastAsia="Times New Roman" w:cs="Times New Roman"/>
        </w:rPr>
        <w:t>denominado Best Matching Unit (BMU) — é aquele cujo vetor de pesos apresenta a menor distância em relação ao registro apresentado. A Equação (1) expressa essa etapa de competição:</w:t>
      </w:r>
    </w:p>
    <w:p w14:paraId="0E70A783" w14:textId="77777777" w:rsidR="00CD492F" w:rsidRDefault="0059251A">
      <w:pPr>
        <w:jc w:val="center"/>
      </w:pPr>
      <m:oMathPara>
        <m:oMath>
          <m:r>
            <w:rPr>
              <w:rFonts w:ascii="Cambria Math" w:hAnsi="Cambria Math"/>
            </w:rPr>
            <m:t>c</m:t>
          </m:r>
          <m:r>
            <w:rPr>
              <w:rFonts w:ascii="Cambria Math" w:hAnsi="Cambria Math"/>
            </w:rPr>
            <m:t>=</m:t>
          </m:r>
          <m:func>
            <m:funcPr>
              <m:ctrlPr>
                <w:rPr>
                  <w:rFonts w:ascii="Cambria Math" w:hAnsi="Cambria Math"/>
                </w:rPr>
              </m:ctrlPr>
            </m:funcPr>
            <m:fName>
              <m:r>
                <w:rPr>
                  <w:rFonts w:ascii="Cambria Math" w:hAnsi="Cambria Math"/>
                </w:rPr>
                <m:t>arg</m:t>
              </m:r>
              <m:r>
                <w:rPr>
                  <w:rFonts w:ascii="Cambria Math" w:hAnsi="Cambria Math"/>
                </w:rPr>
                <m:t xml:space="preserve"> </m:t>
              </m:r>
              <m:r>
                <w:rPr>
                  <w:rFonts w:ascii="Cambria Math" w:hAnsi="Cambria Math"/>
                </w:rPr>
                <m:t>mini</m:t>
              </m:r>
            </m:fName>
            <m:e>
              <m:sSub>
                <m:sSubPr>
                  <m:ctrlPr>
                    <w:rPr>
                      <w:rFonts w:ascii="Cambria Math" w:hAnsi="Cambria Math"/>
                    </w:rPr>
                  </m:ctrlPr>
                </m:sSubPr>
                <m:e>
                  <m:d>
                    <m:dPr>
                      <m:begChr m:val="‖"/>
                      <m:endChr m:val="‖"/>
                      <m:ctrlPr>
                        <w:rPr>
                          <w:rFonts w:ascii="Cambria Math" w:hAnsi="Cambria Math"/>
                        </w:rPr>
                      </m:ctrlPr>
                    </m:dPr>
                    <m:e>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e>
                  </m:d>
                </m:e>
                <m:sub>
                  <m:r>
                    <w:rPr>
                      <w:rFonts w:ascii="Cambria Math" w:hAnsi="Cambria Math"/>
                    </w:rPr>
                    <m:t>2</m:t>
                  </m:r>
                </m:sub>
              </m:sSub>
            </m:e>
          </m:func>
        </m:oMath>
      </m:oMathPara>
    </w:p>
    <w:p w14:paraId="12D71580" w14:textId="77777777" w:rsidR="00CD492F" w:rsidRDefault="0059251A">
      <w:pPr>
        <w:jc w:val="both"/>
      </w:pPr>
      <w:r>
        <w:rPr>
          <w:rFonts w:eastAsia="Times New Roman" w:cs="Times New Roman"/>
          <w:sz w:val="22"/>
        </w:rPr>
        <w:t>Equação (1) — Best Matching Unit. Onde: c é o Best Matching Unit; x é o vetor de entrada; wᵢ é o vetor de pesos do neurônio i; e ‖·‖₂ denota a distância euclidiana.</w:t>
      </w:r>
    </w:p>
    <w:p w14:paraId="606078DC" w14:textId="77777777" w:rsidR="00CD492F" w:rsidRDefault="0059251A">
      <w:pPr>
        <w:ind w:firstLine="709"/>
        <w:jc w:val="both"/>
      </w:pPr>
      <w:r>
        <w:rPr>
          <w:rFonts w:eastAsia="Times New Roman" w:cs="Times New Roman"/>
        </w:rPr>
        <w:t>Identificado o BMU, os pesos do próprio BMU e de seus vizinhos são ajustados na direção do registro, segundo uma taxa de aprendizagem decrescente, conforme a Equação (2):</w:t>
      </w:r>
    </w:p>
    <w:p w14:paraId="700973F3" w14:textId="77777777" w:rsidR="00CD492F" w:rsidRDefault="0059251A">
      <w:pPr>
        <w:jc w:val="center"/>
      </w:pPr>
      <m:oMathPara>
        <m:oMath>
          <m:sSubSup>
            <m:sSubSupPr>
              <m:ctrlPr>
                <w:rPr>
                  <w:rFonts w:ascii="Cambria Math" w:hAnsi="Cambria Math"/>
                </w:rPr>
              </m:ctrlPr>
            </m:sSubSupPr>
            <m:e>
              <m:r>
                <w:rPr>
                  <w:rFonts w:ascii="Cambria Math" w:hAnsi="Cambria Math"/>
                </w:rPr>
                <m:t>w</m:t>
              </m:r>
            </m:e>
            <m:sub>
              <m:r>
                <w:rPr>
                  <w:rFonts w:ascii="Cambria Math" w:hAnsi="Cambria Math"/>
                </w:rPr>
                <m:t>i</m:t>
              </m:r>
            </m:sub>
            <m:sup>
              <m:d>
                <m:dPr>
                  <m:ctrlPr>
                    <w:rPr>
                      <w:rFonts w:ascii="Cambria Math" w:hAnsi="Cambria Math"/>
                    </w:rPr>
                  </m:ctrlPr>
                </m:dPr>
                <m:e>
                  <m:r>
                    <w:rPr>
                      <w:rFonts w:ascii="Cambria Math" w:hAnsi="Cambria Math"/>
                    </w:rPr>
                    <m:t>t</m:t>
                  </m:r>
                  <m:r>
                    <w:rPr>
                      <w:rFonts w:ascii="Cambria Math" w:hAnsi="Cambria Math"/>
                    </w:rPr>
                    <m:t>+1</m:t>
                  </m:r>
                </m:e>
              </m:d>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r>
            <w:rPr>
              <w:rFonts w:ascii="Cambria Math" w:hAnsi="Cambria Math"/>
            </w:rPr>
            <m:t>α</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ci</m:t>
              </m:r>
            </m:sub>
          </m:sSub>
          <m:d>
            <m:dPr>
              <m:ctrlPr>
                <w:rPr>
                  <w:rFonts w:ascii="Cambria Math" w:hAnsi="Cambria Math"/>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d>
                    <m:dPr>
                      <m:ctrlPr>
                        <w:rPr>
                          <w:rFonts w:ascii="Cambria Math" w:hAnsi="Cambria Math"/>
                        </w:rPr>
                      </m:ctrlPr>
                    </m:dPr>
                    <m:e>
                      <m:r>
                        <w:rPr>
                          <w:rFonts w:ascii="Cambria Math" w:hAnsi="Cambria Math"/>
                        </w:rPr>
                        <m:t>t</m:t>
                      </m:r>
                    </m:e>
                  </m:d>
                </m:sup>
              </m:sSubSup>
            </m:e>
          </m:d>
        </m:oMath>
      </m:oMathPara>
    </w:p>
    <w:p w14:paraId="35B21DED" w14:textId="77777777" w:rsidR="00CD492F" w:rsidRDefault="0059251A">
      <w:pPr>
        <w:jc w:val="both"/>
      </w:pPr>
      <w:r>
        <w:rPr>
          <w:rFonts w:eastAsia="Times New Roman" w:cs="Times New Roman"/>
          <w:sz w:val="22"/>
        </w:rPr>
        <w:t xml:space="preserve">Equação (2) — Atualização dos pesos. Onde: wᵢ(t+1) e wᵢ(t) são os vetores de pesos do neurônio i nos instantes t+1 e t; α(t) é a taxa de aprendizagem; h_ci(t) é a função de </w:t>
      </w:r>
      <w:r>
        <w:rPr>
          <w:rFonts w:eastAsia="Times New Roman" w:cs="Times New Roman"/>
          <w:sz w:val="22"/>
        </w:rPr>
        <w:t>vizinhança entre o neurônio i e o BMU c; e x(t) é o vetor de entrada.</w:t>
      </w:r>
    </w:p>
    <w:p w14:paraId="0D32CF43" w14:textId="77777777" w:rsidR="00CD492F" w:rsidRDefault="0059251A">
      <w:pPr>
        <w:ind w:firstLine="709"/>
        <w:jc w:val="both"/>
      </w:pPr>
      <w:r>
        <w:rPr>
          <w:rFonts w:eastAsia="Times New Roman" w:cs="Times New Roman"/>
        </w:rPr>
        <w:t>A influência do BMU sobre os demais neurônios é modulada por uma função de vizinhança. Nesta implementação, utiliza-se uma vizinhança gaussiana, expressa pela Equação (3):</w:t>
      </w:r>
    </w:p>
    <w:p w14:paraId="7145FFB9" w14:textId="77777777" w:rsidR="00CD492F" w:rsidRDefault="0059251A">
      <w:pPr>
        <w:jc w:val="center"/>
      </w:pPr>
      <m:oMathPara>
        <m:oMath>
          <m:sSub>
            <m:sSubPr>
              <m:ctrlPr>
                <w:rPr>
                  <w:rFonts w:ascii="Cambria Math" w:hAnsi="Cambria Math"/>
                </w:rPr>
              </m:ctrlPr>
            </m:sSubPr>
            <m:e>
              <m:r>
                <w:rPr>
                  <w:rFonts w:ascii="Cambria Math" w:hAnsi="Cambria Math"/>
                </w:rPr>
                <m:t>h</m:t>
              </m:r>
            </m:e>
            <m:sub>
              <m:r>
                <w:rPr>
                  <w:rFonts w:ascii="Cambria Math" w:hAnsi="Cambria Math"/>
                </w:rPr>
                <m:t>ci</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rPr>
            <m:t>exp</m:t>
          </m:r>
          <m:f>
            <m:fPr>
              <m:ctrlPr>
                <w:rPr>
                  <w:rFonts w:ascii="Cambria Math" w:hAnsi="Cambria Math"/>
                </w:rPr>
              </m:ctrlPr>
            </m:fPr>
            <m:num>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sup>
                  <m:r>
                    <w:rPr>
                      <w:rFonts w:ascii="Cambria Math" w:hAnsi="Cambria Math"/>
                    </w:rPr>
                    <m:t>2</m:t>
                  </m:r>
                </m:sup>
              </m:sSup>
            </m:num>
            <m:den>
              <m:r>
                <w:rPr>
                  <w:rFonts w:ascii="Cambria Math" w:hAnsi="Cambria Math"/>
                </w:rPr>
                <m:t>2</m:t>
              </m:r>
              <m:sSup>
                <m:sSupPr>
                  <m:ctrlPr>
                    <w:rPr>
                      <w:rFonts w:ascii="Cambria Math" w:hAnsi="Cambria Math"/>
                    </w:rPr>
                  </m:ctrlPr>
                </m:sSup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t</m:t>
                          </m:r>
                        </m:e>
                      </m:d>
                    </m:e>
                  </m:d>
                </m:e>
                <m:sup>
                  <m:r>
                    <w:rPr>
                      <w:rFonts w:ascii="Cambria Math" w:hAnsi="Cambria Math"/>
                    </w:rPr>
                    <m:t>2</m:t>
                  </m:r>
                </m:sup>
              </m:sSup>
            </m:den>
          </m:f>
        </m:oMath>
      </m:oMathPara>
    </w:p>
    <w:p w14:paraId="257059DD" w14:textId="77777777" w:rsidR="00CD492F" w:rsidRDefault="0059251A">
      <w:pPr>
        <w:jc w:val="both"/>
      </w:pPr>
      <w:r>
        <w:rPr>
          <w:rFonts w:eastAsia="Times New Roman" w:cs="Times New Roman"/>
          <w:sz w:val="22"/>
        </w:rPr>
        <w:t>Equação (3) — Função de vizinhança gaussiana. Onde: h_ci(t) é o valor da vizinhança entre o neurônio i e o BMU c no instante t; r_c e r_i são as posições do BMU e do neurônio i na grade; e σ(t) é o raio de vizinhança.</w:t>
      </w:r>
    </w:p>
    <w:p w14:paraId="62343E49" w14:textId="77777777" w:rsidR="00CD492F" w:rsidRDefault="0059251A">
      <w:pPr>
        <w:ind w:firstLine="709"/>
        <w:jc w:val="both"/>
      </w:pPr>
      <w:r>
        <w:rPr>
          <w:rFonts w:eastAsia="Times New Roman" w:cs="Times New Roman"/>
        </w:rPr>
        <w:t>Tanto o raio de vizinhança quanto a taxa de aprendizagem decaem exponencialmente ao longo das iterações, de modo a estabilizar o mapa, conforme a Equação (4):</w:t>
      </w:r>
    </w:p>
    <w:p w14:paraId="09466FE8" w14:textId="77777777" w:rsidR="00CD492F" w:rsidRDefault="0059251A">
      <w:pPr>
        <w:jc w:val="center"/>
      </w:pPr>
      <m:oMathPara>
        <m:oMath>
          <m:r>
            <w:rPr>
              <w:rFonts w:ascii="Cambria Math" w:hAnsi="Cambria Math"/>
            </w:rPr>
            <m:t>σ</m:t>
          </m:r>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rPr>
            <m:t>σ</m:t>
          </m:r>
          <m:r>
            <w:rPr>
              <w:rFonts w:ascii="Cambria Math" w:hAnsi="Cambria Math"/>
            </w:rPr>
            <m:t>₀</m:t>
          </m:r>
          <m: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τ</m:t>
                      </m:r>
                    </m:e>
                    <m:sub>
                      <m:r>
                        <w:rPr>
                          <w:rFonts w:ascii="Cambria Math" w:hAnsi="Cambria Math"/>
                        </w:rPr>
                        <m:t>σ</m:t>
                      </m:r>
                    </m:sub>
                  </m:sSub>
                </m:den>
              </m:f>
            </m:e>
          </m:d>
          <m:r>
            <w:rPr>
              <w:rFonts w:ascii="Cambria Math" w:hAnsi="Cambria Math"/>
            </w:rPr>
            <m:t xml:space="preserve">; </m:t>
          </m:r>
          <m:r>
            <w:rPr>
              <w:rFonts w:ascii="Cambria Math" w:hAnsi="Cambria Math"/>
            </w:rPr>
            <m:t>α</m:t>
          </m:r>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rPr>
            <m:t>α</m:t>
          </m:r>
          <m:r>
            <w:rPr>
              <w:rFonts w:ascii="Cambria Math" w:hAnsi="Cambria Math"/>
            </w:rPr>
            <m:t>₀</m:t>
          </m:r>
          <m: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τ</m:t>
                      </m:r>
                    </m:e>
                    <m:sub>
                      <m:r>
                        <w:rPr>
                          <w:rFonts w:ascii="Cambria Math" w:hAnsi="Cambria Math"/>
                        </w:rPr>
                        <m:t>α</m:t>
                      </m:r>
                    </m:sub>
                  </m:sSub>
                </m:den>
              </m:f>
            </m:e>
          </m:d>
        </m:oMath>
      </m:oMathPara>
    </w:p>
    <w:p w14:paraId="6E3FD4A5" w14:textId="77777777" w:rsidR="00CD492F" w:rsidRDefault="0059251A">
      <w:pPr>
        <w:jc w:val="both"/>
      </w:pPr>
      <w:r>
        <w:rPr>
          <w:rFonts w:eastAsia="Times New Roman" w:cs="Times New Roman"/>
          <w:sz w:val="22"/>
        </w:rPr>
        <w:t>Equação (4) — Decaimento do raio de vizinhança e da taxa de aprendizagem. Onde: σ₀ e α₀ são os valores iniciais do raio e da taxa; τσ = iterations/ln(σ₀) e τα = iterations são as constantes de tempo; e t é a iteração corrente.</w:t>
      </w:r>
    </w:p>
    <w:p w14:paraId="21CDB514" w14:textId="77777777" w:rsidR="00CD492F" w:rsidRDefault="0059251A">
      <w:pPr>
        <w:jc w:val="both"/>
      </w:pPr>
      <w:r>
        <w:rPr>
          <w:rFonts w:eastAsia="Times New Roman" w:cs="Times New Roman"/>
        </w:rPr>
        <w:t>A Figura 2 ilustra, de forma esquemática, o funcionamento conceitual do SOM aplicado às características dos DSS: as seis dimensões alimentam a rede, que as organiza em uma grade bidimensional na qual perfis semelhantes permanecem próximos.</w:t>
      </w:r>
    </w:p>
    <w:p w14:paraId="6BA892E9" w14:textId="77777777" w:rsidR="00CD492F" w:rsidRDefault="0059251A">
      <w:pPr>
        <w:jc w:val="center"/>
      </w:pPr>
      <w:r>
        <w:rPr>
          <w:noProof/>
        </w:rPr>
        <w:lastRenderedPageBreak/>
        <w:drawing>
          <wp:inline distT="0" distB="0" distL="0" distR="0" wp14:anchorId="1F1F142F" wp14:editId="06562219">
            <wp:extent cx="5394960" cy="29808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som_didatico.png"/>
                    <pic:cNvPicPr/>
                  </pic:nvPicPr>
                  <pic:blipFill>
                    <a:blip r:embed="rId9"/>
                    <a:stretch>
                      <a:fillRect/>
                    </a:stretch>
                  </pic:blipFill>
                  <pic:spPr>
                    <a:xfrm>
                      <a:off x="0" y="0"/>
                      <a:ext cx="5394960" cy="2980844"/>
                    </a:xfrm>
                    <a:prstGeom prst="rect">
                      <a:avLst/>
                    </a:prstGeom>
                  </pic:spPr>
                </pic:pic>
              </a:graphicData>
            </a:graphic>
          </wp:inline>
        </w:drawing>
      </w:r>
    </w:p>
    <w:p w14:paraId="3D18DBE5" w14:textId="77777777" w:rsidR="00CD492F" w:rsidRDefault="0059251A">
      <w:pPr>
        <w:jc w:val="center"/>
      </w:pPr>
      <w:r>
        <w:rPr>
          <w:rFonts w:eastAsia="Times New Roman" w:cs="Times New Roman"/>
        </w:rPr>
        <w:t>Figura 2 — Conceito didático de um Self-Organizing Map aplicado às características dos DSS</w:t>
      </w:r>
    </w:p>
    <w:p w14:paraId="7DB8C5B7" w14:textId="77777777" w:rsidR="00CD492F" w:rsidRDefault="0059251A">
      <w:pPr>
        <w:spacing w:before="40" w:after="120"/>
      </w:pPr>
      <w:r>
        <w:rPr>
          <w:rFonts w:eastAsia="Times New Roman" w:cs="Times New Roman"/>
        </w:rPr>
        <w:t>Fonte: elaborado pelo autor (2026).</w:t>
      </w:r>
    </w:p>
    <w:p w14:paraId="34860267" w14:textId="77777777" w:rsidR="00CD492F" w:rsidRDefault="0059251A">
      <w:pPr>
        <w:ind w:firstLine="709"/>
        <w:jc w:val="both"/>
      </w:pPr>
      <w:r>
        <w:rPr>
          <w:rFonts w:eastAsia="Times New Roman" w:cs="Times New Roman"/>
        </w:rPr>
        <w:t>Regiões contíguas da grade tendem a representar registros com combinações semelhantes de características, enquanto regiões distantes representam perfis distintos. Essa propriedade fundamenta o uso do SOM, na etapa de resultados, para a identificação de perfis exploratórios.</w:t>
      </w:r>
    </w:p>
    <w:p w14:paraId="14170C40" w14:textId="77777777" w:rsidR="00E62C65" w:rsidRDefault="00474360">
      <w:pPr>
        <w:pStyle w:val="Ttulo2"/>
      </w:pPr>
      <w:bookmarkStart w:id="16" w:name="_Toc238759952"/>
      <w:r>
        <w:rPr>
          <w:rFonts w:ascii="Times New Roman" w:eastAsia="Times New Roman" w:hAnsi="Times New Roman"/>
        </w:rPr>
        <w:t>2.5 Trabalhos relacionados</w:t>
      </w:r>
      <w:bookmarkEnd w:id="16"/>
    </w:p>
    <w:p w14:paraId="533DBD21" w14:textId="77777777" w:rsidR="00E62C65" w:rsidRDefault="00474360">
      <w:pPr>
        <w:spacing w:after="0" w:line="360" w:lineRule="auto"/>
        <w:ind w:firstLine="709"/>
        <w:jc w:val="both"/>
      </w:pPr>
      <w:r>
        <w:t>A literatura recente registra esforços de aplicação de aprendizado de máquina à saúde materna e ao acompanhamento pré-natal. Estudos preditivos investigaram, entre outros desfechos, o comparecimento às consultas de pré-natal (WILDER et al., 2023), a utilização ótima do pré-natal (SANI; OLUWAGBEMIGA; AHMED, 2025) e a descontinuidade ou o abandono do acompanhamento (YOSEPH; MUSSIE; BELAYNEH, 2026), com emprego predominante de dados reais de inquéritos populacionais e de ensembles baseados em árvores.</w:t>
      </w:r>
    </w:p>
    <w:p w14:paraId="028D7894" w14:textId="77777777" w:rsidR="00E62C65" w:rsidRDefault="00474360">
      <w:r>
        <w:br w:type="page"/>
      </w:r>
    </w:p>
    <w:p w14:paraId="0857743A" w14:textId="77777777" w:rsidR="00114E20" w:rsidRDefault="00D41E34">
      <w:r>
        <w:lastRenderedPageBreak/>
        <w:t>Trabalhos adicionais exploraram a modelagem da utilização incompleta do pré-natal (ADEM et al., 2026; OSBORNE et al., 2026), o início tardio do acompanhamento (BAYKEMAGN et al., 2025), o risco materno a partir de determinantes sociais (PATEL; AKILESWARAN; BASU, 2026; KHADIDOS et al., 2024), a predição de faltas a consultas (YANG; MADANIAN; PARRY, 2024), o uso de dados sintéticos para predição de risco materno (PRABA; VANI; SUGANYA, 2026) e aplicações com questionário voltadas ao risco materno (ADEOLA; IWENDI; AKEREN, 2025). Entre o conjunto aqui selecionado, nenhum dos estudos combina, em uma mesma solução, aplicativo móvel (Flutter), backend com API, dados sintéticos reproduzíveis, variáveis dos DSS e a avaliação por PR-AUC, Brier score e calibração — configuração que constitui o diferencial do presente trabalho, sem que isso configure alegação universal de ineditismo.</w:t>
      </w:r>
    </w:p>
    <w:p w14:paraId="1E1279DD" w14:textId="77777777" w:rsidR="00114E20" w:rsidRDefault="00D41E34">
      <w:r>
        <w:rPr>
          <w:b/>
        </w:rPr>
        <w:t>Quadro 1 – Síntese comparativa dos trabalhos relacionados</w:t>
      </w:r>
    </w:p>
    <w:tbl>
      <w:tblPr>
        <w:tblStyle w:val="Tabelacomgrade"/>
        <w:tblW w:w="0" w:type="auto"/>
        <w:tblLook w:val="04A0" w:firstRow="1" w:lastRow="0" w:firstColumn="1" w:lastColumn="0" w:noHBand="0" w:noVBand="1"/>
      </w:tblPr>
      <w:tblGrid>
        <w:gridCol w:w="1814"/>
        <w:gridCol w:w="1814"/>
        <w:gridCol w:w="1814"/>
        <w:gridCol w:w="1814"/>
        <w:gridCol w:w="1814"/>
      </w:tblGrid>
      <w:tr w:rsidR="00114E20" w14:paraId="3B7CB695" w14:textId="77777777">
        <w:tc>
          <w:tcPr>
            <w:tcW w:w="1814" w:type="dxa"/>
          </w:tcPr>
          <w:p w14:paraId="45D9E4DF" w14:textId="77777777" w:rsidR="00114E20" w:rsidRDefault="00D41E34">
            <w:r>
              <w:rPr>
                <w:b/>
                <w:sz w:val="18"/>
              </w:rPr>
              <w:t>Trabalho (ano)</w:t>
            </w:r>
          </w:p>
        </w:tc>
        <w:tc>
          <w:tcPr>
            <w:tcW w:w="1814" w:type="dxa"/>
          </w:tcPr>
          <w:p w14:paraId="532E288C" w14:textId="77777777" w:rsidR="00114E20" w:rsidRDefault="00D41E34">
            <w:r>
              <w:rPr>
                <w:b/>
                <w:sz w:val="18"/>
              </w:rPr>
              <w:t>Desfecho / foco</w:t>
            </w:r>
          </w:p>
        </w:tc>
        <w:tc>
          <w:tcPr>
            <w:tcW w:w="1814" w:type="dxa"/>
          </w:tcPr>
          <w:p w14:paraId="2CD669D0" w14:textId="77777777" w:rsidR="00114E20" w:rsidRDefault="00D41E34">
            <w:r>
              <w:rPr>
                <w:b/>
                <w:sz w:val="18"/>
              </w:rPr>
              <w:t>Aplicativo móvel + backend (API)</w:t>
            </w:r>
          </w:p>
        </w:tc>
        <w:tc>
          <w:tcPr>
            <w:tcW w:w="1814" w:type="dxa"/>
          </w:tcPr>
          <w:p w14:paraId="38A61A11" w14:textId="77777777" w:rsidR="00114E20" w:rsidRDefault="00D41E34">
            <w:r>
              <w:rPr>
                <w:b/>
                <w:sz w:val="18"/>
              </w:rPr>
              <w:t>Dados sintéticos + DSS</w:t>
            </w:r>
          </w:p>
        </w:tc>
        <w:tc>
          <w:tcPr>
            <w:tcW w:w="1814" w:type="dxa"/>
          </w:tcPr>
          <w:p w14:paraId="5742DF48" w14:textId="77777777" w:rsidR="00114E20" w:rsidRDefault="00D41E34">
            <w:r>
              <w:rPr>
                <w:b/>
                <w:sz w:val="18"/>
              </w:rPr>
              <w:t>PR-AUC + Brier + calibração</w:t>
            </w:r>
          </w:p>
        </w:tc>
      </w:tr>
      <w:tr w:rsidR="00114E20" w14:paraId="3A05A747" w14:textId="77777777">
        <w:tc>
          <w:tcPr>
            <w:tcW w:w="1814" w:type="dxa"/>
          </w:tcPr>
          <w:p w14:paraId="3A753B69" w14:textId="77777777" w:rsidR="00114E20" w:rsidRDefault="00D41E34">
            <w:r>
              <w:rPr>
                <w:sz w:val="18"/>
              </w:rPr>
              <w:t>WILDER et al. (2023)</w:t>
            </w:r>
          </w:p>
        </w:tc>
        <w:tc>
          <w:tcPr>
            <w:tcW w:w="1814" w:type="dxa"/>
          </w:tcPr>
          <w:p w14:paraId="3E74F759" w14:textId="77777777" w:rsidR="00114E20" w:rsidRDefault="00D41E34">
            <w:r>
              <w:rPr>
                <w:sz w:val="18"/>
              </w:rPr>
              <w:t>Comparecimento às consultas de pré-natal</w:t>
            </w:r>
          </w:p>
        </w:tc>
        <w:tc>
          <w:tcPr>
            <w:tcW w:w="1814" w:type="dxa"/>
          </w:tcPr>
          <w:p w14:paraId="2841E0C2" w14:textId="77777777" w:rsidR="00114E20" w:rsidRDefault="00D41E34">
            <w:r>
              <w:rPr>
                <w:sz w:val="18"/>
              </w:rPr>
              <w:t>Não identificado nas funcionalidades publicamente descritas</w:t>
            </w:r>
          </w:p>
        </w:tc>
        <w:tc>
          <w:tcPr>
            <w:tcW w:w="1814" w:type="dxa"/>
          </w:tcPr>
          <w:p w14:paraId="02583AA3" w14:textId="77777777" w:rsidR="00114E20" w:rsidRDefault="00D41E34">
            <w:r>
              <w:rPr>
                <w:sz w:val="18"/>
              </w:rPr>
              <w:t>Não identificado nas funcionalidades publicamente descritas</w:t>
            </w:r>
          </w:p>
        </w:tc>
        <w:tc>
          <w:tcPr>
            <w:tcW w:w="1814" w:type="dxa"/>
          </w:tcPr>
          <w:p w14:paraId="0DCE2F9F" w14:textId="77777777" w:rsidR="00114E20" w:rsidRDefault="00D41E34">
            <w:r>
              <w:rPr>
                <w:sz w:val="18"/>
              </w:rPr>
              <w:t>Não identificado nas funcionalidades publicamente descritas</w:t>
            </w:r>
          </w:p>
        </w:tc>
      </w:tr>
      <w:tr w:rsidR="00114E20" w14:paraId="1C1E7F5C" w14:textId="77777777">
        <w:tc>
          <w:tcPr>
            <w:tcW w:w="1814" w:type="dxa"/>
          </w:tcPr>
          <w:p w14:paraId="05EF2856" w14:textId="77777777" w:rsidR="00114E20" w:rsidRDefault="00D41E34">
            <w:r>
              <w:rPr>
                <w:sz w:val="18"/>
              </w:rPr>
              <w:t>SANI; OLUWAGBEMIGA; AHMED (2025)</w:t>
            </w:r>
          </w:p>
        </w:tc>
        <w:tc>
          <w:tcPr>
            <w:tcW w:w="1814" w:type="dxa"/>
          </w:tcPr>
          <w:p w14:paraId="42EB210A" w14:textId="77777777" w:rsidR="00114E20" w:rsidRDefault="00D41E34">
            <w:r>
              <w:rPr>
                <w:sz w:val="18"/>
              </w:rPr>
              <w:t>Utilização ótima do pré-natal</w:t>
            </w:r>
          </w:p>
        </w:tc>
        <w:tc>
          <w:tcPr>
            <w:tcW w:w="1814" w:type="dxa"/>
          </w:tcPr>
          <w:p w14:paraId="515F6681" w14:textId="77777777" w:rsidR="00114E20" w:rsidRDefault="00D41E34">
            <w:r>
              <w:rPr>
                <w:sz w:val="18"/>
              </w:rPr>
              <w:t>Não identificado nas funcionalidades publicamente descritas</w:t>
            </w:r>
          </w:p>
        </w:tc>
        <w:tc>
          <w:tcPr>
            <w:tcW w:w="1814" w:type="dxa"/>
          </w:tcPr>
          <w:p w14:paraId="53EC55F4" w14:textId="77777777" w:rsidR="00114E20" w:rsidRDefault="00D41E34">
            <w:r>
              <w:rPr>
                <w:sz w:val="18"/>
              </w:rPr>
              <w:t>Não identificado nas funcionalidades publicamente descritas</w:t>
            </w:r>
          </w:p>
        </w:tc>
        <w:tc>
          <w:tcPr>
            <w:tcW w:w="1814" w:type="dxa"/>
          </w:tcPr>
          <w:p w14:paraId="2CAA4B7B" w14:textId="77777777" w:rsidR="00114E20" w:rsidRDefault="00D41E34">
            <w:r>
              <w:rPr>
                <w:sz w:val="18"/>
              </w:rPr>
              <w:t>Não identificado nas funcionalidades publicamente descritas</w:t>
            </w:r>
          </w:p>
        </w:tc>
      </w:tr>
      <w:tr w:rsidR="00114E20" w14:paraId="01B35380" w14:textId="77777777">
        <w:tc>
          <w:tcPr>
            <w:tcW w:w="1814" w:type="dxa"/>
          </w:tcPr>
          <w:p w14:paraId="59089F72" w14:textId="77777777" w:rsidR="00114E20" w:rsidRDefault="00D41E34">
            <w:r>
              <w:rPr>
                <w:sz w:val="18"/>
              </w:rPr>
              <w:t>YOSEPH; MUSSIE; BELAYNEH (2026)</w:t>
            </w:r>
          </w:p>
        </w:tc>
        <w:tc>
          <w:tcPr>
            <w:tcW w:w="1814" w:type="dxa"/>
          </w:tcPr>
          <w:p w14:paraId="3AD9CD01" w14:textId="77777777" w:rsidR="00114E20" w:rsidRDefault="00D41E34">
            <w:r>
              <w:rPr>
                <w:sz w:val="18"/>
              </w:rPr>
              <w:t>Abandono do pré-natal</w:t>
            </w:r>
          </w:p>
        </w:tc>
        <w:tc>
          <w:tcPr>
            <w:tcW w:w="1814" w:type="dxa"/>
          </w:tcPr>
          <w:p w14:paraId="509A6B1D" w14:textId="77777777" w:rsidR="00114E20" w:rsidRDefault="00D41E34">
            <w:r>
              <w:rPr>
                <w:sz w:val="18"/>
              </w:rPr>
              <w:t>Não identificado nas funcionalidades publicamente descritas</w:t>
            </w:r>
          </w:p>
        </w:tc>
        <w:tc>
          <w:tcPr>
            <w:tcW w:w="1814" w:type="dxa"/>
          </w:tcPr>
          <w:p w14:paraId="4F0C29E0" w14:textId="77777777" w:rsidR="00114E20" w:rsidRDefault="00D41E34">
            <w:r>
              <w:rPr>
                <w:sz w:val="18"/>
              </w:rPr>
              <w:t>Não identificado nas funcionalidades publicamente descritas</w:t>
            </w:r>
          </w:p>
        </w:tc>
        <w:tc>
          <w:tcPr>
            <w:tcW w:w="1814" w:type="dxa"/>
          </w:tcPr>
          <w:p w14:paraId="20AF5742" w14:textId="77777777" w:rsidR="00114E20" w:rsidRDefault="00D41E34">
            <w:r>
              <w:rPr>
                <w:sz w:val="18"/>
              </w:rPr>
              <w:t>Não identificado nas funcionalidades publicamente descritas</w:t>
            </w:r>
          </w:p>
        </w:tc>
      </w:tr>
      <w:tr w:rsidR="00114E20" w14:paraId="10D86817" w14:textId="77777777">
        <w:tc>
          <w:tcPr>
            <w:tcW w:w="1814" w:type="dxa"/>
          </w:tcPr>
          <w:p w14:paraId="579704C7" w14:textId="77777777" w:rsidR="00114E20" w:rsidRDefault="00D41E34">
            <w:r>
              <w:rPr>
                <w:sz w:val="18"/>
              </w:rPr>
              <w:t>ADEM et al. (2026)</w:t>
            </w:r>
          </w:p>
        </w:tc>
        <w:tc>
          <w:tcPr>
            <w:tcW w:w="1814" w:type="dxa"/>
          </w:tcPr>
          <w:p w14:paraId="579F37BC" w14:textId="77777777" w:rsidR="00114E20" w:rsidRDefault="00D41E34">
            <w:r>
              <w:rPr>
                <w:sz w:val="18"/>
              </w:rPr>
              <w:t>Utilização incompleta do pré-natal</w:t>
            </w:r>
          </w:p>
        </w:tc>
        <w:tc>
          <w:tcPr>
            <w:tcW w:w="1814" w:type="dxa"/>
          </w:tcPr>
          <w:p w14:paraId="122A184B" w14:textId="77777777" w:rsidR="00114E20" w:rsidRDefault="00D41E34">
            <w:r>
              <w:rPr>
                <w:sz w:val="18"/>
              </w:rPr>
              <w:t>Não identificado nas funcionalidades publicamente descritas</w:t>
            </w:r>
          </w:p>
        </w:tc>
        <w:tc>
          <w:tcPr>
            <w:tcW w:w="1814" w:type="dxa"/>
          </w:tcPr>
          <w:p w14:paraId="73F2A56C" w14:textId="77777777" w:rsidR="00114E20" w:rsidRDefault="00D41E34">
            <w:r>
              <w:rPr>
                <w:sz w:val="18"/>
              </w:rPr>
              <w:t>Não identificado nas funcionalidades publicamente descritas</w:t>
            </w:r>
          </w:p>
        </w:tc>
        <w:tc>
          <w:tcPr>
            <w:tcW w:w="1814" w:type="dxa"/>
          </w:tcPr>
          <w:p w14:paraId="3EC11892" w14:textId="77777777" w:rsidR="00114E20" w:rsidRDefault="00D41E34">
            <w:r>
              <w:rPr>
                <w:sz w:val="18"/>
              </w:rPr>
              <w:t>Não identificado nas funcionalidades publicamente descritas</w:t>
            </w:r>
          </w:p>
        </w:tc>
      </w:tr>
      <w:tr w:rsidR="00114E20" w14:paraId="6D85F9F9" w14:textId="77777777">
        <w:tc>
          <w:tcPr>
            <w:tcW w:w="1814" w:type="dxa"/>
          </w:tcPr>
          <w:p w14:paraId="591E0608" w14:textId="77777777" w:rsidR="00114E20" w:rsidRDefault="00D41E34">
            <w:r>
              <w:rPr>
                <w:sz w:val="18"/>
              </w:rPr>
              <w:t>OSBORNE et al. (2026)</w:t>
            </w:r>
          </w:p>
        </w:tc>
        <w:tc>
          <w:tcPr>
            <w:tcW w:w="1814" w:type="dxa"/>
          </w:tcPr>
          <w:p w14:paraId="6FDA4C47" w14:textId="77777777" w:rsidR="00114E20" w:rsidRDefault="00D41E34">
            <w:r>
              <w:rPr>
                <w:sz w:val="18"/>
              </w:rPr>
              <w:t>Utilização do pré-natal</w:t>
            </w:r>
          </w:p>
        </w:tc>
        <w:tc>
          <w:tcPr>
            <w:tcW w:w="1814" w:type="dxa"/>
          </w:tcPr>
          <w:p w14:paraId="24AD24CC" w14:textId="77777777" w:rsidR="00114E20" w:rsidRDefault="00D41E34">
            <w:r>
              <w:rPr>
                <w:sz w:val="18"/>
              </w:rPr>
              <w:t>Não identificado nas funcionalidades publicamente descritas</w:t>
            </w:r>
          </w:p>
        </w:tc>
        <w:tc>
          <w:tcPr>
            <w:tcW w:w="1814" w:type="dxa"/>
          </w:tcPr>
          <w:p w14:paraId="21697A42" w14:textId="77777777" w:rsidR="00114E20" w:rsidRDefault="00D41E34">
            <w:r>
              <w:rPr>
                <w:sz w:val="18"/>
              </w:rPr>
              <w:t>Não identificado nas funcionalidades publicamente descritas</w:t>
            </w:r>
          </w:p>
        </w:tc>
        <w:tc>
          <w:tcPr>
            <w:tcW w:w="1814" w:type="dxa"/>
          </w:tcPr>
          <w:p w14:paraId="6683E8C7" w14:textId="77777777" w:rsidR="00114E20" w:rsidRDefault="00D41E34">
            <w:r>
              <w:rPr>
                <w:sz w:val="18"/>
              </w:rPr>
              <w:t>Não identificado nas funcionalidades publicamente descritas</w:t>
            </w:r>
          </w:p>
        </w:tc>
      </w:tr>
      <w:tr w:rsidR="00114E20" w14:paraId="2242EB7D" w14:textId="77777777">
        <w:tc>
          <w:tcPr>
            <w:tcW w:w="1814" w:type="dxa"/>
          </w:tcPr>
          <w:p w14:paraId="47D3C3F0" w14:textId="77777777" w:rsidR="00114E20" w:rsidRDefault="00D41E34">
            <w:r>
              <w:rPr>
                <w:sz w:val="18"/>
              </w:rPr>
              <w:t>BAYKEMAGN et al. (2025)</w:t>
            </w:r>
          </w:p>
        </w:tc>
        <w:tc>
          <w:tcPr>
            <w:tcW w:w="1814" w:type="dxa"/>
          </w:tcPr>
          <w:p w14:paraId="2210990B" w14:textId="77777777" w:rsidR="00114E20" w:rsidRDefault="00D41E34">
            <w:r>
              <w:rPr>
                <w:sz w:val="18"/>
              </w:rPr>
              <w:t>Início tardio do pré-natal</w:t>
            </w:r>
          </w:p>
        </w:tc>
        <w:tc>
          <w:tcPr>
            <w:tcW w:w="1814" w:type="dxa"/>
          </w:tcPr>
          <w:p w14:paraId="71CC0014" w14:textId="77777777" w:rsidR="00114E20" w:rsidRDefault="00D41E34">
            <w:r>
              <w:rPr>
                <w:sz w:val="18"/>
              </w:rPr>
              <w:t>Não identificado nas funcionalidades publicamente descritas</w:t>
            </w:r>
          </w:p>
        </w:tc>
        <w:tc>
          <w:tcPr>
            <w:tcW w:w="1814" w:type="dxa"/>
          </w:tcPr>
          <w:p w14:paraId="3A2BEB3D" w14:textId="77777777" w:rsidR="00114E20" w:rsidRDefault="00D41E34">
            <w:r>
              <w:rPr>
                <w:sz w:val="18"/>
              </w:rPr>
              <w:t>Não identificado nas funcionalidades publicamente descritas</w:t>
            </w:r>
          </w:p>
        </w:tc>
        <w:tc>
          <w:tcPr>
            <w:tcW w:w="1814" w:type="dxa"/>
          </w:tcPr>
          <w:p w14:paraId="41EC5342" w14:textId="77777777" w:rsidR="00114E20" w:rsidRDefault="00D41E34">
            <w:r>
              <w:rPr>
                <w:sz w:val="18"/>
              </w:rPr>
              <w:t>Não identificado nas funcionalidades publicamente descritas</w:t>
            </w:r>
          </w:p>
        </w:tc>
      </w:tr>
      <w:tr w:rsidR="00114E20" w14:paraId="1BA99EE3" w14:textId="77777777">
        <w:tc>
          <w:tcPr>
            <w:tcW w:w="1814" w:type="dxa"/>
          </w:tcPr>
          <w:p w14:paraId="7C50CC16" w14:textId="77777777" w:rsidR="00114E20" w:rsidRDefault="00D41E34">
            <w:r>
              <w:rPr>
                <w:sz w:val="18"/>
              </w:rPr>
              <w:t>PATEL; AKILESWARAN; BASU (2026)</w:t>
            </w:r>
          </w:p>
        </w:tc>
        <w:tc>
          <w:tcPr>
            <w:tcW w:w="1814" w:type="dxa"/>
          </w:tcPr>
          <w:p w14:paraId="42B2523E" w14:textId="77777777" w:rsidR="00114E20" w:rsidRDefault="00D41E34">
            <w:r>
              <w:rPr>
                <w:sz w:val="18"/>
              </w:rPr>
              <w:t>Risco em gestações (clínico e social)</w:t>
            </w:r>
          </w:p>
        </w:tc>
        <w:tc>
          <w:tcPr>
            <w:tcW w:w="1814" w:type="dxa"/>
          </w:tcPr>
          <w:p w14:paraId="4E09DDE1" w14:textId="77777777" w:rsidR="00114E20" w:rsidRDefault="00D41E34">
            <w:r>
              <w:rPr>
                <w:sz w:val="18"/>
              </w:rPr>
              <w:t>Não identificado nas funcionalidades publicamente descritas</w:t>
            </w:r>
          </w:p>
        </w:tc>
        <w:tc>
          <w:tcPr>
            <w:tcW w:w="1814" w:type="dxa"/>
          </w:tcPr>
          <w:p w14:paraId="6B91D3E8" w14:textId="77777777" w:rsidR="00114E20" w:rsidRDefault="00D41E34">
            <w:r>
              <w:rPr>
                <w:sz w:val="18"/>
              </w:rPr>
              <w:t>Não identificado nas funcionalidades publicamente descritas</w:t>
            </w:r>
          </w:p>
        </w:tc>
        <w:tc>
          <w:tcPr>
            <w:tcW w:w="1814" w:type="dxa"/>
          </w:tcPr>
          <w:p w14:paraId="547B5CF2" w14:textId="77777777" w:rsidR="00114E20" w:rsidRDefault="00D41E34">
            <w:r>
              <w:rPr>
                <w:sz w:val="18"/>
              </w:rPr>
              <w:t>Não identificado nas funcionalidades publicamente descritas</w:t>
            </w:r>
          </w:p>
        </w:tc>
      </w:tr>
      <w:tr w:rsidR="00114E20" w14:paraId="116EF7A7" w14:textId="77777777">
        <w:tc>
          <w:tcPr>
            <w:tcW w:w="1814" w:type="dxa"/>
          </w:tcPr>
          <w:p w14:paraId="55411E50" w14:textId="77777777" w:rsidR="00114E20" w:rsidRDefault="00D41E34">
            <w:r>
              <w:rPr>
                <w:sz w:val="18"/>
              </w:rPr>
              <w:t>KHADIDOS et al. (2024)</w:t>
            </w:r>
          </w:p>
        </w:tc>
        <w:tc>
          <w:tcPr>
            <w:tcW w:w="1814" w:type="dxa"/>
          </w:tcPr>
          <w:p w14:paraId="3E34D794" w14:textId="77777777" w:rsidR="00114E20" w:rsidRDefault="00D41E34">
            <w:r>
              <w:rPr>
                <w:sz w:val="18"/>
              </w:rPr>
              <w:t>Risco materno</w:t>
            </w:r>
          </w:p>
        </w:tc>
        <w:tc>
          <w:tcPr>
            <w:tcW w:w="1814" w:type="dxa"/>
          </w:tcPr>
          <w:p w14:paraId="0C3F0D8E" w14:textId="77777777" w:rsidR="00114E20" w:rsidRDefault="00D41E34">
            <w:r>
              <w:rPr>
                <w:sz w:val="18"/>
              </w:rPr>
              <w:t xml:space="preserve">Não identificado nas funcionalidades publicamente </w:t>
            </w:r>
            <w:r>
              <w:rPr>
                <w:sz w:val="18"/>
              </w:rPr>
              <w:lastRenderedPageBreak/>
              <w:t>descritas</w:t>
            </w:r>
          </w:p>
        </w:tc>
        <w:tc>
          <w:tcPr>
            <w:tcW w:w="1814" w:type="dxa"/>
          </w:tcPr>
          <w:p w14:paraId="69F7AA52" w14:textId="77777777" w:rsidR="00114E20" w:rsidRDefault="00D41E34">
            <w:r>
              <w:rPr>
                <w:sz w:val="18"/>
              </w:rPr>
              <w:lastRenderedPageBreak/>
              <w:t xml:space="preserve">Não identificado nas funcionalidades publicamente </w:t>
            </w:r>
            <w:r>
              <w:rPr>
                <w:sz w:val="18"/>
              </w:rPr>
              <w:lastRenderedPageBreak/>
              <w:t>descritas</w:t>
            </w:r>
          </w:p>
        </w:tc>
        <w:tc>
          <w:tcPr>
            <w:tcW w:w="1814" w:type="dxa"/>
          </w:tcPr>
          <w:p w14:paraId="5D4DEC4C" w14:textId="77777777" w:rsidR="00114E20" w:rsidRDefault="00D41E34">
            <w:r>
              <w:rPr>
                <w:sz w:val="18"/>
              </w:rPr>
              <w:lastRenderedPageBreak/>
              <w:t xml:space="preserve">Não identificado nas funcionalidades publicamente </w:t>
            </w:r>
            <w:r>
              <w:rPr>
                <w:sz w:val="18"/>
              </w:rPr>
              <w:lastRenderedPageBreak/>
              <w:t>descritas</w:t>
            </w:r>
          </w:p>
        </w:tc>
      </w:tr>
      <w:tr w:rsidR="00114E20" w14:paraId="3D23D0C5" w14:textId="77777777">
        <w:tc>
          <w:tcPr>
            <w:tcW w:w="1814" w:type="dxa"/>
          </w:tcPr>
          <w:p w14:paraId="691F858D" w14:textId="77777777" w:rsidR="00114E20" w:rsidRDefault="00D41E34">
            <w:r>
              <w:rPr>
                <w:sz w:val="18"/>
              </w:rPr>
              <w:lastRenderedPageBreak/>
              <w:t>YANG; MADANIAN; PARRY (2024)</w:t>
            </w:r>
          </w:p>
        </w:tc>
        <w:tc>
          <w:tcPr>
            <w:tcW w:w="1814" w:type="dxa"/>
          </w:tcPr>
          <w:p w14:paraId="795361CA" w14:textId="77777777" w:rsidR="00114E20" w:rsidRDefault="00D41E34">
            <w:r>
              <w:rPr>
                <w:sz w:val="18"/>
              </w:rPr>
              <w:t>Faltas a consultas</w:t>
            </w:r>
          </w:p>
        </w:tc>
        <w:tc>
          <w:tcPr>
            <w:tcW w:w="1814" w:type="dxa"/>
          </w:tcPr>
          <w:p w14:paraId="0EDB6DFC" w14:textId="77777777" w:rsidR="00114E20" w:rsidRDefault="00D41E34">
            <w:r>
              <w:rPr>
                <w:sz w:val="18"/>
              </w:rPr>
              <w:t>Não identificado nas funcionalidades publicamente descritas</w:t>
            </w:r>
          </w:p>
        </w:tc>
        <w:tc>
          <w:tcPr>
            <w:tcW w:w="1814" w:type="dxa"/>
          </w:tcPr>
          <w:p w14:paraId="131709BB" w14:textId="77777777" w:rsidR="00114E20" w:rsidRDefault="00D41E34">
            <w:r>
              <w:rPr>
                <w:sz w:val="18"/>
              </w:rPr>
              <w:t>Não identificado nas funcionalidades publicamente descritas</w:t>
            </w:r>
          </w:p>
        </w:tc>
        <w:tc>
          <w:tcPr>
            <w:tcW w:w="1814" w:type="dxa"/>
          </w:tcPr>
          <w:p w14:paraId="75DD12B6" w14:textId="77777777" w:rsidR="00114E20" w:rsidRDefault="00D41E34">
            <w:r>
              <w:rPr>
                <w:sz w:val="18"/>
              </w:rPr>
              <w:t>Não identificado nas funcionalidades publicamente descritas</w:t>
            </w:r>
          </w:p>
        </w:tc>
      </w:tr>
      <w:tr w:rsidR="00114E20" w14:paraId="7B11C416" w14:textId="77777777">
        <w:tc>
          <w:tcPr>
            <w:tcW w:w="1814" w:type="dxa"/>
          </w:tcPr>
          <w:p w14:paraId="220CEAC3" w14:textId="77777777" w:rsidR="00114E20" w:rsidRDefault="00D41E34">
            <w:r>
              <w:rPr>
                <w:sz w:val="18"/>
              </w:rPr>
              <w:t>PRABA; VANI; SUGANYA (2026)</w:t>
            </w:r>
          </w:p>
        </w:tc>
        <w:tc>
          <w:tcPr>
            <w:tcW w:w="1814" w:type="dxa"/>
          </w:tcPr>
          <w:p w14:paraId="64970278" w14:textId="77777777" w:rsidR="00114E20" w:rsidRDefault="00D41E34">
            <w:r>
              <w:rPr>
                <w:sz w:val="18"/>
              </w:rPr>
              <w:t>Risco materno (dados sintéticos)</w:t>
            </w:r>
          </w:p>
        </w:tc>
        <w:tc>
          <w:tcPr>
            <w:tcW w:w="1814" w:type="dxa"/>
          </w:tcPr>
          <w:p w14:paraId="1046A850" w14:textId="77777777" w:rsidR="00114E20" w:rsidRDefault="00D41E34">
            <w:r>
              <w:rPr>
                <w:sz w:val="18"/>
              </w:rPr>
              <w:t>Não identificado nas funcionalidades publicamente descritas</w:t>
            </w:r>
          </w:p>
        </w:tc>
        <w:tc>
          <w:tcPr>
            <w:tcW w:w="1814" w:type="dxa"/>
          </w:tcPr>
          <w:p w14:paraId="01B3BC10" w14:textId="77777777" w:rsidR="00114E20" w:rsidRDefault="00D41E34">
            <w:r>
              <w:rPr>
                <w:sz w:val="18"/>
              </w:rPr>
              <w:t>Sintético (sem DSS)</w:t>
            </w:r>
          </w:p>
        </w:tc>
        <w:tc>
          <w:tcPr>
            <w:tcW w:w="1814" w:type="dxa"/>
          </w:tcPr>
          <w:p w14:paraId="674271B9" w14:textId="77777777" w:rsidR="00114E20" w:rsidRDefault="00D41E34">
            <w:r>
              <w:rPr>
                <w:sz w:val="18"/>
              </w:rPr>
              <w:t>Não identificado nas funcionalidades publicamente descritas</w:t>
            </w:r>
          </w:p>
        </w:tc>
      </w:tr>
      <w:tr w:rsidR="00114E20" w14:paraId="5E046EAB" w14:textId="77777777">
        <w:tc>
          <w:tcPr>
            <w:tcW w:w="1814" w:type="dxa"/>
          </w:tcPr>
          <w:p w14:paraId="739C76D3" w14:textId="77777777" w:rsidR="00114E20" w:rsidRDefault="00D41E34">
            <w:r>
              <w:rPr>
                <w:sz w:val="18"/>
              </w:rPr>
              <w:t>ADEOLA; IWENDI; AKEREN (2025)</w:t>
            </w:r>
          </w:p>
        </w:tc>
        <w:tc>
          <w:tcPr>
            <w:tcW w:w="1814" w:type="dxa"/>
          </w:tcPr>
          <w:p w14:paraId="54878027" w14:textId="77777777" w:rsidR="00114E20" w:rsidRDefault="00D41E34">
            <w:r>
              <w:rPr>
                <w:sz w:val="18"/>
              </w:rPr>
              <w:t>Risco materno (aplicação web)</w:t>
            </w:r>
          </w:p>
        </w:tc>
        <w:tc>
          <w:tcPr>
            <w:tcW w:w="1814" w:type="dxa"/>
          </w:tcPr>
          <w:p w14:paraId="6D4C299D" w14:textId="77777777" w:rsidR="00114E20" w:rsidRDefault="00D41E34">
            <w:r>
              <w:rPr>
                <w:sz w:val="18"/>
              </w:rPr>
              <w:t>Aplicação web (Materna), não Flutter</w:t>
            </w:r>
          </w:p>
        </w:tc>
        <w:tc>
          <w:tcPr>
            <w:tcW w:w="1814" w:type="dxa"/>
          </w:tcPr>
          <w:p w14:paraId="1DE556E3" w14:textId="77777777" w:rsidR="00114E20" w:rsidRDefault="00D41E34">
            <w:r>
              <w:rPr>
                <w:sz w:val="18"/>
              </w:rPr>
              <w:t>Não identificado nas funcionalidades publicamente descritas</w:t>
            </w:r>
          </w:p>
        </w:tc>
        <w:tc>
          <w:tcPr>
            <w:tcW w:w="1814" w:type="dxa"/>
          </w:tcPr>
          <w:p w14:paraId="0242F6D8" w14:textId="77777777" w:rsidR="00114E20" w:rsidRDefault="00D41E34">
            <w:r>
              <w:rPr>
                <w:sz w:val="18"/>
              </w:rPr>
              <w:t>Não identificado nas funcionalidades publicamente descritas</w:t>
            </w:r>
          </w:p>
        </w:tc>
      </w:tr>
      <w:tr w:rsidR="00114E20" w14:paraId="3FBE6ABD" w14:textId="77777777">
        <w:tc>
          <w:tcPr>
            <w:tcW w:w="1814" w:type="dxa"/>
          </w:tcPr>
          <w:p w14:paraId="6B168AC9" w14:textId="77777777" w:rsidR="00114E20" w:rsidRDefault="00D41E34">
            <w:r>
              <w:rPr>
                <w:sz w:val="18"/>
              </w:rPr>
              <w:t>Este trabalho (2026)</w:t>
            </w:r>
          </w:p>
        </w:tc>
        <w:tc>
          <w:tcPr>
            <w:tcW w:w="1814" w:type="dxa"/>
          </w:tcPr>
          <w:p w14:paraId="5AD72ABE" w14:textId="77777777" w:rsidR="00114E20" w:rsidRDefault="00D41E34">
            <w:r>
              <w:rPr>
                <w:sz w:val="18"/>
              </w:rPr>
              <w:t>Descontinuidade do pré-natal</w:t>
            </w:r>
          </w:p>
        </w:tc>
        <w:tc>
          <w:tcPr>
            <w:tcW w:w="1814" w:type="dxa"/>
          </w:tcPr>
          <w:p w14:paraId="0B8FA041" w14:textId="77777777" w:rsidR="00114E20" w:rsidRDefault="00D41E34">
            <w:r>
              <w:rPr>
                <w:sz w:val="18"/>
              </w:rPr>
              <w:t>Sim (Flutter + API)</w:t>
            </w:r>
          </w:p>
        </w:tc>
        <w:tc>
          <w:tcPr>
            <w:tcW w:w="1814" w:type="dxa"/>
          </w:tcPr>
          <w:p w14:paraId="2003A04D" w14:textId="77777777" w:rsidR="00114E20" w:rsidRDefault="00D41E34">
            <w:r>
              <w:rPr>
                <w:sz w:val="18"/>
              </w:rPr>
              <w:t>Sim</w:t>
            </w:r>
          </w:p>
        </w:tc>
        <w:tc>
          <w:tcPr>
            <w:tcW w:w="1814" w:type="dxa"/>
          </w:tcPr>
          <w:p w14:paraId="462976C6" w14:textId="77777777" w:rsidR="00114E20" w:rsidRDefault="00D41E34">
            <w:r>
              <w:rPr>
                <w:sz w:val="18"/>
              </w:rPr>
              <w:t>Sim</w:t>
            </w:r>
          </w:p>
        </w:tc>
      </w:tr>
    </w:tbl>
    <w:p w14:paraId="0711A237" w14:textId="77777777" w:rsidR="00114E20" w:rsidRDefault="00D41E34">
      <w:r>
        <w:t>Fonte: elaboração própria (2026), a partir da revisão da literatura. “Não identificado nas funcionalidades publicamente descritas” significa que o recurso não foi localizado na descrição pública dos trabalhos, sem configurar afirmação absoluta de inexistência.</w:t>
      </w:r>
    </w:p>
    <w:p w14:paraId="4A88CB62" w14:textId="77777777" w:rsidR="00E62C65" w:rsidRDefault="00474360">
      <w:pPr>
        <w:pStyle w:val="Ttulo1"/>
        <w:spacing w:before="0"/>
      </w:pPr>
      <w:bookmarkStart w:id="17" w:name="_Toc238759953"/>
      <w:r>
        <w:rPr>
          <w:rFonts w:ascii="Times New Roman" w:eastAsia="Times New Roman" w:hAnsi="Times New Roman"/>
        </w:rPr>
        <w:t>3 METODOLOGIA</w:t>
      </w:r>
      <w:bookmarkEnd w:id="17"/>
    </w:p>
    <w:p w14:paraId="7CEF394D" w14:textId="77777777" w:rsidR="00E62C65" w:rsidRDefault="00E62C65"/>
    <w:p w14:paraId="007642DA" w14:textId="77777777" w:rsidR="00E62C65" w:rsidRDefault="00474360">
      <w:pPr>
        <w:pStyle w:val="Ttulo2"/>
      </w:pPr>
      <w:bookmarkStart w:id="18" w:name="_Toc238759954"/>
      <w:r>
        <w:rPr>
          <w:rFonts w:ascii="Times New Roman" w:eastAsia="Times New Roman" w:hAnsi="Times New Roman"/>
        </w:rPr>
        <w:t>3.1 Tipo de pesquisa</w:t>
      </w:r>
      <w:bookmarkEnd w:id="18"/>
    </w:p>
    <w:p w14:paraId="53EF4CAE" w14:textId="77777777" w:rsidR="00E62C65" w:rsidRDefault="00474360">
      <w:pPr>
        <w:spacing w:after="0" w:line="360" w:lineRule="auto"/>
        <w:ind w:firstLine="709"/>
        <w:jc w:val="both"/>
      </w:pPr>
      <w:r>
        <w:t>Trata-se de pesquisa aplicada, de natureza experimental e quantitativa, conduzida sobre dados sintéticos como etapa de validação técnica da metodologia — anterior e distinta de qualquer validação com dados reais ou de validação clínica. O estudo segue o desenho de um experimento de simulação destinado a avaliar um pipeline de modelagem preditiva, conforme as boas práticas de desenho de estudos de simulação (BURTON et al., 2006; MORRIS; WHITE; CROWTHER, 2019) e de relato transparente de modelos preditivos (COLLINS et al., 2015; STEYERBERG, 2019).</w:t>
      </w:r>
    </w:p>
    <w:p w14:paraId="1E5DA4DA" w14:textId="77777777" w:rsidR="00E62C65" w:rsidRDefault="00474360">
      <w:pPr>
        <w:pStyle w:val="Ttulo2"/>
      </w:pPr>
      <w:bookmarkStart w:id="19" w:name="_Toc238759955"/>
      <w:r>
        <w:rPr>
          <w:rFonts w:ascii="Times New Roman" w:eastAsia="Times New Roman" w:hAnsi="Times New Roman"/>
        </w:rPr>
        <w:t>3.2 Determinantes Sociais da Saúde utilizados</w:t>
      </w:r>
      <w:bookmarkEnd w:id="19"/>
    </w:p>
    <w:p w14:paraId="098A04E2" w14:textId="77777777" w:rsidR="00E62C65" w:rsidRDefault="00474360">
      <w:pPr>
        <w:spacing w:after="0" w:line="360" w:lineRule="auto"/>
        <w:ind w:firstLine="709"/>
        <w:jc w:val="both"/>
      </w:pPr>
      <w:r>
        <w:rPr>
          <w:rFonts w:eastAsia="Times New Roman"/>
        </w:rPr>
        <w:t xml:space="preserve">O instrumento coleta </w:t>
      </w:r>
      <w:r>
        <w:rPr>
          <w:rFonts w:eastAsia="Times New Roman"/>
          <w:b/>
        </w:rPr>
        <w:t>seis dimensões</w:t>
      </w:r>
      <w:r>
        <w:rPr>
          <w:rFonts w:eastAsia="Times New Roman"/>
        </w:rPr>
        <w:t xml:space="preserve"> e </w:t>
      </w:r>
      <w:r>
        <w:rPr>
          <w:rFonts w:eastAsia="Times New Roman"/>
          <w:b/>
        </w:rPr>
        <w:t>48 variáveis</w:t>
      </w:r>
      <w:r>
        <w:rPr>
          <w:rFonts w:eastAsia="Times New Roman"/>
        </w:rPr>
        <w:t>:</w:t>
      </w:r>
    </w:p>
    <w:p w14:paraId="0EEA02BC" w14:textId="77777777" w:rsidR="00E62C65" w:rsidRDefault="00474360">
      <w:pPr>
        <w:spacing w:line="360" w:lineRule="auto"/>
        <w:ind w:left="454" w:hanging="340"/>
      </w:pPr>
      <w:r>
        <w:rPr>
          <w:rFonts w:eastAsia="Times New Roman"/>
        </w:rPr>
        <w:t xml:space="preserve">1. </w:t>
      </w:r>
      <w:r>
        <w:rPr>
          <w:rFonts w:eastAsia="Times New Roman"/>
          <w:b/>
        </w:rPr>
        <w:t>Educação</w:t>
      </w:r>
    </w:p>
    <w:p w14:paraId="4277955A" w14:textId="77777777" w:rsidR="00E62C65" w:rsidRDefault="00474360">
      <w:pPr>
        <w:spacing w:line="360" w:lineRule="auto"/>
        <w:ind w:left="454" w:hanging="340"/>
      </w:pPr>
      <w:r>
        <w:rPr>
          <w:rFonts w:eastAsia="Times New Roman"/>
        </w:rPr>
        <w:t xml:space="preserve">2. </w:t>
      </w:r>
      <w:r>
        <w:rPr>
          <w:rFonts w:eastAsia="Times New Roman"/>
          <w:b/>
        </w:rPr>
        <w:t>Trabalho e renda</w:t>
      </w:r>
    </w:p>
    <w:p w14:paraId="00A97A3C" w14:textId="77777777" w:rsidR="00E62C65" w:rsidRDefault="00474360">
      <w:pPr>
        <w:spacing w:line="360" w:lineRule="auto"/>
        <w:ind w:left="454" w:hanging="340"/>
      </w:pPr>
      <w:r>
        <w:rPr>
          <w:rFonts w:eastAsia="Times New Roman"/>
        </w:rPr>
        <w:t xml:space="preserve">3. </w:t>
      </w:r>
      <w:r>
        <w:rPr>
          <w:rFonts w:eastAsia="Times New Roman"/>
          <w:b/>
        </w:rPr>
        <w:t>Saneamento</w:t>
      </w:r>
    </w:p>
    <w:p w14:paraId="00C30FCA" w14:textId="77777777" w:rsidR="00E62C65" w:rsidRDefault="00474360">
      <w:pPr>
        <w:spacing w:line="360" w:lineRule="auto"/>
        <w:ind w:left="454" w:hanging="340"/>
      </w:pPr>
      <w:r>
        <w:rPr>
          <w:rFonts w:eastAsia="Times New Roman"/>
        </w:rPr>
        <w:t xml:space="preserve">4. </w:t>
      </w:r>
      <w:r>
        <w:rPr>
          <w:rFonts w:eastAsia="Times New Roman"/>
          <w:b/>
        </w:rPr>
        <w:t>Acesso aos serviços de saúde</w:t>
      </w:r>
    </w:p>
    <w:p w14:paraId="56417081" w14:textId="77777777" w:rsidR="00E62C65" w:rsidRDefault="00474360">
      <w:pPr>
        <w:spacing w:line="360" w:lineRule="auto"/>
        <w:ind w:left="454" w:hanging="340"/>
      </w:pPr>
      <w:r>
        <w:rPr>
          <w:rFonts w:eastAsia="Times New Roman"/>
        </w:rPr>
        <w:t xml:space="preserve">5. </w:t>
      </w:r>
      <w:r>
        <w:rPr>
          <w:rFonts w:eastAsia="Times New Roman"/>
          <w:b/>
        </w:rPr>
        <w:t>Habitação</w:t>
      </w:r>
    </w:p>
    <w:p w14:paraId="2785EC14" w14:textId="77777777" w:rsidR="00E62C65" w:rsidRDefault="00474360">
      <w:pPr>
        <w:spacing w:line="360" w:lineRule="auto"/>
        <w:ind w:left="454" w:hanging="340"/>
      </w:pPr>
      <w:r>
        <w:rPr>
          <w:rFonts w:eastAsia="Times New Roman"/>
        </w:rPr>
        <w:lastRenderedPageBreak/>
        <w:t xml:space="preserve">6. </w:t>
      </w:r>
      <w:r>
        <w:rPr>
          <w:rFonts w:eastAsia="Times New Roman"/>
          <w:b/>
        </w:rPr>
        <w:t>Alimentação</w:t>
      </w:r>
    </w:p>
    <w:p w14:paraId="57BE7303" w14:textId="77777777" w:rsidR="00114E20" w:rsidRDefault="00D41E34">
      <w:r>
        <w:rPr>
          <w:b/>
        </w:rPr>
        <w:t>Tabela 1 – Questionário DSS: seis dimensões e variáveis por dimensão</w:t>
      </w:r>
    </w:p>
    <w:tbl>
      <w:tblPr>
        <w:tblStyle w:val="Tabelacomgrade"/>
        <w:tblW w:w="0" w:type="auto"/>
        <w:tblLook w:val="04A0" w:firstRow="1" w:lastRow="0" w:firstColumn="1" w:lastColumn="0" w:noHBand="0" w:noVBand="1"/>
      </w:tblPr>
      <w:tblGrid>
        <w:gridCol w:w="4535"/>
        <w:gridCol w:w="4535"/>
      </w:tblGrid>
      <w:tr w:rsidR="00114E20" w14:paraId="3E01B0DF" w14:textId="77777777">
        <w:tc>
          <w:tcPr>
            <w:tcW w:w="4535" w:type="dxa"/>
          </w:tcPr>
          <w:p w14:paraId="404F1953" w14:textId="77777777" w:rsidR="00114E20" w:rsidRDefault="00D41E34">
            <w:r>
              <w:rPr>
                <w:b/>
                <w:sz w:val="18"/>
              </w:rPr>
              <w:t>Dimensão</w:t>
            </w:r>
          </w:p>
        </w:tc>
        <w:tc>
          <w:tcPr>
            <w:tcW w:w="4535" w:type="dxa"/>
          </w:tcPr>
          <w:p w14:paraId="358B59D3" w14:textId="77777777" w:rsidR="00114E20" w:rsidRDefault="00D41E34">
            <w:r>
              <w:rPr>
                <w:b/>
                <w:sz w:val="18"/>
              </w:rPr>
              <w:t>Variáveis</w:t>
            </w:r>
          </w:p>
        </w:tc>
      </w:tr>
      <w:tr w:rsidR="00114E20" w14:paraId="4FBB019B" w14:textId="77777777">
        <w:tc>
          <w:tcPr>
            <w:tcW w:w="4535" w:type="dxa"/>
          </w:tcPr>
          <w:p w14:paraId="61EB1DD9" w14:textId="77777777" w:rsidR="00114E20" w:rsidRDefault="00D41E34">
            <w:r>
              <w:rPr>
                <w:sz w:val="18"/>
              </w:rPr>
              <w:t>Educação</w:t>
            </w:r>
          </w:p>
        </w:tc>
        <w:tc>
          <w:tcPr>
            <w:tcW w:w="4535" w:type="dxa"/>
          </w:tcPr>
          <w:p w14:paraId="13E4E893" w14:textId="77777777" w:rsidR="00114E20" w:rsidRDefault="00D41E34">
            <w:r>
              <w:rPr>
                <w:sz w:val="18"/>
              </w:rPr>
              <w:t>6</w:t>
            </w:r>
          </w:p>
        </w:tc>
      </w:tr>
      <w:tr w:rsidR="00114E20" w14:paraId="3275BE8C" w14:textId="77777777">
        <w:tc>
          <w:tcPr>
            <w:tcW w:w="4535" w:type="dxa"/>
          </w:tcPr>
          <w:p w14:paraId="5439659C" w14:textId="77777777" w:rsidR="00114E20" w:rsidRDefault="00D41E34">
            <w:r>
              <w:rPr>
                <w:sz w:val="18"/>
              </w:rPr>
              <w:t>Trabalho e renda</w:t>
            </w:r>
          </w:p>
        </w:tc>
        <w:tc>
          <w:tcPr>
            <w:tcW w:w="4535" w:type="dxa"/>
          </w:tcPr>
          <w:p w14:paraId="38FBE465" w14:textId="77777777" w:rsidR="00114E20" w:rsidRDefault="00D41E34">
            <w:r>
              <w:rPr>
                <w:sz w:val="18"/>
              </w:rPr>
              <w:t>10</w:t>
            </w:r>
          </w:p>
        </w:tc>
      </w:tr>
      <w:tr w:rsidR="00114E20" w14:paraId="05F15D99" w14:textId="77777777">
        <w:tc>
          <w:tcPr>
            <w:tcW w:w="4535" w:type="dxa"/>
          </w:tcPr>
          <w:p w14:paraId="6A1BE21D" w14:textId="77777777" w:rsidR="00114E20" w:rsidRDefault="00D41E34">
            <w:r>
              <w:rPr>
                <w:sz w:val="18"/>
              </w:rPr>
              <w:t>Saneamento</w:t>
            </w:r>
          </w:p>
        </w:tc>
        <w:tc>
          <w:tcPr>
            <w:tcW w:w="4535" w:type="dxa"/>
          </w:tcPr>
          <w:p w14:paraId="4ABE69E5" w14:textId="77777777" w:rsidR="00114E20" w:rsidRDefault="00D41E34">
            <w:r>
              <w:rPr>
                <w:sz w:val="18"/>
              </w:rPr>
              <w:t>7</w:t>
            </w:r>
          </w:p>
        </w:tc>
      </w:tr>
      <w:tr w:rsidR="00114E20" w14:paraId="25F6C076" w14:textId="77777777">
        <w:tc>
          <w:tcPr>
            <w:tcW w:w="4535" w:type="dxa"/>
          </w:tcPr>
          <w:p w14:paraId="17A05D2C" w14:textId="77777777" w:rsidR="00114E20" w:rsidRDefault="00D41E34">
            <w:r>
              <w:rPr>
                <w:sz w:val="18"/>
              </w:rPr>
              <w:t>Acesso aos serviços de saúde</w:t>
            </w:r>
          </w:p>
        </w:tc>
        <w:tc>
          <w:tcPr>
            <w:tcW w:w="4535" w:type="dxa"/>
          </w:tcPr>
          <w:p w14:paraId="7E23295D" w14:textId="77777777" w:rsidR="00114E20" w:rsidRDefault="00D41E34">
            <w:r>
              <w:rPr>
                <w:sz w:val="18"/>
              </w:rPr>
              <w:t>9</w:t>
            </w:r>
          </w:p>
        </w:tc>
      </w:tr>
      <w:tr w:rsidR="00114E20" w14:paraId="39849EE0" w14:textId="77777777">
        <w:tc>
          <w:tcPr>
            <w:tcW w:w="4535" w:type="dxa"/>
          </w:tcPr>
          <w:p w14:paraId="06422319" w14:textId="77777777" w:rsidR="00114E20" w:rsidRDefault="00D41E34">
            <w:r>
              <w:rPr>
                <w:sz w:val="18"/>
              </w:rPr>
              <w:t>Habitação</w:t>
            </w:r>
          </w:p>
        </w:tc>
        <w:tc>
          <w:tcPr>
            <w:tcW w:w="4535" w:type="dxa"/>
          </w:tcPr>
          <w:p w14:paraId="32491A59" w14:textId="77777777" w:rsidR="00114E20" w:rsidRDefault="00D41E34">
            <w:r>
              <w:rPr>
                <w:sz w:val="18"/>
              </w:rPr>
              <w:t>9</w:t>
            </w:r>
          </w:p>
        </w:tc>
      </w:tr>
      <w:tr w:rsidR="00114E20" w14:paraId="3D9CFD8A" w14:textId="77777777">
        <w:tc>
          <w:tcPr>
            <w:tcW w:w="4535" w:type="dxa"/>
          </w:tcPr>
          <w:p w14:paraId="2FCFC959" w14:textId="77777777" w:rsidR="00114E20" w:rsidRDefault="00D41E34">
            <w:r>
              <w:rPr>
                <w:sz w:val="18"/>
              </w:rPr>
              <w:t>Alimentação</w:t>
            </w:r>
          </w:p>
        </w:tc>
        <w:tc>
          <w:tcPr>
            <w:tcW w:w="4535" w:type="dxa"/>
          </w:tcPr>
          <w:p w14:paraId="516C2A3B" w14:textId="77777777" w:rsidR="00114E20" w:rsidRDefault="00D41E34">
            <w:r>
              <w:rPr>
                <w:sz w:val="18"/>
              </w:rPr>
              <w:t>7</w:t>
            </w:r>
          </w:p>
        </w:tc>
      </w:tr>
      <w:tr w:rsidR="00114E20" w14:paraId="36D597BF" w14:textId="77777777">
        <w:tc>
          <w:tcPr>
            <w:tcW w:w="4535" w:type="dxa"/>
          </w:tcPr>
          <w:p w14:paraId="4AB76462" w14:textId="77777777" w:rsidR="00114E20" w:rsidRDefault="00D41E34">
            <w:r>
              <w:rPr>
                <w:sz w:val="18"/>
              </w:rPr>
              <w:t>Total</w:t>
            </w:r>
          </w:p>
        </w:tc>
        <w:tc>
          <w:tcPr>
            <w:tcW w:w="4535" w:type="dxa"/>
          </w:tcPr>
          <w:p w14:paraId="7892E7DA" w14:textId="77777777" w:rsidR="00114E20" w:rsidRDefault="00D41E34">
            <w:r>
              <w:rPr>
                <w:sz w:val="18"/>
              </w:rPr>
              <w:t>48</w:t>
            </w:r>
          </w:p>
        </w:tc>
      </w:tr>
    </w:tbl>
    <w:p w14:paraId="3B2B5679" w14:textId="77777777" w:rsidR="00114E20" w:rsidRDefault="00D41E34">
      <w:r>
        <w:t>Fonte: elaboração própria (2026), a partir do contrato de dados DSS (schema 1.13).</w:t>
      </w:r>
    </w:p>
    <w:p w14:paraId="08A142DE" w14:textId="77777777" w:rsidR="00E62C65" w:rsidRDefault="00474360">
      <w:r>
        <w:t>Observa-se, quanto à nomenclatura, que o formulário possui uma dimensão denominada “Saúde”; entretanto, após a exclusão das variáveis relacionadas à adesão e ao desfecho (seção 3.7), o IV-DSS e o modelo utilizam apenas os indicadores relativos ao acesso aos serviços de saúde. Essa distinção evita a interpretação de que o índice mede qualidade ou adesão ao pré-natal: ele caracteriza a vulnerabilidade de acesso aos serviços de saúde.</w:t>
      </w:r>
    </w:p>
    <w:p w14:paraId="2D8EE922" w14:textId="77777777" w:rsidR="00E62C65" w:rsidRDefault="00E62C65"/>
    <w:p w14:paraId="5E9296D0" w14:textId="77777777" w:rsidR="00E62C65" w:rsidRDefault="00E62C65"/>
    <w:p w14:paraId="38B0A51F" w14:textId="77777777" w:rsidR="00E62C65" w:rsidRDefault="00E62C65"/>
    <w:p w14:paraId="6BBB5DE4" w14:textId="77777777" w:rsidR="00E62C65" w:rsidRDefault="00E62C65"/>
    <w:p w14:paraId="0E0DE68C" w14:textId="77777777" w:rsidR="00E62C65" w:rsidRDefault="00474360">
      <w:pPr>
        <w:pStyle w:val="Ttulo2"/>
      </w:pPr>
      <w:bookmarkStart w:id="20" w:name="_Toc238759956"/>
      <w:r>
        <w:rPr>
          <w:rFonts w:ascii="Times New Roman" w:eastAsia="Times New Roman" w:hAnsi="Times New Roman"/>
        </w:rPr>
        <w:t>3.3 Construção do Índice de Vulnerabilidade dos DSS (IV-DSS)</w:t>
      </w:r>
      <w:bookmarkEnd w:id="20"/>
    </w:p>
    <w:p w14:paraId="46523FEE" w14:textId="77777777" w:rsidR="00E62C65" w:rsidRDefault="00474360">
      <w:pPr>
        <w:spacing w:after="0" w:line="360" w:lineRule="auto"/>
        <w:ind w:firstLine="709"/>
        <w:jc w:val="both"/>
      </w:pPr>
      <w:r>
        <w:rPr>
          <w:rFonts w:eastAsia="Times New Roman"/>
        </w:rPr>
        <w:t xml:space="preserve">O </w:t>
      </w:r>
      <w:r>
        <w:rPr>
          <w:rFonts w:eastAsia="Times New Roman"/>
          <w:b/>
        </w:rPr>
        <w:t>IV-DSS</w:t>
      </w:r>
      <w:r>
        <w:rPr>
          <w:rFonts w:eastAsia="Times New Roman"/>
        </w:rPr>
        <w:t xml:space="preserve"> é uma </w:t>
      </w:r>
      <w:r>
        <w:rPr>
          <w:rFonts w:eastAsia="Times New Roman"/>
          <w:b/>
        </w:rPr>
        <w:t>medida agregada de caracterização</w:t>
      </w:r>
      <w:r>
        <w:rPr>
          <w:rFonts w:eastAsia="Times New Roman"/>
        </w:rPr>
        <w:t xml:space="preserve"> da vulnerabilidade social dos perfis representados no dataset sintético. É um </w:t>
      </w:r>
      <w:r>
        <w:rPr>
          <w:rFonts w:eastAsia="Times New Roman"/>
          <w:b/>
        </w:rPr>
        <w:t>índice descritivo experimental</w:t>
      </w:r>
      <w:r>
        <w:rPr>
          <w:rFonts w:eastAsia="Times New Roman"/>
        </w:rPr>
        <w:t xml:space="preserve">: não é um instrumento validado, nem escala diagnóstica, nem índice epidemiologicamente validado. </w:t>
      </w:r>
      <w:r>
        <w:rPr>
          <w:rFonts w:eastAsia="Times New Roman"/>
          <w:b/>
        </w:rPr>
        <w:t>Não é</w:t>
      </w:r>
      <w:r>
        <w:rPr>
          <w:rFonts w:eastAsia="Times New Roman"/>
        </w:rPr>
        <w:t xml:space="preserve"> variável-alvo e </w:t>
      </w:r>
      <w:r>
        <w:rPr>
          <w:rFonts w:eastAsia="Times New Roman"/>
          <w:b/>
        </w:rPr>
        <w:t>não é</w:t>
      </w:r>
      <w:r>
        <w:rPr>
          <w:rFonts w:eastAsia="Times New Roman"/>
        </w:rPr>
        <w:t xml:space="preserve"> sinônimo de risco de descontinuidade. A especificação técnica completa encontra-se em </w:t>
      </w:r>
      <w:r>
        <w:rPr>
          <w:rFonts w:ascii="Courier New" w:eastAsia="Courier New" w:hAnsi="Courier New"/>
          <w:sz w:val="22"/>
        </w:rPr>
        <w:t>docs/planejamento_dataset_sintetico.md</w:t>
      </w:r>
      <w:r>
        <w:rPr>
          <w:rFonts w:eastAsia="Times New Roman"/>
        </w:rPr>
        <w:t>.</w:t>
      </w:r>
    </w:p>
    <w:p w14:paraId="5C6B7AB4" w14:textId="77777777" w:rsidR="00E62C65" w:rsidRDefault="00474360">
      <w:pPr>
        <w:pStyle w:val="Ttulo3"/>
      </w:pPr>
      <w:bookmarkStart w:id="21" w:name="_Toc238759957"/>
      <w:r>
        <w:rPr>
          <w:rFonts w:ascii="Times New Roman" w:eastAsia="Times New Roman" w:hAnsi="Times New Roman"/>
        </w:rPr>
        <w:t>3.3.1 Definição conceitual</w:t>
      </w:r>
      <w:bookmarkEnd w:id="21"/>
    </w:p>
    <w:p w14:paraId="224F4527" w14:textId="77777777" w:rsidR="00E62C65" w:rsidRDefault="00474360">
      <w:pPr>
        <w:pStyle w:val="CodeBlock"/>
        <w:shd w:val="clear" w:color="auto" w:fill="F2F2F2"/>
      </w:pPr>
      <w:r>
        <w:rPr>
          <w:rFonts w:eastAsia="Courier New"/>
        </w:rPr>
        <w:t xml:space="preserve">          DSS</w:t>
      </w:r>
      <w:r>
        <w:rPr>
          <w:rFonts w:eastAsia="Courier New"/>
        </w:rPr>
        <w:br/>
        <w:t xml:space="preserve">           │</w:t>
      </w:r>
      <w:r>
        <w:rPr>
          <w:rFonts w:eastAsia="Courier New"/>
        </w:rPr>
        <w:br/>
        <w:t xml:space="preserve">           ├──→ IV-DSS</w:t>
      </w:r>
      <w:r>
        <w:rPr>
          <w:rFonts w:eastAsia="Courier New"/>
        </w:rPr>
        <w:br/>
        <w:t xml:space="preserve">           │        └── caracteriza o nível agregado de vulnerabilidade social</w:t>
      </w:r>
      <w:r>
        <w:rPr>
          <w:rFonts w:eastAsia="Courier New"/>
        </w:rPr>
        <w:br/>
        <w:t xml:space="preserve">           │</w:t>
      </w:r>
      <w:r>
        <w:rPr>
          <w:rFonts w:eastAsia="Courier New"/>
        </w:rPr>
        <w:br/>
        <w:t xml:space="preserve">           └──→ Modelo de ML</w:t>
      </w:r>
      <w:r>
        <w:rPr>
          <w:rFonts w:eastAsia="Courier New"/>
        </w:rPr>
        <w:br/>
        <w:t xml:space="preserve">                    └── estima a propensão à descontinuidade do pré-natal</w:t>
      </w:r>
    </w:p>
    <w:p w14:paraId="561CA303" w14:textId="77777777" w:rsidR="00E62C65" w:rsidRDefault="00474360">
      <w:pPr>
        <w:spacing w:after="0" w:line="360" w:lineRule="auto"/>
        <w:ind w:firstLine="709"/>
        <w:jc w:val="both"/>
      </w:pPr>
      <w:r>
        <w:rPr>
          <w:rFonts w:eastAsia="Times New Roman"/>
          <w:b/>
        </w:rPr>
        <w:lastRenderedPageBreak/>
        <w:t>IV-DSS ≠ probabilidade de descontinuidade.</w:t>
      </w:r>
      <w:r>
        <w:rPr>
          <w:rFonts w:eastAsia="Times New Roman"/>
        </w:rPr>
        <w:t xml:space="preserve"> O índice responde a _"qual o nível de vulnerabilidade social da gestante segundo os DSS?"_; o modelo responde a _"qual a propensão à descontinuidade do pré-natal?"_.</w:t>
      </w:r>
    </w:p>
    <w:p w14:paraId="23A68C9F" w14:textId="77777777" w:rsidR="00E62C65" w:rsidRDefault="00474360">
      <w:pPr>
        <w:pStyle w:val="Ttulo3"/>
      </w:pPr>
      <w:bookmarkStart w:id="22" w:name="_Toc238759958"/>
      <w:r>
        <w:rPr>
          <w:rFonts w:ascii="Times New Roman" w:eastAsia="Times New Roman" w:hAnsi="Times New Roman"/>
        </w:rPr>
        <w:t>3.3.2 Estrutura (três níveis de agregação)</w:t>
      </w:r>
      <w:bookmarkEnd w:id="22"/>
    </w:p>
    <w:p w14:paraId="476D8421" w14:textId="77777777" w:rsidR="00E62C65" w:rsidRDefault="00474360">
      <w:pPr>
        <w:pStyle w:val="Commarcadores"/>
        <w:spacing w:line="360" w:lineRule="auto"/>
        <w:ind w:left="454" w:hanging="227"/>
      </w:pPr>
      <w:r>
        <w:rPr>
          <w:rFonts w:eastAsia="Times New Roman"/>
          <w:b/>
        </w:rPr>
        <w:t>Nível 1 — indicador → escore:</w:t>
      </w:r>
      <w:r>
        <w:rPr>
          <w:rFonts w:eastAsia="Times New Roman"/>
        </w:rPr>
        <w:t xml:space="preserve"> cada indicador selecionado é transformado em um escore de vulnerabilidade </w:t>
      </w:r>
      <w:r>
        <w:rPr>
          <w:rFonts w:ascii="Courier New" w:eastAsia="Courier New" w:hAnsi="Courier New"/>
          <w:sz w:val="22"/>
        </w:rPr>
        <w:t>v_i ∈ [0,1]</w:t>
      </w:r>
      <w:r>
        <w:rPr>
          <w:rFonts w:eastAsia="Times New Roman"/>
        </w:rPr>
        <w:t xml:space="preserve">, onde </w:t>
      </w:r>
      <w:r>
        <w:rPr>
          <w:rFonts w:eastAsia="Times New Roman"/>
          <w:b/>
        </w:rPr>
        <w:t>0 = menor vulnerabilidade</w:t>
      </w:r>
      <w:r>
        <w:rPr>
          <w:rFonts w:eastAsia="Times New Roman"/>
        </w:rPr>
        <w:t xml:space="preserve"> e </w:t>
      </w:r>
      <w:r>
        <w:rPr>
          <w:rFonts w:eastAsia="Times New Roman"/>
          <w:b/>
        </w:rPr>
        <w:t>1 = maior vulnerabilidade</w:t>
      </w:r>
      <w:r>
        <w:rPr>
          <w:rFonts w:eastAsia="Times New Roman"/>
        </w:rPr>
        <w:t>, segundo a operacionalização adotada.</w:t>
      </w:r>
    </w:p>
    <w:p w14:paraId="4F72D40F" w14:textId="77777777" w:rsidR="00E62C65" w:rsidRDefault="00474360">
      <w:pPr>
        <w:pStyle w:val="Commarcadores"/>
        <w:spacing w:line="360" w:lineRule="auto"/>
        <w:ind w:left="454" w:hanging="227"/>
      </w:pPr>
      <w:r>
        <w:rPr>
          <w:rFonts w:eastAsia="Times New Roman"/>
          <w:b/>
        </w:rPr>
        <w:t>Nível 2 — dimensão:</w:t>
      </w:r>
      <w:r>
        <w:rPr>
          <w:rFonts w:eastAsia="Times New Roman"/>
        </w:rPr>
        <w:t xml:space="preserve"> </w:t>
      </w:r>
      <w:r>
        <w:rPr>
          <w:rFonts w:ascii="Courier New" w:eastAsia="Courier New" w:hAnsi="Courier New"/>
          <w:sz w:val="22"/>
        </w:rPr>
        <w:t>D_d</w:t>
      </w:r>
      <w:r>
        <w:rPr>
          <w:rFonts w:eastAsia="Times New Roman"/>
        </w:rPr>
        <w:t xml:space="preserve"> agrega os escores dos indicadores </w:t>
      </w:r>
      <w:r>
        <w:rPr>
          <w:rFonts w:eastAsia="Times New Roman"/>
          <w:b/>
        </w:rPr>
        <w:t>válidos</w:t>
      </w:r>
      <w:r>
        <w:rPr>
          <w:rFonts w:eastAsia="Times New Roman"/>
        </w:rPr>
        <w:t xml:space="preserve"> da dimensão </w:t>
      </w:r>
      <w:r>
        <w:rPr>
          <w:rFonts w:ascii="Courier New" w:eastAsia="Courier New" w:hAnsi="Courier New"/>
          <w:sz w:val="22"/>
        </w:rPr>
        <w:t>d</w:t>
      </w:r>
      <w:r>
        <w:rPr>
          <w:rFonts w:eastAsia="Times New Roman"/>
        </w:rPr>
        <w:t>.</w:t>
      </w:r>
    </w:p>
    <w:p w14:paraId="033E16C6" w14:textId="77777777" w:rsidR="00E62C65" w:rsidRDefault="00474360">
      <w:pPr>
        <w:pStyle w:val="Commarcadores"/>
        <w:spacing w:line="360" w:lineRule="auto"/>
        <w:ind w:left="454" w:hanging="227"/>
      </w:pPr>
      <w:r>
        <w:rPr>
          <w:rFonts w:eastAsia="Times New Roman"/>
          <w:b/>
        </w:rPr>
        <w:t>Nível 3 — índice:</w:t>
      </w:r>
      <w:r>
        <w:rPr>
          <w:rFonts w:eastAsia="Times New Roman"/>
        </w:rPr>
        <w:t xml:space="preserve"> média aritmética das seis dimensões, com </w:t>
      </w:r>
      <w:r>
        <w:rPr>
          <w:rFonts w:eastAsia="Times New Roman"/>
          <w:b/>
        </w:rPr>
        <w:t>pesos iguais</w:t>
      </w:r>
      <w:r>
        <w:rPr>
          <w:rFonts w:eastAsia="Times New Roman"/>
        </w:rPr>
        <w:t>.</w:t>
      </w:r>
      <w:r>
        <w:t xml:space="preserve"> A Figura 3 apresenta essa estrutura de agregação.</w:t>
      </w:r>
    </w:p>
    <w:p w14:paraId="7FFC5CCD" w14:textId="77777777" w:rsidR="00E62C65" w:rsidRDefault="00474360">
      <w:pPr>
        <w:pStyle w:val="CodeBlock"/>
        <w:shd w:val="clear" w:color="auto" w:fill="F2F2F2"/>
      </w:pPr>
      <w:r>
        <w:rPr>
          <w:rFonts w:eastAsia="Courier New"/>
        </w:rPr>
        <w:t>D_d     = agregação dos v_i válidos da dimensão d</w:t>
      </w:r>
      <w:r>
        <w:rPr>
          <w:rFonts w:eastAsia="Courier New"/>
        </w:rPr>
        <w:br/>
      </w:r>
      <w:r>
        <w:rPr>
          <w:rFonts w:eastAsia="Courier New"/>
        </w:rPr>
        <w:br/>
        <w:t>IV-DSS  = (1/6) · Σ_{d=1}^{6} D_d</w:t>
      </w:r>
    </w:p>
    <w:p w14:paraId="0F81317E" w14:textId="77777777" w:rsidR="00E62C65" w:rsidRDefault="00474360">
      <w:pPr>
        <w:spacing w:after="0" w:line="360" w:lineRule="auto"/>
        <w:ind w:firstLine="709"/>
        <w:jc w:val="both"/>
      </w:pPr>
      <w:r>
        <w:rPr>
          <w:rFonts w:eastAsia="Times New Roman"/>
        </w:rPr>
        <w:t>onde:</w:t>
      </w:r>
    </w:p>
    <w:p w14:paraId="6A54737B" w14:textId="77777777" w:rsidR="00E62C65" w:rsidRDefault="00474360">
      <w:pPr>
        <w:pStyle w:val="Commarcadores"/>
        <w:spacing w:line="360" w:lineRule="auto"/>
        <w:ind w:left="454" w:hanging="227"/>
      </w:pPr>
      <w:r>
        <w:rPr>
          <w:rFonts w:ascii="Courier New" w:eastAsia="Courier New" w:hAnsi="Courier New"/>
          <w:sz w:val="22"/>
        </w:rPr>
        <w:t>v_i</w:t>
      </w:r>
      <w:r>
        <w:rPr>
          <w:rFonts w:eastAsia="Times New Roman"/>
        </w:rPr>
        <w:t xml:space="preserve"> = escore de vulnerabilidade do indicador </w:t>
      </w:r>
      <w:r>
        <w:rPr>
          <w:rFonts w:ascii="Courier New" w:eastAsia="Courier New" w:hAnsi="Courier New"/>
          <w:sz w:val="22"/>
        </w:rPr>
        <w:t>i</w:t>
      </w:r>
      <w:r>
        <w:rPr>
          <w:rFonts w:eastAsia="Times New Roman"/>
        </w:rPr>
        <w:t>;</w:t>
      </w:r>
    </w:p>
    <w:p w14:paraId="44DF252D" w14:textId="77777777" w:rsidR="00E62C65" w:rsidRDefault="00474360">
      <w:pPr>
        <w:pStyle w:val="Commarcadores"/>
        <w:spacing w:line="360" w:lineRule="auto"/>
        <w:ind w:left="454" w:hanging="227"/>
      </w:pPr>
      <w:r>
        <w:rPr>
          <w:rFonts w:ascii="Courier New" w:eastAsia="Courier New" w:hAnsi="Courier New"/>
          <w:sz w:val="22"/>
        </w:rPr>
        <w:t>D_d</w:t>
      </w:r>
      <w:r>
        <w:rPr>
          <w:rFonts w:eastAsia="Times New Roman"/>
        </w:rPr>
        <w:t xml:space="preserve"> = escore da dimensão </w:t>
      </w:r>
      <w:r>
        <w:rPr>
          <w:rFonts w:ascii="Courier New" w:eastAsia="Courier New" w:hAnsi="Courier New"/>
          <w:sz w:val="22"/>
        </w:rPr>
        <w:t>d</w:t>
      </w:r>
      <w:r>
        <w:rPr>
          <w:rFonts w:eastAsia="Times New Roman"/>
        </w:rPr>
        <w:t>.</w:t>
      </w:r>
    </w:p>
    <w:p w14:paraId="3FA213FA" w14:textId="77777777" w:rsidR="00E62C65" w:rsidRDefault="00474360">
      <w:pPr>
        <w:spacing w:after="0" w:line="360" w:lineRule="auto"/>
        <w:ind w:firstLine="709"/>
        <w:jc w:val="both"/>
      </w:pPr>
      <w:r>
        <w:rPr>
          <w:rFonts w:eastAsia="Times New Roman"/>
          <w:b/>
        </w:rPr>
        <w:t>Regras de separação entre ML e IV-DSS:</w:t>
      </w:r>
    </w:p>
    <w:p w14:paraId="47E5357C" w14:textId="77777777" w:rsidR="00E62C65" w:rsidRDefault="00474360">
      <w:pPr>
        <w:pStyle w:val="Commarcadores"/>
        <w:spacing w:line="360" w:lineRule="auto"/>
        <w:ind w:left="454" w:hanging="227"/>
      </w:pPr>
      <w:r>
        <w:rPr>
          <w:rFonts w:eastAsia="Times New Roman"/>
          <w:b/>
        </w:rPr>
        <w:t>NÃO</w:t>
      </w:r>
      <w:r>
        <w:rPr>
          <w:rFonts w:eastAsia="Times New Roman"/>
        </w:rPr>
        <w:t xml:space="preserve"> usar IV-DSS como target;</w:t>
      </w:r>
    </w:p>
    <w:p w14:paraId="3F41C3D1" w14:textId="77777777" w:rsidR="00E62C65" w:rsidRDefault="00474360">
      <w:pPr>
        <w:pStyle w:val="Commarcadores"/>
        <w:spacing w:line="360" w:lineRule="auto"/>
        <w:ind w:left="454" w:hanging="227"/>
      </w:pPr>
      <w:r>
        <w:rPr>
          <w:rFonts w:eastAsia="Times New Roman"/>
          <w:b/>
        </w:rPr>
        <w:t>NÃO</w:t>
      </w:r>
      <w:r>
        <w:rPr>
          <w:rFonts w:eastAsia="Times New Roman"/>
        </w:rPr>
        <w:t xml:space="preserve"> usar IV-DSS para gerar Y;</w:t>
      </w:r>
    </w:p>
    <w:p w14:paraId="590206BC" w14:textId="77777777" w:rsidR="00E62C65" w:rsidRDefault="00474360">
      <w:pPr>
        <w:pStyle w:val="Commarcadores"/>
        <w:spacing w:line="360" w:lineRule="auto"/>
        <w:ind w:left="454" w:hanging="227"/>
      </w:pPr>
      <w:r>
        <w:rPr>
          <w:rFonts w:eastAsia="Times New Roman"/>
          <w:b/>
        </w:rPr>
        <w:t>NÃO</w:t>
      </w:r>
      <w:r>
        <w:rPr>
          <w:rFonts w:eastAsia="Times New Roman"/>
        </w:rPr>
        <w:t xml:space="preserve"> usar IV-DSS como feature principal do ML;</w:t>
      </w:r>
    </w:p>
    <w:p w14:paraId="3DC94405" w14:textId="77777777" w:rsidR="00E62C65" w:rsidRDefault="00474360">
      <w:pPr>
        <w:pStyle w:val="Commarcadores"/>
        <w:spacing w:line="360" w:lineRule="auto"/>
        <w:ind w:left="454" w:hanging="227"/>
      </w:pPr>
      <w:r>
        <w:rPr>
          <w:rFonts w:eastAsia="Times New Roman"/>
        </w:rPr>
        <w:t xml:space="preserve">o IV-DSS poderá ser analisado em relação às previsões e ao Y, mas é calculado de forma </w:t>
      </w:r>
      <w:r>
        <w:rPr>
          <w:rFonts w:eastAsia="Times New Roman"/>
          <w:b/>
        </w:rPr>
        <w:t>independente</w:t>
      </w:r>
      <w:r>
        <w:rPr>
          <w:rFonts w:eastAsia="Times New Roman"/>
        </w:rPr>
        <w:t>.</w:t>
      </w:r>
    </w:p>
    <w:p w14:paraId="6D4358F8" w14:textId="77777777" w:rsidR="00114E20" w:rsidRDefault="00D41E34">
      <w:pPr>
        <w:jc w:val="center"/>
      </w:pPr>
      <w:r>
        <w:t>Figura 3 — Estrutura em três níveis de agregação do IV-DSS</w:t>
      </w:r>
    </w:p>
    <w:p w14:paraId="4BB9042D" w14:textId="77777777" w:rsidR="00114E20" w:rsidRDefault="00D41E34">
      <w:pPr>
        <w:jc w:val="center"/>
      </w:pPr>
      <w:r>
        <w:rPr>
          <w:noProof/>
        </w:rPr>
        <w:lastRenderedPageBreak/>
        <w:drawing>
          <wp:inline distT="0" distB="0" distL="0" distR="0" wp14:anchorId="3166D673" wp14:editId="513DCA8D">
            <wp:extent cx="5400000" cy="36223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iv_dss.png"/>
                    <pic:cNvPicPr/>
                  </pic:nvPicPr>
                  <pic:blipFill>
                    <a:blip r:embed="rId10"/>
                    <a:stretch>
                      <a:fillRect/>
                    </a:stretch>
                  </pic:blipFill>
                  <pic:spPr>
                    <a:xfrm>
                      <a:off x="0" y="0"/>
                      <a:ext cx="5400000" cy="3622382"/>
                    </a:xfrm>
                    <a:prstGeom prst="rect">
                      <a:avLst/>
                    </a:prstGeom>
                  </pic:spPr>
                </pic:pic>
              </a:graphicData>
            </a:graphic>
          </wp:inline>
        </w:drawing>
      </w:r>
    </w:p>
    <w:p w14:paraId="13E20359" w14:textId="77777777" w:rsidR="00114E20" w:rsidRDefault="00D41E34">
      <w:pPr>
        <w:jc w:val="center"/>
      </w:pPr>
      <w:r>
        <w:rPr>
          <w:sz w:val="18"/>
        </w:rPr>
        <w:t>Fonte: elaborado pelo autor.</w:t>
      </w:r>
    </w:p>
    <w:p w14:paraId="60A72E5E" w14:textId="77777777" w:rsidR="00E62C65" w:rsidRDefault="00474360">
      <w:pPr>
        <w:pStyle w:val="Ttulo3"/>
      </w:pPr>
      <w:bookmarkStart w:id="23" w:name="_Toc238759959"/>
      <w:r>
        <w:rPr>
          <w:rFonts w:ascii="Times New Roman" w:eastAsia="Times New Roman" w:hAnsi="Times New Roman"/>
        </w:rPr>
        <w:t>3.3.3 Indicadores e escores por dimensão</w:t>
      </w:r>
      <w:bookmarkEnd w:id="23"/>
    </w:p>
    <w:p w14:paraId="08AABF77" w14:textId="77777777" w:rsidR="00E62C65" w:rsidRDefault="00474360">
      <w:pPr>
        <w:spacing w:after="0" w:line="360" w:lineRule="auto"/>
        <w:ind w:firstLine="709"/>
        <w:jc w:val="both"/>
      </w:pPr>
      <w:r>
        <w:rPr>
          <w:rFonts w:eastAsia="Times New Roman"/>
          <w:b/>
        </w:rPr>
        <w:t>D_educacao</w:t>
      </w:r>
      <w:r>
        <w:rPr>
          <w:rFonts w:eastAsia="Times New Roman"/>
        </w:rPr>
        <w:t xml:space="preserve"> — indicador </w:t>
      </w:r>
      <w:r>
        <w:rPr>
          <w:rFonts w:ascii="Courier New" w:eastAsia="Courier New" w:hAnsi="Courier New"/>
          <w:sz w:val="22"/>
        </w:rPr>
        <w:t>escolaridade</w:t>
      </w:r>
      <w:r>
        <w:rPr>
          <w:rFonts w:eastAsia="Times New Roman"/>
        </w:rPr>
        <w:t xml:space="preserve"> (normalização ordinal, intervalos iguais operacionais):</w:t>
      </w:r>
    </w:p>
    <w:p w14:paraId="1980009D" w14:textId="77777777" w:rsidR="00E62C65" w:rsidRDefault="00474360">
      <w:pPr>
        <w:spacing w:after="0" w:line="360" w:lineRule="auto"/>
        <w:ind w:firstLine="709"/>
        <w:jc w:val="both"/>
      </w:pPr>
      <w:r>
        <w:rPr>
          <w:rFonts w:ascii="Courier New" w:eastAsia="Courier New" w:hAnsi="Courier New"/>
          <w:sz w:val="22"/>
        </w:rPr>
        <w:t>sem_instrucao</w:t>
      </w:r>
      <w:r>
        <w:rPr>
          <w:rFonts w:eastAsia="Times New Roman"/>
        </w:rPr>
        <w:t xml:space="preserve"> = 1.00 · </w:t>
      </w:r>
      <w:r>
        <w:rPr>
          <w:rFonts w:ascii="Courier New" w:eastAsia="Courier New" w:hAnsi="Courier New"/>
          <w:sz w:val="22"/>
        </w:rPr>
        <w:t>fundamental_incompleto</w:t>
      </w:r>
      <w:r>
        <w:rPr>
          <w:rFonts w:eastAsia="Times New Roman"/>
        </w:rPr>
        <w:t xml:space="preserve"> = 0.83 · </w:t>
      </w:r>
      <w:r>
        <w:rPr>
          <w:rFonts w:ascii="Courier New" w:eastAsia="Courier New" w:hAnsi="Courier New"/>
          <w:sz w:val="22"/>
        </w:rPr>
        <w:t>fundamental_completo</w:t>
      </w:r>
      <w:r>
        <w:rPr>
          <w:rFonts w:eastAsia="Times New Roman"/>
        </w:rPr>
        <w:t xml:space="preserve"> = 0.67 · </w:t>
      </w:r>
      <w:r>
        <w:rPr>
          <w:rFonts w:ascii="Courier New" w:eastAsia="Courier New" w:hAnsi="Courier New"/>
          <w:sz w:val="22"/>
        </w:rPr>
        <w:t>medio_incompleto</w:t>
      </w:r>
      <w:r>
        <w:rPr>
          <w:rFonts w:eastAsia="Times New Roman"/>
        </w:rPr>
        <w:t xml:space="preserve"> = 0.50 · </w:t>
      </w:r>
      <w:r>
        <w:rPr>
          <w:rFonts w:ascii="Courier New" w:eastAsia="Courier New" w:hAnsi="Courier New"/>
          <w:sz w:val="22"/>
        </w:rPr>
        <w:t>medio_completo</w:t>
      </w:r>
      <w:r>
        <w:rPr>
          <w:rFonts w:eastAsia="Times New Roman"/>
        </w:rPr>
        <w:t xml:space="preserve"> = 0.33 · </w:t>
      </w:r>
      <w:r>
        <w:rPr>
          <w:rFonts w:ascii="Courier New" w:eastAsia="Courier New" w:hAnsi="Courier New"/>
          <w:sz w:val="22"/>
        </w:rPr>
        <w:t>superior_incompleto</w:t>
      </w:r>
      <w:r>
        <w:rPr>
          <w:rFonts w:eastAsia="Times New Roman"/>
        </w:rPr>
        <w:t xml:space="preserve"> = 0.17 · </w:t>
      </w:r>
      <w:r>
        <w:rPr>
          <w:rFonts w:ascii="Courier New" w:eastAsia="Courier New" w:hAnsi="Courier New"/>
          <w:sz w:val="22"/>
        </w:rPr>
        <w:t>superior_completo</w:t>
      </w:r>
      <w:r>
        <w:rPr>
          <w:rFonts w:eastAsia="Times New Roman"/>
        </w:rPr>
        <w:t xml:space="preserve"> = 0.00.</w:t>
      </w:r>
    </w:p>
    <w:p w14:paraId="5EA44C58" w14:textId="77777777" w:rsidR="00E62C65" w:rsidRDefault="00474360">
      <w:pPr>
        <w:spacing w:after="0" w:line="360" w:lineRule="auto"/>
        <w:ind w:firstLine="709"/>
        <w:jc w:val="both"/>
      </w:pPr>
      <w:r>
        <w:rPr>
          <w:rFonts w:eastAsia="Times New Roman"/>
          <w:b/>
        </w:rPr>
        <w:t>D_trabalho_renda</w:t>
      </w:r>
      <w:r>
        <w:rPr>
          <w:rFonts w:eastAsia="Times New Roman"/>
        </w:rPr>
        <w:t xml:space="preserve"> — indicador </w:t>
      </w:r>
      <w:r>
        <w:rPr>
          <w:rFonts w:ascii="Courier New" w:eastAsia="Courier New" w:hAnsi="Courier New"/>
          <w:sz w:val="22"/>
        </w:rPr>
        <w:t>faixa_renda</w:t>
      </w:r>
      <w:r>
        <w:rPr>
          <w:rFonts w:eastAsia="Times New Roman"/>
        </w:rPr>
        <w:t xml:space="preserve"> (renda </w:t>
      </w:r>
      <w:r>
        <w:rPr>
          <w:rFonts w:eastAsia="Times New Roman"/>
          <w:b/>
        </w:rPr>
        <w:t>familiar</w:t>
      </w:r>
      <w:r>
        <w:rPr>
          <w:rFonts w:eastAsia="Times New Roman"/>
        </w:rPr>
        <w:t>, não per capita — limitação registrada):</w:t>
      </w:r>
    </w:p>
    <w:p w14:paraId="6011A67B" w14:textId="77777777" w:rsidR="00E62C65" w:rsidRDefault="00474360">
      <w:pPr>
        <w:spacing w:after="0" w:line="360" w:lineRule="auto"/>
        <w:ind w:firstLine="709"/>
        <w:jc w:val="both"/>
      </w:pPr>
      <w:r>
        <w:rPr>
          <w:rFonts w:ascii="Courier New" w:eastAsia="Courier New" w:hAnsi="Courier New"/>
          <w:sz w:val="22"/>
        </w:rPr>
        <w:t>ate_1_sm</w:t>
      </w:r>
      <w:r>
        <w:rPr>
          <w:rFonts w:eastAsia="Times New Roman"/>
        </w:rPr>
        <w:t xml:space="preserve"> = 1.00 · </w:t>
      </w:r>
      <w:r>
        <w:rPr>
          <w:rFonts w:ascii="Courier New" w:eastAsia="Courier New" w:hAnsi="Courier New"/>
          <w:sz w:val="22"/>
        </w:rPr>
        <w:t>entre_1_2_sm</w:t>
      </w:r>
      <w:r>
        <w:rPr>
          <w:rFonts w:eastAsia="Times New Roman"/>
        </w:rPr>
        <w:t xml:space="preserve"> = 0.67 · </w:t>
      </w:r>
      <w:r>
        <w:rPr>
          <w:rFonts w:ascii="Courier New" w:eastAsia="Courier New" w:hAnsi="Courier New"/>
          <w:sz w:val="22"/>
        </w:rPr>
        <w:t>entre_2_3_sm</w:t>
      </w:r>
      <w:r>
        <w:rPr>
          <w:rFonts w:eastAsia="Times New Roman"/>
        </w:rPr>
        <w:t xml:space="preserve"> = 0.33 · </w:t>
      </w:r>
      <w:r>
        <w:rPr>
          <w:rFonts w:ascii="Courier New" w:eastAsia="Courier New" w:hAnsi="Courier New"/>
          <w:sz w:val="22"/>
        </w:rPr>
        <w:t>mais_3_sm</w:t>
      </w:r>
      <w:r>
        <w:rPr>
          <w:rFonts w:eastAsia="Times New Roman"/>
        </w:rPr>
        <w:t xml:space="preserve"> = 0.00 · </w:t>
      </w:r>
      <w:r>
        <w:rPr>
          <w:rFonts w:ascii="Courier New" w:eastAsia="Courier New" w:hAnsi="Courier New"/>
          <w:sz w:val="22"/>
        </w:rPr>
        <w:t>nao_informar</w:t>
      </w:r>
      <w:r>
        <w:rPr>
          <w:rFonts w:eastAsia="Times New Roman"/>
        </w:rPr>
        <w:t xml:space="preserve"> = missing (não pontua).</w:t>
      </w:r>
    </w:p>
    <w:p w14:paraId="202CA6B6" w14:textId="77777777" w:rsidR="00E62C65" w:rsidRDefault="00474360">
      <w:pPr>
        <w:spacing w:after="0" w:line="360" w:lineRule="auto"/>
        <w:ind w:firstLine="709"/>
        <w:jc w:val="both"/>
      </w:pPr>
      <w:r>
        <w:rPr>
          <w:rFonts w:eastAsia="Times New Roman"/>
          <w:b/>
        </w:rPr>
        <w:t>D_saneamento</w:t>
      </w:r>
      <w:r>
        <w:rPr>
          <w:rFonts w:eastAsia="Times New Roman"/>
        </w:rPr>
        <w:t xml:space="preserve"> — média de três componentes (</w:t>
      </w:r>
      <w:r>
        <w:rPr>
          <w:rFonts w:ascii="Courier New" w:eastAsia="Courier New" w:hAnsi="Courier New"/>
          <w:sz w:val="22"/>
        </w:rPr>
        <w:t>C_agua</w:t>
      </w:r>
      <w:r>
        <w:rPr>
          <w:rFonts w:eastAsia="Times New Roman"/>
        </w:rPr>
        <w:t xml:space="preserve">, </w:t>
      </w:r>
      <w:r>
        <w:rPr>
          <w:rFonts w:ascii="Courier New" w:eastAsia="Courier New" w:hAnsi="Courier New"/>
          <w:sz w:val="22"/>
        </w:rPr>
        <w:t>C_esgotamento</w:t>
      </w:r>
      <w:r>
        <w:rPr>
          <w:rFonts w:eastAsia="Times New Roman"/>
        </w:rPr>
        <w:t xml:space="preserve">, </w:t>
      </w:r>
      <w:r>
        <w:rPr>
          <w:rFonts w:ascii="Courier New" w:eastAsia="Courier New" w:hAnsi="Courier New"/>
          <w:sz w:val="22"/>
        </w:rPr>
        <w:t>C_residuos</w:t>
      </w:r>
      <w:r>
        <w:rPr>
          <w:rFonts w:eastAsia="Times New Roman"/>
        </w:rPr>
        <w:t>), exigindo pelo menos 2/3 válidos:</w:t>
      </w:r>
    </w:p>
    <w:p w14:paraId="6C04486A" w14:textId="77777777" w:rsidR="00E62C65" w:rsidRDefault="00474360">
      <w:pPr>
        <w:pStyle w:val="Commarcadores"/>
        <w:spacing w:line="360" w:lineRule="auto"/>
        <w:ind w:left="454" w:hanging="227"/>
      </w:pPr>
      <w:r>
        <w:rPr>
          <w:rFonts w:ascii="Courier New" w:eastAsia="Courier New" w:hAnsi="Courier New"/>
          <w:sz w:val="22"/>
        </w:rPr>
        <w:t>C_agua</w:t>
      </w:r>
      <w:r>
        <w:rPr>
          <w:rFonts w:eastAsia="Times New Roman"/>
        </w:rPr>
        <w:t xml:space="preserve"> = média de </w:t>
      </w:r>
      <w:r>
        <w:rPr>
          <w:rFonts w:ascii="Courier New" w:eastAsia="Courier New" w:hAnsi="Courier New"/>
          <w:sz w:val="22"/>
        </w:rPr>
        <w:t>fonte_agua</w:t>
      </w:r>
      <w:r>
        <w:rPr>
          <w:rFonts w:eastAsia="Times New Roman"/>
        </w:rPr>
        <w:t xml:space="preserve"> (</w:t>
      </w:r>
      <w:r>
        <w:rPr>
          <w:rFonts w:ascii="Courier New" w:eastAsia="Courier New" w:hAnsi="Courier New"/>
          <w:sz w:val="22"/>
        </w:rPr>
        <w:t>rede_publica</w:t>
      </w:r>
      <w:r>
        <w:rPr>
          <w:rFonts w:eastAsia="Times New Roman"/>
        </w:rPr>
        <w:t>/</w:t>
      </w:r>
      <w:r>
        <w:rPr>
          <w:rFonts w:ascii="Courier New" w:eastAsia="Courier New" w:hAnsi="Courier New"/>
          <w:sz w:val="22"/>
        </w:rPr>
        <w:t>poco_nascente</w:t>
      </w:r>
      <w:r>
        <w:rPr>
          <w:rFonts w:eastAsia="Times New Roman"/>
        </w:rPr>
        <w:t xml:space="preserve"> = 0; </w:t>
      </w:r>
      <w:r>
        <w:rPr>
          <w:rFonts w:ascii="Courier New" w:eastAsia="Courier New" w:hAnsi="Courier New"/>
          <w:sz w:val="22"/>
        </w:rPr>
        <w:t>carro_pipa</w:t>
      </w:r>
      <w:r>
        <w:rPr>
          <w:rFonts w:eastAsia="Times New Roman"/>
        </w:rPr>
        <w:t xml:space="preserve"> = 1; </w:t>
      </w:r>
      <w:r>
        <w:rPr>
          <w:rFonts w:ascii="Courier New" w:eastAsia="Courier New" w:hAnsi="Courier New"/>
          <w:sz w:val="22"/>
        </w:rPr>
        <w:t>cisterna</w:t>
      </w:r>
      <w:r>
        <w:rPr>
          <w:rFonts w:eastAsia="Times New Roman"/>
        </w:rPr>
        <w:t>/</w:t>
      </w:r>
      <w:r>
        <w:rPr>
          <w:rFonts w:ascii="Courier New" w:eastAsia="Courier New" w:hAnsi="Courier New"/>
          <w:sz w:val="22"/>
        </w:rPr>
        <w:t>outra</w:t>
      </w:r>
      <w:r>
        <w:rPr>
          <w:rFonts w:eastAsia="Times New Roman"/>
        </w:rPr>
        <w:t xml:space="preserve"> = missing analítico), </w:t>
      </w:r>
      <w:r>
        <w:rPr>
          <w:rFonts w:ascii="Courier New" w:eastAsia="Courier New" w:hAnsi="Courier New"/>
          <w:sz w:val="22"/>
        </w:rPr>
        <w:t>itens_residencia.agua_encanada</w:t>
      </w:r>
      <w:r>
        <w:rPr>
          <w:rFonts w:eastAsia="Times New Roman"/>
        </w:rPr>
        <w:t xml:space="preserve"> (presente = 0; ausente = 1) e </w:t>
      </w:r>
      <w:r>
        <w:rPr>
          <w:rFonts w:ascii="Courier New" w:eastAsia="Courier New" w:hAnsi="Courier New"/>
          <w:sz w:val="22"/>
        </w:rPr>
        <w:t>interrupcoes_agua</w:t>
      </w:r>
      <w:r>
        <w:rPr>
          <w:rFonts w:eastAsia="Times New Roman"/>
        </w:rPr>
        <w:t xml:space="preserve"> (false = 0; true = 1), exigindo pelo menos 2/3 válidos.</w:t>
      </w:r>
    </w:p>
    <w:p w14:paraId="7B5B0277" w14:textId="77777777" w:rsidR="00E62C65" w:rsidRDefault="00474360">
      <w:pPr>
        <w:pStyle w:val="Commarcadores"/>
        <w:spacing w:line="360" w:lineRule="auto"/>
        <w:ind w:left="454" w:hanging="227"/>
      </w:pPr>
      <w:r>
        <w:rPr>
          <w:rFonts w:ascii="Courier New" w:eastAsia="Courier New" w:hAnsi="Courier New"/>
          <w:sz w:val="22"/>
        </w:rPr>
        <w:t>C_esgotamento</w:t>
      </w:r>
      <w:r>
        <w:rPr>
          <w:rFonts w:eastAsia="Times New Roman"/>
        </w:rPr>
        <w:t xml:space="preserve"> = </w:t>
      </w:r>
      <w:r>
        <w:rPr>
          <w:rFonts w:ascii="Courier New" w:eastAsia="Courier New" w:hAnsi="Courier New"/>
          <w:sz w:val="22"/>
        </w:rPr>
        <w:t>rede_coletora</w:t>
      </w:r>
      <w:r>
        <w:rPr>
          <w:rFonts w:eastAsia="Times New Roman"/>
        </w:rPr>
        <w:t>/</w:t>
      </w:r>
      <w:r>
        <w:rPr>
          <w:rFonts w:ascii="Courier New" w:eastAsia="Courier New" w:hAnsi="Courier New"/>
          <w:sz w:val="22"/>
        </w:rPr>
        <w:t>fossa_septica</w:t>
      </w:r>
      <w:r>
        <w:rPr>
          <w:rFonts w:eastAsia="Times New Roman"/>
        </w:rPr>
        <w:t xml:space="preserve"> = 0; </w:t>
      </w:r>
      <w:r>
        <w:rPr>
          <w:rFonts w:ascii="Courier New" w:eastAsia="Courier New" w:hAnsi="Courier New"/>
          <w:sz w:val="22"/>
        </w:rPr>
        <w:t>ceu_aberto</w:t>
      </w:r>
      <w:r>
        <w:rPr>
          <w:rFonts w:eastAsia="Times New Roman"/>
        </w:rPr>
        <w:t xml:space="preserve"> = 1; </w:t>
      </w:r>
      <w:r>
        <w:rPr>
          <w:rFonts w:ascii="Courier New" w:eastAsia="Courier New" w:hAnsi="Courier New"/>
          <w:sz w:val="22"/>
        </w:rPr>
        <w:t>outro</w:t>
      </w:r>
      <w:r>
        <w:rPr>
          <w:rFonts w:eastAsia="Times New Roman"/>
        </w:rPr>
        <w:t xml:space="preserve"> = missing analítico.</w:t>
      </w:r>
    </w:p>
    <w:p w14:paraId="6D7A8816" w14:textId="77777777" w:rsidR="00E62C65" w:rsidRDefault="00474360">
      <w:pPr>
        <w:pStyle w:val="Commarcadores"/>
        <w:spacing w:line="360" w:lineRule="auto"/>
        <w:ind w:left="454" w:hanging="227"/>
      </w:pPr>
      <w:r>
        <w:rPr>
          <w:rFonts w:ascii="Courier New" w:eastAsia="Courier New" w:hAnsi="Courier New"/>
          <w:sz w:val="22"/>
        </w:rPr>
        <w:lastRenderedPageBreak/>
        <w:t>C_residuos</w:t>
      </w:r>
      <w:r>
        <w:rPr>
          <w:rFonts w:eastAsia="Times New Roman"/>
        </w:rPr>
        <w:t xml:space="preserve"> = </w:t>
      </w:r>
      <w:r>
        <w:rPr>
          <w:rFonts w:ascii="Courier New" w:eastAsia="Courier New" w:hAnsi="Courier New"/>
          <w:sz w:val="22"/>
        </w:rPr>
        <w:t>frequencia_coleta_lixo</w:t>
      </w:r>
      <w:r>
        <w:rPr>
          <w:rFonts w:eastAsia="Times New Roman"/>
        </w:rPr>
        <w:t xml:space="preserve"> (</w:t>
      </w:r>
      <w:r>
        <w:rPr>
          <w:rFonts w:ascii="Courier New" w:eastAsia="Courier New" w:hAnsi="Courier New"/>
          <w:sz w:val="22"/>
        </w:rPr>
        <w:t>regular</w:t>
      </w:r>
      <w:r>
        <w:rPr>
          <w:rFonts w:eastAsia="Times New Roman"/>
        </w:rPr>
        <w:t xml:space="preserve"> = 0; </w:t>
      </w:r>
      <w:r>
        <w:rPr>
          <w:rFonts w:ascii="Courier New" w:eastAsia="Courier New" w:hAnsi="Courier New"/>
          <w:sz w:val="22"/>
        </w:rPr>
        <w:t>irregular</w:t>
      </w:r>
      <w:r>
        <w:rPr>
          <w:rFonts w:eastAsia="Times New Roman"/>
        </w:rPr>
        <w:t xml:space="preserve"> = 0.5; </w:t>
      </w:r>
      <w:r>
        <w:rPr>
          <w:rFonts w:ascii="Courier New" w:eastAsia="Courier New" w:hAnsi="Courier New"/>
          <w:sz w:val="22"/>
        </w:rPr>
        <w:t>nao_possui</w:t>
      </w:r>
      <w:r>
        <w:rPr>
          <w:rFonts w:eastAsia="Times New Roman"/>
        </w:rPr>
        <w:t xml:space="preserve"> = 1) combinada com </w:t>
      </w:r>
      <w:r>
        <w:rPr>
          <w:rFonts w:ascii="Courier New" w:eastAsia="Courier New" w:hAnsi="Courier New"/>
          <w:sz w:val="22"/>
        </w:rPr>
        <w:t>destino_lixo_sem_coleta</w:t>
      </w:r>
      <w:r>
        <w:rPr>
          <w:rFonts w:eastAsia="Times New Roman"/>
        </w:rPr>
        <w:t xml:space="preserve"> (</w:t>
      </w:r>
      <w:r>
        <w:rPr>
          <w:rFonts w:ascii="Courier New" w:eastAsia="Courier New" w:hAnsi="Courier New"/>
          <w:sz w:val="22"/>
        </w:rPr>
        <w:t>aguarda_proxima_coleta</w:t>
      </w:r>
      <w:r>
        <w:rPr>
          <w:rFonts w:eastAsia="Times New Roman"/>
        </w:rPr>
        <w:t xml:space="preserve"> = 0; </w:t>
      </w:r>
      <w:r>
        <w:rPr>
          <w:rFonts w:ascii="Courier New" w:eastAsia="Courier New" w:hAnsi="Courier New"/>
          <w:sz w:val="22"/>
        </w:rPr>
        <w:t>queima</w:t>
      </w:r>
      <w:r>
        <w:rPr>
          <w:rFonts w:eastAsia="Times New Roman"/>
        </w:rPr>
        <w:t>/</w:t>
      </w:r>
      <w:r>
        <w:rPr>
          <w:rFonts w:ascii="Courier New" w:eastAsia="Courier New" w:hAnsi="Courier New"/>
          <w:sz w:val="22"/>
        </w:rPr>
        <w:t>enterra</w:t>
      </w:r>
      <w:r>
        <w:rPr>
          <w:rFonts w:eastAsia="Times New Roman"/>
        </w:rPr>
        <w:t>/</w:t>
      </w:r>
      <w:r>
        <w:rPr>
          <w:rFonts w:ascii="Courier New" w:eastAsia="Courier New" w:hAnsi="Courier New"/>
          <w:sz w:val="22"/>
        </w:rPr>
        <w:t>terreno_baldio</w:t>
      </w:r>
      <w:r>
        <w:rPr>
          <w:rFonts w:eastAsia="Times New Roman"/>
        </w:rPr>
        <w:t xml:space="preserve"> = 1).</w:t>
      </w:r>
    </w:p>
    <w:p w14:paraId="10C3B3C0" w14:textId="77777777" w:rsidR="00E62C65" w:rsidRDefault="00474360">
      <w:pPr>
        <w:spacing w:after="0" w:line="360" w:lineRule="auto"/>
        <w:ind w:firstLine="709"/>
        <w:jc w:val="both"/>
      </w:pPr>
      <w:r>
        <w:rPr>
          <w:rFonts w:eastAsia="Times New Roman"/>
          <w:b/>
        </w:rPr>
        <w:t>D_acesso_saude</w:t>
      </w:r>
      <w:r>
        <w:rPr>
          <w:rFonts w:eastAsia="Times New Roman"/>
        </w:rPr>
        <w:t xml:space="preserve"> — </w:t>
      </w:r>
      <w:r>
        <w:rPr>
          <w:rFonts w:ascii="Courier New" w:eastAsia="Courier New" w:hAnsi="Courier New"/>
          <w:sz w:val="22"/>
        </w:rPr>
        <w:t>(C_distancia + C_barreiras) / 2</w:t>
      </w:r>
      <w:r>
        <w:rPr>
          <w:rFonts w:eastAsia="Times New Roman"/>
        </w:rPr>
        <w:t xml:space="preserve"> (exige 2/2):</w:t>
      </w:r>
    </w:p>
    <w:p w14:paraId="3ED374B0" w14:textId="77777777" w:rsidR="00E62C65" w:rsidRDefault="00474360">
      <w:pPr>
        <w:pStyle w:val="Commarcadores"/>
        <w:spacing w:line="360" w:lineRule="auto"/>
        <w:ind w:left="454" w:hanging="227"/>
      </w:pPr>
      <w:r>
        <w:rPr>
          <w:rFonts w:ascii="Courier New" w:eastAsia="Courier New" w:hAnsi="Courier New"/>
          <w:sz w:val="22"/>
        </w:rPr>
        <w:t>C_distancia</w:t>
      </w:r>
      <w:r>
        <w:rPr>
          <w:rFonts w:eastAsia="Times New Roman"/>
        </w:rPr>
        <w:t xml:space="preserve"> = </w:t>
      </w:r>
      <w:r>
        <w:rPr>
          <w:rFonts w:ascii="Courier New" w:eastAsia="Courier New" w:hAnsi="Courier New"/>
          <w:sz w:val="22"/>
        </w:rPr>
        <w:t>muito_proxima</w:t>
      </w:r>
      <w:r>
        <w:rPr>
          <w:rFonts w:eastAsia="Times New Roman"/>
        </w:rPr>
        <w:t xml:space="preserve"> = 0; </w:t>
      </w:r>
      <w:r>
        <w:rPr>
          <w:rFonts w:ascii="Courier New" w:eastAsia="Courier New" w:hAnsi="Courier New"/>
          <w:sz w:val="22"/>
        </w:rPr>
        <w:t>razoavelmente_proxima</w:t>
      </w:r>
      <w:r>
        <w:rPr>
          <w:rFonts w:eastAsia="Times New Roman"/>
        </w:rPr>
        <w:t xml:space="preserve"> = 0.5; </w:t>
      </w:r>
      <w:r>
        <w:rPr>
          <w:rFonts w:ascii="Courier New" w:eastAsia="Courier New" w:hAnsi="Courier New"/>
          <w:sz w:val="22"/>
        </w:rPr>
        <w:t>distante</w:t>
      </w:r>
      <w:r>
        <w:rPr>
          <w:rFonts w:eastAsia="Times New Roman"/>
        </w:rPr>
        <w:t xml:space="preserve"> = 1.</w:t>
      </w:r>
    </w:p>
    <w:p w14:paraId="513056A8" w14:textId="77777777" w:rsidR="00E62C65" w:rsidRDefault="00474360">
      <w:pPr>
        <w:pStyle w:val="Commarcadores"/>
        <w:spacing w:line="360" w:lineRule="auto"/>
        <w:ind w:left="454" w:hanging="227"/>
      </w:pPr>
      <w:r>
        <w:rPr>
          <w:rFonts w:ascii="Courier New" w:eastAsia="Courier New" w:hAnsi="Courier New"/>
          <w:sz w:val="22"/>
        </w:rPr>
        <w:t>C_barreiras</w:t>
      </w:r>
      <w:r>
        <w:rPr>
          <w:rFonts w:eastAsia="Times New Roman"/>
        </w:rPr>
        <w:t xml:space="preserve"> = </w:t>
      </w:r>
      <w:r>
        <w:rPr>
          <w:rFonts w:ascii="Courier New" w:eastAsia="Courier New" w:hAnsi="Courier New"/>
          <w:sz w:val="22"/>
        </w:rPr>
        <w:t>(transporte + organizacao + disponibilidade) / 3</w:t>
      </w:r>
      <w:r>
        <w:rPr>
          <w:rFonts w:eastAsia="Times New Roman"/>
        </w:rPr>
        <w:t xml:space="preserve">, onde os domínios de </w:t>
      </w:r>
      <w:r>
        <w:rPr>
          <w:rFonts w:ascii="Courier New" w:eastAsia="Courier New" w:hAnsi="Courier New"/>
          <w:sz w:val="22"/>
        </w:rPr>
        <w:t>dificuldades_saude</w:t>
      </w:r>
      <w:r>
        <w:rPr>
          <w:rFonts w:eastAsia="Times New Roman"/>
        </w:rPr>
        <w:t xml:space="preserve"> são: </w:t>
      </w:r>
      <w:r>
        <w:rPr>
          <w:rFonts w:eastAsia="Times New Roman"/>
          <w:b/>
        </w:rPr>
        <w:t>transporte</w:t>
      </w:r>
      <w:r>
        <w:rPr>
          <w:rFonts w:eastAsia="Times New Roman"/>
        </w:rPr>
        <w:t xml:space="preserve"> (</w:t>
      </w:r>
      <w:r>
        <w:rPr>
          <w:rFonts w:ascii="Courier New" w:eastAsia="Courier New" w:hAnsi="Courier New"/>
          <w:sz w:val="22"/>
        </w:rPr>
        <w:t>falta_transporte</w:t>
      </w:r>
      <w:r>
        <w:rPr>
          <w:rFonts w:eastAsia="Times New Roman"/>
        </w:rPr>
        <w:t xml:space="preserve">), </w:t>
      </w:r>
      <w:r>
        <w:rPr>
          <w:rFonts w:eastAsia="Times New Roman"/>
          <w:b/>
        </w:rPr>
        <w:t>organização</w:t>
      </w:r>
      <w:r>
        <w:rPr>
          <w:rFonts w:eastAsia="Times New Roman"/>
        </w:rPr>
        <w:t xml:space="preserve"> (</w:t>
      </w:r>
      <w:r>
        <w:rPr>
          <w:rFonts w:ascii="Courier New" w:eastAsia="Courier New" w:hAnsi="Courier New"/>
          <w:sz w:val="22"/>
        </w:rPr>
        <w:t>dificuldade_agendamento</w:t>
      </w:r>
      <w:r>
        <w:rPr>
          <w:rFonts w:eastAsia="Times New Roman"/>
        </w:rPr>
        <w:t xml:space="preserve">, </w:t>
      </w:r>
      <w:r>
        <w:rPr>
          <w:rFonts w:ascii="Courier New" w:eastAsia="Courier New" w:hAnsi="Courier New"/>
          <w:sz w:val="22"/>
        </w:rPr>
        <w:t>demora_atendimento</w:t>
      </w:r>
      <w:r>
        <w:rPr>
          <w:rFonts w:eastAsia="Times New Roman"/>
        </w:rPr>
        <w:t xml:space="preserve">, </w:t>
      </w:r>
      <w:r>
        <w:rPr>
          <w:rFonts w:ascii="Courier New" w:eastAsia="Courier New" w:hAnsi="Courier New"/>
          <w:sz w:val="22"/>
        </w:rPr>
        <w:t>horario_incompativel</w:t>
      </w:r>
      <w:r>
        <w:rPr>
          <w:rFonts w:eastAsia="Times New Roman"/>
        </w:rPr>
        <w:t xml:space="preserve">), </w:t>
      </w:r>
      <w:r>
        <w:rPr>
          <w:rFonts w:eastAsia="Times New Roman"/>
          <w:b/>
        </w:rPr>
        <w:t>disponibilidade</w:t>
      </w:r>
      <w:r>
        <w:rPr>
          <w:rFonts w:eastAsia="Times New Roman"/>
        </w:rPr>
        <w:t xml:space="preserve"> (</w:t>
      </w:r>
      <w:r>
        <w:rPr>
          <w:rFonts w:ascii="Courier New" w:eastAsia="Courier New" w:hAnsi="Courier New"/>
          <w:sz w:val="22"/>
        </w:rPr>
        <w:t>falta_profissional</w:t>
      </w:r>
      <w:r>
        <w:rPr>
          <w:rFonts w:eastAsia="Times New Roman"/>
        </w:rPr>
        <w:t xml:space="preserve">, </w:t>
      </w:r>
      <w:r>
        <w:rPr>
          <w:rFonts w:ascii="Courier New" w:eastAsia="Courier New" w:hAnsi="Courier New"/>
          <w:sz w:val="22"/>
        </w:rPr>
        <w:t>falta_exames</w:t>
      </w:r>
      <w:r>
        <w:rPr>
          <w:rFonts w:eastAsia="Times New Roman"/>
        </w:rPr>
        <w:t xml:space="preserve">); cada domínio presente = 1, ausente = 0; </w:t>
      </w:r>
      <w:r>
        <w:rPr>
          <w:rFonts w:ascii="Courier New" w:eastAsia="Courier New" w:hAnsi="Courier New"/>
          <w:sz w:val="22"/>
        </w:rPr>
        <w:t>sem_dificuldades</w:t>
      </w:r>
      <w:r>
        <w:rPr>
          <w:rFonts w:eastAsia="Times New Roman"/>
        </w:rPr>
        <w:t xml:space="preserve"> = 0.</w:t>
      </w:r>
    </w:p>
    <w:p w14:paraId="46795940" w14:textId="77777777" w:rsidR="00E62C65" w:rsidRDefault="00474360">
      <w:pPr>
        <w:spacing w:after="0" w:line="360" w:lineRule="auto"/>
        <w:ind w:firstLine="709"/>
        <w:jc w:val="both"/>
      </w:pPr>
      <w:r>
        <w:rPr>
          <w:rFonts w:eastAsia="Times New Roman"/>
          <w:b/>
        </w:rPr>
        <w:t>D_habitacao</w:t>
      </w:r>
      <w:r>
        <w:rPr>
          <w:rFonts w:eastAsia="Times New Roman"/>
        </w:rPr>
        <w:t xml:space="preserve"> — indicador </w:t>
      </w:r>
      <w:r>
        <w:rPr>
          <w:rFonts w:ascii="Courier New" w:eastAsia="Courier New" w:hAnsi="Courier New"/>
          <w:sz w:val="22"/>
        </w:rPr>
        <w:t>adensamento_habitacional</w:t>
      </w:r>
      <w:r>
        <w:rPr>
          <w:rFonts w:eastAsia="Times New Roman"/>
        </w:rPr>
        <w:t xml:space="preserve"> (derivado no pipeline Python, sem alterar o Flutter):</w:t>
      </w:r>
    </w:p>
    <w:p w14:paraId="3861CD82" w14:textId="77777777" w:rsidR="00E62C65" w:rsidRDefault="00474360">
      <w:pPr>
        <w:spacing w:after="0" w:line="360" w:lineRule="auto"/>
        <w:ind w:firstLine="709"/>
        <w:jc w:val="both"/>
      </w:pPr>
      <w:r>
        <w:rPr>
          <w:rFonts w:ascii="Courier New" w:eastAsia="Courier New" w:hAnsi="Courier New"/>
          <w:sz w:val="22"/>
        </w:rPr>
        <w:t>adensamento = numero_pessoas / numero_dormitorios</w:t>
      </w:r>
      <w:r>
        <w:rPr>
          <w:rFonts w:eastAsia="Times New Roman"/>
        </w:rPr>
        <w:t xml:space="preserve"> — </w:t>
      </w:r>
      <w:r>
        <w:rPr>
          <w:rFonts w:ascii="Courier New" w:eastAsia="Courier New" w:hAnsi="Courier New"/>
          <w:sz w:val="22"/>
        </w:rPr>
        <w:t>≤ 2</w:t>
      </w:r>
      <w:r>
        <w:rPr>
          <w:rFonts w:eastAsia="Times New Roman"/>
        </w:rPr>
        <w:t xml:space="preserve"> = 0.00 · </w:t>
      </w:r>
      <w:r>
        <w:rPr>
          <w:rFonts w:ascii="Courier New" w:eastAsia="Courier New" w:hAnsi="Courier New"/>
          <w:sz w:val="22"/>
        </w:rPr>
        <w:t>&gt; 2 e ≤ 3</w:t>
      </w:r>
      <w:r>
        <w:rPr>
          <w:rFonts w:eastAsia="Times New Roman"/>
        </w:rPr>
        <w:t xml:space="preserve"> = 0.50 · </w:t>
      </w:r>
      <w:r>
        <w:rPr>
          <w:rFonts w:ascii="Courier New" w:eastAsia="Courier New" w:hAnsi="Courier New"/>
          <w:sz w:val="22"/>
        </w:rPr>
        <w:t>&gt; 3</w:t>
      </w:r>
      <w:r>
        <w:rPr>
          <w:rFonts w:eastAsia="Times New Roman"/>
        </w:rPr>
        <w:t xml:space="preserve"> = 1.00. Em análise de sensibilidade já executada, comparou-se o critério binário </w:t>
      </w:r>
      <w:r>
        <w:rPr>
          <w:rFonts w:ascii="Courier New" w:eastAsia="Courier New" w:hAnsi="Courier New"/>
          <w:sz w:val="22"/>
        </w:rPr>
        <w:t>&gt; 3</w:t>
      </w:r>
      <w:r>
        <w:rPr>
          <w:rFonts w:eastAsia="Times New Roman"/>
        </w:rPr>
        <w:t xml:space="preserve"> = 1; </w:t>
      </w:r>
      <w:r>
        <w:rPr>
          <w:rFonts w:ascii="Courier New" w:eastAsia="Courier New" w:hAnsi="Courier New"/>
          <w:sz w:val="22"/>
        </w:rPr>
        <w:t>≤ 3</w:t>
      </w:r>
      <w:r>
        <w:rPr>
          <w:rFonts w:eastAsia="Times New Roman"/>
        </w:rPr>
        <w:t xml:space="preserve"> = 0.</w:t>
      </w:r>
    </w:p>
    <w:p w14:paraId="1B15C53A" w14:textId="77777777" w:rsidR="00E62C65" w:rsidRDefault="00474360">
      <w:pPr>
        <w:spacing w:after="0" w:line="360" w:lineRule="auto"/>
        <w:ind w:firstLine="709"/>
        <w:jc w:val="both"/>
      </w:pPr>
      <w:r>
        <w:rPr>
          <w:rFonts w:eastAsia="Times New Roman"/>
          <w:b/>
        </w:rPr>
        <w:t>D_alimentacao</w:t>
      </w:r>
      <w:r>
        <w:rPr>
          <w:rFonts w:eastAsia="Times New Roman"/>
        </w:rPr>
        <w:t xml:space="preserve"> — indicador </w:t>
      </w:r>
      <w:r>
        <w:rPr>
          <w:rFonts w:ascii="Courier New" w:eastAsia="Courier New" w:hAnsi="Courier New"/>
          <w:sz w:val="22"/>
        </w:rPr>
        <w:t>deixou_de_comer_falta_dinheiro</w:t>
      </w:r>
      <w:r>
        <w:rPr>
          <w:rFonts w:eastAsia="Times New Roman"/>
        </w:rPr>
        <w:t xml:space="preserve"> (</w:t>
      </w:r>
      <w:r>
        <w:rPr>
          <w:rFonts w:ascii="Courier New" w:eastAsia="Courier New" w:hAnsi="Courier New"/>
          <w:sz w:val="22"/>
        </w:rPr>
        <w:t>false</w:t>
      </w:r>
      <w:r>
        <w:rPr>
          <w:rFonts w:eastAsia="Times New Roman"/>
        </w:rPr>
        <w:t xml:space="preserve"> = 0; </w:t>
      </w:r>
      <w:r>
        <w:rPr>
          <w:rFonts w:ascii="Courier New" w:eastAsia="Courier New" w:hAnsi="Courier New"/>
          <w:sz w:val="22"/>
        </w:rPr>
        <w:t>true</w:t>
      </w:r>
      <w:r>
        <w:rPr>
          <w:rFonts w:eastAsia="Times New Roman"/>
        </w:rPr>
        <w:t xml:space="preserve"> = 1; </w:t>
      </w:r>
      <w:r>
        <w:rPr>
          <w:rFonts w:ascii="Courier New" w:eastAsia="Courier New" w:hAnsi="Courier New"/>
          <w:sz w:val="22"/>
        </w:rPr>
        <w:t>null</w:t>
      </w:r>
      <w:r>
        <w:rPr>
          <w:rFonts w:eastAsia="Times New Roman"/>
        </w:rPr>
        <w:t xml:space="preserve"> = missing). Descrição recomendada: </w:t>
      </w:r>
      <w:r>
        <w:rPr>
          <w:rFonts w:eastAsia="Times New Roman"/>
          <w:i/>
        </w:rPr>
        <w:t>"indicador de experiência autorrelatada de privação alimentar associada à insuficiência de recursos financeiros nos três meses anteriores."</w:t>
      </w:r>
      <w:r>
        <w:rPr>
          <w:rFonts w:eastAsia="Times New Roman"/>
        </w:rPr>
        <w:t xml:space="preserve"> </w:t>
      </w:r>
      <w:r>
        <w:rPr>
          <w:rFonts w:eastAsia="Times New Roman"/>
          <w:b/>
        </w:rPr>
        <w:t>Não</w:t>
      </w:r>
      <w:r>
        <w:rPr>
          <w:rFonts w:eastAsia="Times New Roman"/>
        </w:rPr>
        <w:t xml:space="preserve"> afirmar que constitui aplicação da EBIA ou da FIES.</w:t>
      </w:r>
    </w:p>
    <w:p w14:paraId="2D3C031C" w14:textId="77777777" w:rsidR="00E62C65" w:rsidRDefault="00474360">
      <w:pPr>
        <w:spacing w:after="0" w:line="360" w:lineRule="auto"/>
        <w:ind w:firstLine="709"/>
        <w:jc w:val="both"/>
      </w:pPr>
      <w:r>
        <w:rPr>
          <w:rFonts w:eastAsia="Times New Roman"/>
          <w:b/>
        </w:rPr>
        <w:t>Fora do IV-DSS (e por quê):</w:t>
      </w:r>
      <w:r>
        <w:rPr>
          <w:rFonts w:eastAsia="Times New Roman"/>
        </w:rPr>
        <w:t xml:space="preserve"> as 5 variáveis de leakage (4.7), as 5 temporais (4.7), as 2 descritivas (</w:t>
      </w:r>
      <w:r>
        <w:rPr>
          <w:rFonts w:ascii="Courier New" w:eastAsia="Courier New" w:hAnsi="Courier New"/>
          <w:sz w:val="22"/>
        </w:rPr>
        <w:t>cuidados_vetores</w:t>
      </w:r>
      <w:r>
        <w:rPr>
          <w:rFonts w:eastAsia="Times New Roman"/>
        </w:rPr>
        <w:t xml:space="preserve">, </w:t>
      </w:r>
      <w:r>
        <w:rPr>
          <w:rFonts w:ascii="Courier New" w:eastAsia="Courier New" w:hAnsi="Courier New"/>
          <w:sz w:val="22"/>
        </w:rPr>
        <w:t>melhorias_desejadas</w:t>
      </w:r>
      <w:r>
        <w:rPr>
          <w:rFonts w:eastAsia="Times New Roman"/>
        </w:rPr>
        <w:t>) e as 2 de sensibilidade (</w:t>
      </w:r>
      <w:r>
        <w:rPr>
          <w:rFonts w:ascii="Courier New" w:eastAsia="Courier New" w:hAnsi="Courier New"/>
          <w:sz w:val="22"/>
        </w:rPr>
        <w:t>problema_saude_agua</w:t>
      </w:r>
      <w:r>
        <w:rPr>
          <w:rFonts w:eastAsia="Times New Roman"/>
        </w:rPr>
        <w:t xml:space="preserve">, </w:t>
      </w:r>
      <w:r>
        <w:rPr>
          <w:rFonts w:ascii="Courier New" w:eastAsia="Courier New" w:hAnsi="Courier New"/>
          <w:sz w:val="22"/>
        </w:rPr>
        <w:t>facil_acesso_saude</w:t>
      </w:r>
      <w:r>
        <w:rPr>
          <w:rFonts w:eastAsia="Times New Roman"/>
        </w:rPr>
        <w:t xml:space="preserve">). </w:t>
      </w:r>
      <w:r>
        <w:rPr>
          <w:rFonts w:ascii="Courier New" w:eastAsia="Courier New" w:hAnsi="Courier New"/>
          <w:sz w:val="22"/>
        </w:rPr>
        <w:t>acesso_ubs</w:t>
      </w:r>
      <w:r>
        <w:rPr>
          <w:rFonts w:eastAsia="Times New Roman"/>
        </w:rPr>
        <w:t xml:space="preserve"> e </w:t>
      </w:r>
      <w:r>
        <w:rPr>
          <w:rFonts w:ascii="Courier New" w:eastAsia="Courier New" w:hAnsi="Courier New"/>
          <w:sz w:val="22"/>
        </w:rPr>
        <w:t>cadastrada_ubs</w:t>
      </w:r>
      <w:r>
        <w:rPr>
          <w:rFonts w:eastAsia="Times New Roman"/>
        </w:rPr>
        <w:t xml:space="preserve"> permanecem disponíveis ao ML como variáveis nominais, mas </w:t>
      </w:r>
      <w:r>
        <w:rPr>
          <w:rFonts w:eastAsia="Times New Roman"/>
          <w:b/>
        </w:rPr>
        <w:t>não</w:t>
      </w:r>
      <w:r>
        <w:rPr>
          <w:rFonts w:eastAsia="Times New Roman"/>
        </w:rPr>
        <w:t xml:space="preserve"> pontuam no IV-DSS.</w:t>
      </w:r>
    </w:p>
    <w:p w14:paraId="7250161F" w14:textId="77777777" w:rsidR="00E62C65" w:rsidRDefault="00474360">
      <w:pPr>
        <w:pStyle w:val="Ttulo3"/>
      </w:pPr>
      <w:bookmarkStart w:id="24" w:name="_Toc238759960"/>
      <w:r>
        <w:rPr>
          <w:rFonts w:ascii="Times New Roman" w:eastAsia="Times New Roman" w:hAnsi="Times New Roman"/>
        </w:rPr>
        <w:t>3.3.4 Pesos</w:t>
      </w:r>
      <w:bookmarkEnd w:id="24"/>
    </w:p>
    <w:p w14:paraId="056D9202" w14:textId="77777777" w:rsidR="00E62C65" w:rsidRDefault="00474360">
      <w:pPr>
        <w:spacing w:after="0" w:line="360" w:lineRule="auto"/>
        <w:ind w:firstLine="709"/>
        <w:jc w:val="both"/>
      </w:pPr>
      <w:r>
        <w:rPr>
          <w:rFonts w:eastAsia="Times New Roman"/>
        </w:rPr>
        <w:t xml:space="preserve">Na ausência de evidência empírica que sustente pesos diferenciados entre as dimensões, este estudo adota </w:t>
      </w:r>
      <w:r>
        <w:rPr>
          <w:rFonts w:eastAsia="Times New Roman"/>
          <w:b/>
        </w:rPr>
        <w:t>pesos iguais (1/6)</w:t>
      </w:r>
      <w:r>
        <w:rPr>
          <w:rFonts w:eastAsia="Times New Roman"/>
        </w:rPr>
        <w:t xml:space="preserve"> como opção metodológica transparente e parcimoniosa. Essa escolha é </w:t>
      </w:r>
      <w:r>
        <w:rPr>
          <w:rFonts w:eastAsia="Times New Roman"/>
          <w:b/>
        </w:rPr>
        <w:t>explícita</w:t>
      </w:r>
      <w:r>
        <w:rPr>
          <w:rFonts w:eastAsia="Times New Roman"/>
        </w:rPr>
        <w:t xml:space="preserve"> e será submetida à análise de sensibilidade. O OECD/JRC é citado como referência geral para construção de indicadores compostos (normalização, ponderação, agregação e análise de sensibilidade), sem que o peso igual seja tratado como regra universal por ele determinada.</w:t>
      </w:r>
    </w:p>
    <w:p w14:paraId="57871C2F" w14:textId="77777777" w:rsidR="00E62C65" w:rsidRDefault="00474360">
      <w:pPr>
        <w:pStyle w:val="Ttulo3"/>
      </w:pPr>
      <w:bookmarkStart w:id="25" w:name="_Toc238759961"/>
      <w:r>
        <w:rPr>
          <w:rFonts w:ascii="Times New Roman" w:eastAsia="Times New Roman" w:hAnsi="Times New Roman"/>
        </w:rPr>
        <w:lastRenderedPageBreak/>
        <w:t>3.3.5 Escala e interpretação</w:t>
      </w:r>
      <w:bookmarkEnd w:id="25"/>
    </w:p>
    <w:p w14:paraId="75511F85" w14:textId="77777777" w:rsidR="00E62C65" w:rsidRDefault="00474360">
      <w:pPr>
        <w:pStyle w:val="Commarcadores"/>
        <w:spacing w:line="360" w:lineRule="auto"/>
        <w:ind w:left="454" w:hanging="227"/>
      </w:pPr>
      <w:r>
        <w:rPr>
          <w:rFonts w:eastAsia="Times New Roman"/>
          <w:b/>
        </w:rPr>
        <w:t>Saída principal:</w:t>
      </w:r>
      <w:r>
        <w:rPr>
          <w:rFonts w:eastAsia="Times New Roman"/>
        </w:rPr>
        <w:t xml:space="preserve"> IV-DSS contínuo no intervalo </w:t>
      </w:r>
      <w:r>
        <w:rPr>
          <w:rFonts w:ascii="Courier New" w:eastAsia="Courier New" w:hAnsi="Courier New"/>
          <w:sz w:val="22"/>
        </w:rPr>
        <w:t>[0,1]</w:t>
      </w:r>
      <w:r>
        <w:rPr>
          <w:rFonts w:eastAsia="Times New Roman"/>
        </w:rPr>
        <w:t>.</w:t>
      </w:r>
    </w:p>
    <w:p w14:paraId="44333976" w14:textId="77777777" w:rsidR="00E62C65" w:rsidRDefault="00474360">
      <w:pPr>
        <w:pStyle w:val="Commarcadores"/>
        <w:spacing w:line="360" w:lineRule="auto"/>
        <w:ind w:left="454" w:hanging="227"/>
      </w:pPr>
      <w:r>
        <w:rPr>
          <w:rFonts w:eastAsia="Times New Roman"/>
          <w:b/>
        </w:rPr>
        <w:t>Não</w:t>
      </w:r>
      <w:r>
        <w:rPr>
          <w:rFonts w:eastAsia="Times New Roman"/>
        </w:rPr>
        <w:t xml:space="preserve"> criar pontos de corte absolutos de baixa/média/alta vulnerabilidade.</w:t>
      </w:r>
    </w:p>
    <w:p w14:paraId="7C303F5A" w14:textId="77777777" w:rsidR="00E62C65" w:rsidRDefault="00474360">
      <w:pPr>
        <w:pStyle w:val="Commarcadores"/>
        <w:spacing w:line="360" w:lineRule="auto"/>
        <w:ind w:left="454" w:hanging="227"/>
      </w:pPr>
      <w:r>
        <w:rPr>
          <w:rFonts w:eastAsia="Times New Roman"/>
        </w:rPr>
        <w:t xml:space="preserve">Caso seja necessária categorização apenas para </w:t>
      </w:r>
      <w:r>
        <w:rPr>
          <w:rFonts w:eastAsia="Times New Roman"/>
          <w:b/>
        </w:rPr>
        <w:t>visualização/descrição</w:t>
      </w:r>
      <w:r>
        <w:rPr>
          <w:rFonts w:eastAsia="Times New Roman"/>
        </w:rPr>
        <w:t xml:space="preserve">, utilizar </w:t>
      </w:r>
      <w:r>
        <w:rPr>
          <w:rFonts w:eastAsia="Times New Roman"/>
          <w:b/>
        </w:rPr>
        <w:t>quantis relativos à amostra</w:t>
      </w:r>
      <w:r>
        <w:rPr>
          <w:rFonts w:eastAsia="Times New Roman"/>
        </w:rPr>
        <w:t>.</w:t>
      </w:r>
    </w:p>
    <w:p w14:paraId="61FB5794" w14:textId="77777777" w:rsidR="00E62C65" w:rsidRDefault="00474360">
      <w:pPr>
        <w:pStyle w:val="Commarcadores"/>
        <w:spacing w:line="360" w:lineRule="auto"/>
        <w:ind w:left="454" w:hanging="227"/>
      </w:pPr>
      <w:r>
        <w:rPr>
          <w:rFonts w:eastAsia="Times New Roman"/>
        </w:rPr>
        <w:t xml:space="preserve">Essas categorias por quantis são </w:t>
      </w:r>
      <w:r>
        <w:rPr>
          <w:rFonts w:eastAsia="Times New Roman"/>
          <w:b/>
        </w:rPr>
        <w:t>amostrais</w:t>
      </w:r>
      <w:r>
        <w:rPr>
          <w:rFonts w:eastAsia="Times New Roman"/>
        </w:rPr>
        <w:t xml:space="preserve"> e </w:t>
      </w:r>
      <w:r>
        <w:rPr>
          <w:rFonts w:eastAsia="Times New Roman"/>
          <w:b/>
        </w:rPr>
        <w:t>não</w:t>
      </w:r>
      <w:r>
        <w:rPr>
          <w:rFonts w:eastAsia="Times New Roman"/>
        </w:rPr>
        <w:t xml:space="preserve"> representam pontos de corte clínicos, epidemiológicos ou validados.</w:t>
      </w:r>
    </w:p>
    <w:p w14:paraId="025BBA96" w14:textId="77777777" w:rsidR="00E62C65" w:rsidRDefault="00474360">
      <w:pPr>
        <w:pStyle w:val="Ttulo3"/>
      </w:pPr>
      <w:bookmarkStart w:id="26" w:name="_Toc238759962"/>
      <w:r>
        <w:rPr>
          <w:rFonts w:ascii="Times New Roman" w:eastAsia="Times New Roman" w:hAnsi="Times New Roman"/>
        </w:rPr>
        <w:t>3.3.6 Política de missing e validade</w:t>
      </w:r>
      <w:bookmarkEnd w:id="26"/>
    </w:p>
    <w:p w14:paraId="1411BC99" w14:textId="77777777" w:rsidR="00E62C65" w:rsidRDefault="00474360">
      <w:pPr>
        <w:spacing w:after="0" w:line="360" w:lineRule="auto"/>
        <w:ind w:firstLine="709"/>
        <w:jc w:val="both"/>
      </w:pPr>
      <w:r>
        <w:rPr>
          <w:rFonts w:ascii="Courier New" w:eastAsia="Courier New" w:hAnsi="Courier New"/>
          <w:sz w:val="22"/>
        </w:rPr>
        <w:t>missing ≠ 0</w:t>
      </w:r>
      <w:r>
        <w:rPr>
          <w:rFonts w:eastAsia="Times New Roman"/>
        </w:rPr>
        <w:t xml:space="preserve">, </w:t>
      </w:r>
      <w:r>
        <w:rPr>
          <w:rFonts w:ascii="Courier New" w:eastAsia="Courier New" w:hAnsi="Courier New"/>
          <w:sz w:val="22"/>
        </w:rPr>
        <w:t>missing ≠ 0.5</w:t>
      </w:r>
      <w:r>
        <w:rPr>
          <w:rFonts w:eastAsia="Times New Roman"/>
        </w:rPr>
        <w:t xml:space="preserve">, </w:t>
      </w:r>
      <w:r>
        <w:rPr>
          <w:rFonts w:ascii="Courier New" w:eastAsia="Courier New" w:hAnsi="Courier New"/>
          <w:sz w:val="22"/>
        </w:rPr>
        <w:t>missing ≠ vulnerabilidade intermediária</w:t>
      </w:r>
      <w:r>
        <w:rPr>
          <w:rFonts w:eastAsia="Times New Roman"/>
        </w:rPr>
        <w:t xml:space="preserve">. Distinguir resposta ausente, não aplicável estrutural (condicional do schema) e categoria válida porém analiticamente indeterminada. </w:t>
      </w:r>
      <w:r>
        <w:rPr>
          <w:rFonts w:eastAsia="Times New Roman"/>
          <w:b/>
        </w:rPr>
        <w:t>Não</w:t>
      </w:r>
      <w:r>
        <w:rPr>
          <w:rFonts w:eastAsia="Times New Roman"/>
        </w:rPr>
        <w:t xml:space="preserve"> imputar automaticamente. O </w:t>
      </w:r>
      <w:r>
        <w:rPr>
          <w:rFonts w:eastAsia="Times New Roman"/>
          <w:b/>
        </w:rPr>
        <w:t>IV-DSS principal exige 6/6 dimensões válidas</w:t>
      </w:r>
      <w:r>
        <w:rPr>
          <w:rFonts w:eastAsia="Times New Roman"/>
        </w:rPr>
        <w:t xml:space="preserve">; caso contrário, </w:t>
      </w:r>
      <w:r>
        <w:rPr>
          <w:rFonts w:ascii="Courier New" w:eastAsia="Courier New" w:hAnsi="Courier New"/>
          <w:sz w:val="22"/>
        </w:rPr>
        <w:t>IV-DSS = não calculável</w:t>
      </w:r>
      <w:r>
        <w:rPr>
          <w:rFonts w:eastAsia="Times New Roman"/>
        </w:rPr>
        <w:t xml:space="preserve"> (não calcular silenciosamente a média das dimensões restantes). O </w:t>
      </w:r>
      <w:r>
        <w:rPr>
          <w:rFonts w:ascii="Courier New" w:eastAsia="Courier New" w:hAnsi="Courier New"/>
          <w:sz w:val="22"/>
        </w:rPr>
        <w:t>iv_dss_parcial</w:t>
      </w:r>
      <w:r>
        <w:rPr>
          <w:rFonts w:eastAsia="Times New Roman"/>
        </w:rPr>
        <w:t xml:space="preserve"> com cobertura 5/6 é calculado como resultado auxiliar.</w:t>
      </w:r>
    </w:p>
    <w:p w14:paraId="077D0497" w14:textId="77777777" w:rsidR="00E62C65" w:rsidRDefault="00474360">
      <w:pPr>
        <w:pStyle w:val="Ttulo3"/>
      </w:pPr>
      <w:bookmarkStart w:id="27" w:name="_Toc238759963"/>
      <w:r>
        <w:rPr>
          <w:rFonts w:ascii="Times New Roman" w:eastAsia="Times New Roman" w:hAnsi="Times New Roman"/>
        </w:rPr>
        <w:t>3.3.7 Análises de sensibilidade</w:t>
      </w:r>
      <w:bookmarkEnd w:id="27"/>
    </w:p>
    <w:p w14:paraId="6225D884" w14:textId="77777777" w:rsidR="00E62C65" w:rsidRDefault="00474360">
      <w:pPr>
        <w:spacing w:after="0" w:line="360" w:lineRule="auto"/>
        <w:ind w:firstLine="709"/>
        <w:jc w:val="both"/>
      </w:pPr>
      <w:r>
        <w:rPr>
          <w:rFonts w:eastAsia="Times New Roman"/>
        </w:rPr>
        <w:t xml:space="preserve">A agregação principal é </w:t>
      </w:r>
      <w:r>
        <w:rPr>
          <w:rFonts w:eastAsia="Times New Roman"/>
          <w:b/>
        </w:rPr>
        <w:t>aritmética</w:t>
      </w:r>
      <w:r>
        <w:rPr>
          <w:rFonts w:eastAsia="Times New Roman"/>
        </w:rPr>
        <w:t xml:space="preserve"> (não usar geométrica como primeira alternativa, pois dimensões podem assumir 0).</w:t>
      </w:r>
    </w:p>
    <w:p w14:paraId="60F01A9D" w14:textId="77777777" w:rsidR="00E62C65" w:rsidRDefault="00474360">
      <w:pPr>
        <w:spacing w:after="0" w:line="360" w:lineRule="auto"/>
        <w:ind w:firstLine="709"/>
        <w:jc w:val="both"/>
      </w:pPr>
      <w:r>
        <w:rPr>
          <w:rFonts w:eastAsia="Times New Roman"/>
          <w:b/>
        </w:rPr>
        <w:t>Já executado:</w:t>
      </w:r>
      <w:r>
        <w:rPr>
          <w:rFonts w:eastAsia="Times New Roman"/>
        </w:rPr>
        <w:t xml:space="preserve"> a análise de sensibilidade do </w:t>
      </w:r>
      <w:r>
        <w:rPr>
          <w:rFonts w:eastAsia="Times New Roman"/>
          <w:b/>
        </w:rPr>
        <w:t>adensamento habitacional</w:t>
      </w:r>
      <w:r>
        <w:rPr>
          <w:rFonts w:eastAsia="Times New Roman"/>
        </w:rPr>
        <w:t xml:space="preserve"> comparou o critério em três níveis (</w:t>
      </w:r>
      <w:r>
        <w:rPr>
          <w:rFonts w:ascii="Courier New" w:eastAsia="Courier New" w:hAnsi="Courier New"/>
          <w:sz w:val="22"/>
        </w:rPr>
        <w:t>≤ 2</w:t>
      </w:r>
      <w:r>
        <w:rPr>
          <w:rFonts w:eastAsia="Times New Roman"/>
        </w:rPr>
        <w:t xml:space="preserve"> / </w:t>
      </w:r>
      <w:r>
        <w:rPr>
          <w:rFonts w:ascii="Courier New" w:eastAsia="Courier New" w:hAnsi="Courier New"/>
          <w:sz w:val="22"/>
        </w:rPr>
        <w:t>&gt; 2 e ≤ 3</w:t>
      </w:r>
      <w:r>
        <w:rPr>
          <w:rFonts w:eastAsia="Times New Roman"/>
        </w:rPr>
        <w:t xml:space="preserve"> / </w:t>
      </w:r>
      <w:r>
        <w:rPr>
          <w:rFonts w:ascii="Courier New" w:eastAsia="Courier New" w:hAnsi="Courier New"/>
          <w:sz w:val="22"/>
        </w:rPr>
        <w:t>&gt; 3</w:t>
      </w:r>
      <w:r>
        <w:rPr>
          <w:rFonts w:eastAsia="Times New Roman"/>
        </w:rPr>
        <w:t xml:space="preserve">), usado no índice principal, com o critério </w:t>
      </w:r>
      <w:r>
        <w:rPr>
          <w:rFonts w:eastAsia="Times New Roman"/>
          <w:b/>
        </w:rPr>
        <w:t>binário</w:t>
      </w:r>
      <w:r>
        <w:rPr>
          <w:rFonts w:eastAsia="Times New Roman"/>
        </w:rPr>
        <w:t xml:space="preserve"> (</w:t>
      </w:r>
      <w:r>
        <w:rPr>
          <w:rFonts w:ascii="Courier New" w:eastAsia="Courier New" w:hAnsi="Courier New"/>
          <w:sz w:val="22"/>
        </w:rPr>
        <w:t>&gt; 3</w:t>
      </w:r>
      <w:r>
        <w:rPr>
          <w:rFonts w:eastAsia="Times New Roman"/>
        </w:rPr>
        <w:t>), como variante alternativa; ambas as versões foram calculadas sobre os registros sintéticos.</w:t>
      </w:r>
    </w:p>
    <w:p w14:paraId="7639F0FE" w14:textId="77777777" w:rsidR="00E62C65" w:rsidRDefault="00474360">
      <w:pPr>
        <w:spacing w:after="0" w:line="360" w:lineRule="auto"/>
        <w:ind w:firstLine="709"/>
        <w:jc w:val="both"/>
      </w:pPr>
      <w:r>
        <w:rPr>
          <w:rFonts w:eastAsia="Times New Roman"/>
          <w:b/>
        </w:rPr>
        <w:t>Ainda planejado (não executado):</w:t>
      </w:r>
      <w:r>
        <w:rPr>
          <w:rFonts w:eastAsia="Times New Roman"/>
        </w:rPr>
        <w:t xml:space="preserve"> normalização alternativa da </w:t>
      </w:r>
      <w:r>
        <w:rPr>
          <w:rFonts w:ascii="Courier New" w:eastAsia="Courier New" w:hAnsi="Courier New"/>
          <w:sz w:val="22"/>
        </w:rPr>
        <w:t>escolaridade</w:t>
      </w:r>
      <w:r>
        <w:rPr>
          <w:rFonts w:eastAsia="Times New Roman"/>
        </w:rPr>
        <w:t xml:space="preserve">; perturbações nos pesos; possível componente ocupacional; e agregação menos compensatória justificável. O objetivo de toda análise de sensibilidade é testar </w:t>
      </w:r>
      <w:r>
        <w:rPr>
          <w:rFonts w:eastAsia="Times New Roman"/>
          <w:b/>
        </w:rPr>
        <w:t>robustez</w:t>
      </w:r>
      <w:r>
        <w:rPr>
          <w:rFonts w:eastAsia="Times New Roman"/>
        </w:rPr>
        <w:t xml:space="preserve"> — não escolher a posteriori a versão com "melhor resultado".</w:t>
      </w:r>
    </w:p>
    <w:p w14:paraId="27DF390F" w14:textId="77777777" w:rsidR="00E62C65" w:rsidRDefault="00474360">
      <w:pPr>
        <w:pStyle w:val="Ttulo2"/>
      </w:pPr>
      <w:bookmarkStart w:id="28" w:name="_Toc238759964"/>
      <w:r>
        <w:rPr>
          <w:rFonts w:ascii="Times New Roman" w:eastAsia="Times New Roman" w:hAnsi="Times New Roman"/>
        </w:rPr>
        <w:t>3.4 Modelagem dos dados</w:t>
      </w:r>
      <w:bookmarkEnd w:id="28"/>
    </w:p>
    <w:p w14:paraId="399CC6CC" w14:textId="77777777" w:rsidR="00E62C65" w:rsidRDefault="00474360">
      <w:pPr>
        <w:spacing w:after="0" w:line="360" w:lineRule="auto"/>
        <w:ind w:firstLine="709"/>
        <w:jc w:val="both"/>
      </w:pPr>
      <w:r>
        <w:rPr>
          <w:rFonts w:eastAsia="Times New Roman"/>
        </w:rPr>
        <w:t>Contrato de dados canônico e versionado (</w:t>
      </w:r>
      <w:r>
        <w:rPr>
          <w:rFonts w:ascii="Courier New" w:eastAsia="Courier New" w:hAnsi="Courier New"/>
          <w:sz w:val="22"/>
        </w:rPr>
        <w:t>schema_version = '1.13'</w:t>
      </w:r>
      <w:r>
        <w:rPr>
          <w:rFonts w:eastAsia="Times New Roman"/>
        </w:rPr>
        <w:t>), com códigos canônicos (</w:t>
      </w:r>
      <w:r>
        <w:rPr>
          <w:rFonts w:ascii="Courier New" w:eastAsia="Courier New" w:hAnsi="Courier New"/>
          <w:sz w:val="22"/>
        </w:rPr>
        <w:t>snake_case</w:t>
      </w:r>
      <w:r>
        <w:rPr>
          <w:rFonts w:eastAsia="Times New Roman"/>
        </w:rPr>
        <w:t xml:space="preserve">) separados dos rótulos de UI. </w:t>
      </w:r>
      <w:r>
        <w:rPr>
          <w:rFonts w:ascii="Courier New" w:eastAsia="Courier New" w:hAnsi="Courier New"/>
          <w:sz w:val="22"/>
        </w:rPr>
        <w:t>FormularioData.toMap()</w:t>
      </w:r>
      <w:r>
        <w:rPr>
          <w:rFonts w:eastAsia="Times New Roman"/>
        </w:rPr>
        <w:t xml:space="preserve"> (aninhado, versionado) e </w:t>
      </w:r>
      <w:r>
        <w:rPr>
          <w:rFonts w:ascii="Courier New" w:eastAsia="Courier New" w:hAnsi="Courier New"/>
          <w:sz w:val="22"/>
        </w:rPr>
        <w:t>toFlatMap()</w:t>
      </w:r>
      <w:r>
        <w:rPr>
          <w:rFonts w:eastAsia="Times New Roman"/>
        </w:rPr>
        <w:t xml:space="preserve"> (</w:t>
      </w:r>
      <w:r>
        <w:rPr>
          <w:rFonts w:ascii="Courier New" w:eastAsia="Courier New" w:hAnsi="Courier New"/>
          <w:sz w:val="22"/>
        </w:rPr>
        <w:t>dimensao.campo</w:t>
      </w:r>
      <w:r>
        <w:rPr>
          <w:rFonts w:eastAsia="Times New Roman"/>
        </w:rPr>
        <w:t xml:space="preserve">). O schema possui seis dimensões e 48 variáveis, todas estruturadas (booleanas, categóricas por código, múltipla escolha por código ou numéricas) — </w:t>
      </w:r>
      <w:r>
        <w:rPr>
          <w:rFonts w:eastAsia="Times New Roman"/>
          <w:b/>
        </w:rPr>
        <w:t>sem campos de texto livre</w:t>
      </w:r>
      <w:r>
        <w:rPr>
          <w:rFonts w:eastAsia="Times New Roman"/>
        </w:rPr>
        <w:t>.</w:t>
      </w:r>
    </w:p>
    <w:p w14:paraId="4E834B7D" w14:textId="77777777" w:rsidR="00E62C65" w:rsidRDefault="00474360">
      <w:pPr>
        <w:pStyle w:val="Ttulo2"/>
      </w:pPr>
      <w:bookmarkStart w:id="29" w:name="_Toc238759965"/>
      <w:r>
        <w:rPr>
          <w:rFonts w:ascii="Times New Roman" w:eastAsia="Times New Roman" w:hAnsi="Times New Roman"/>
        </w:rPr>
        <w:lastRenderedPageBreak/>
        <w:t>3.5 População, T0 e variável-alvo</w:t>
      </w:r>
      <w:bookmarkEnd w:id="29"/>
    </w:p>
    <w:p w14:paraId="1DF3C9E9" w14:textId="77777777" w:rsidR="00E62C65" w:rsidRDefault="00474360">
      <w:pPr>
        <w:spacing w:after="0" w:line="360" w:lineRule="auto"/>
        <w:ind w:firstLine="709"/>
        <w:jc w:val="both"/>
      </w:pPr>
      <w:r>
        <w:rPr>
          <w:rFonts w:eastAsia="Times New Roman"/>
          <w:b/>
        </w:rPr>
        <w:t>População-alvo do modelo:</w:t>
      </w:r>
      <w:r>
        <w:rPr>
          <w:rFonts w:eastAsia="Times New Roman"/>
        </w:rPr>
        <w:t xml:space="preserve"> gestantes que </w:t>
      </w:r>
      <w:r>
        <w:rPr>
          <w:rFonts w:eastAsia="Times New Roman"/>
          <w:b/>
        </w:rPr>
        <w:t>já iniciaram</w:t>
      </w:r>
      <w:r>
        <w:rPr>
          <w:rFonts w:eastAsia="Times New Roman"/>
        </w:rPr>
        <w:t xml:space="preserve"> o acompanhamento pré-natal. O critério de inclusão "iniciou o pré-natal" é </w:t>
      </w:r>
      <w:r>
        <w:rPr>
          <w:rFonts w:eastAsia="Times New Roman"/>
          <w:b/>
        </w:rPr>
        <w:t>parte da população</w:t>
      </w:r>
      <w:r>
        <w:rPr>
          <w:rFonts w:eastAsia="Times New Roman"/>
        </w:rPr>
        <w:t>, não uma variável coletada pelo formulário.</w:t>
      </w:r>
    </w:p>
    <w:p w14:paraId="2C95BEC5" w14:textId="77777777" w:rsidR="00E62C65" w:rsidRDefault="00474360">
      <w:pPr>
        <w:spacing w:after="0" w:line="360" w:lineRule="auto"/>
        <w:ind w:firstLine="709"/>
        <w:jc w:val="both"/>
      </w:pPr>
      <w:r>
        <w:rPr>
          <w:rFonts w:eastAsia="Times New Roman"/>
          <w:b/>
        </w:rPr>
        <w:t>T0</w:t>
      </w:r>
      <w:r>
        <w:rPr>
          <w:rFonts w:eastAsia="Times New Roman"/>
        </w:rPr>
        <w:t xml:space="preserve"> = instante em que a gestante conclui o questionário DSS e os dados são enviados à API para inferência. Somente informações </w:t>
      </w:r>
      <w:r>
        <w:rPr>
          <w:rFonts w:eastAsia="Times New Roman"/>
          <w:b/>
        </w:rPr>
        <w:t>legitimamente disponíveis em ou antes de T0</w:t>
      </w:r>
      <w:r>
        <w:rPr>
          <w:rFonts w:eastAsia="Times New Roman"/>
        </w:rPr>
        <w:t xml:space="preserve"> participam do modelo preditivo principal.</w:t>
      </w:r>
    </w:p>
    <w:p w14:paraId="07C45E37" w14:textId="77777777" w:rsidR="00E62C65" w:rsidRDefault="00474360">
      <w:pPr>
        <w:spacing w:after="0" w:line="360" w:lineRule="auto"/>
        <w:ind w:firstLine="709"/>
        <w:jc w:val="both"/>
      </w:pPr>
      <w:r>
        <w:rPr>
          <w:rFonts w:eastAsia="Times New Roman"/>
          <w:b/>
        </w:rPr>
        <w:t>Horizonte:</w:t>
      </w:r>
      <w:r>
        <w:rPr>
          <w:rFonts w:eastAsia="Times New Roman"/>
        </w:rPr>
        <w:t xml:space="preserve"> de T0 até o término da gestação.</w:t>
      </w:r>
    </w:p>
    <w:p w14:paraId="135F24DF" w14:textId="77777777" w:rsidR="00E62C65" w:rsidRDefault="00474360">
      <w:pPr>
        <w:spacing w:after="0" w:line="360" w:lineRule="auto"/>
        <w:ind w:firstLine="709"/>
        <w:jc w:val="both"/>
      </w:pPr>
      <w:r>
        <w:rPr>
          <w:rFonts w:eastAsia="Times New Roman"/>
          <w:b/>
        </w:rPr>
        <w:t>Variável-alvo (externa ao formulário):</w:t>
      </w:r>
    </w:p>
    <w:p w14:paraId="44163E07" w14:textId="77777777" w:rsidR="00E62C65" w:rsidRDefault="00474360">
      <w:pPr>
        <w:spacing w:after="0" w:line="360" w:lineRule="auto"/>
        <w:ind w:firstLine="709"/>
        <w:jc w:val="both"/>
      </w:pPr>
      <w:r>
        <w:rPr>
          <w:rFonts w:eastAsia="Times New Roman"/>
          <w:b/>
        </w:rPr>
        <w:t>Conceito:</w:t>
      </w:r>
      <w:r>
        <w:rPr>
          <w:rFonts w:eastAsia="Times New Roman"/>
        </w:rPr>
        <w:t xml:space="preserve"> descontinuidade do acompanhamento pré-natal.</w:t>
      </w:r>
    </w:p>
    <w:p w14:paraId="2456632B" w14:textId="77777777" w:rsidR="00E62C65" w:rsidRDefault="00474360">
      <w:pPr>
        <w:spacing w:after="0" w:line="360" w:lineRule="auto"/>
        <w:ind w:firstLine="709"/>
        <w:jc w:val="both"/>
      </w:pPr>
      <w:r>
        <w:rPr>
          <w:rFonts w:eastAsia="Times New Roman"/>
        </w:rPr>
        <w:t xml:space="preserve">Há dois planos distintos que </w:t>
      </w:r>
      <w:r>
        <w:rPr>
          <w:rFonts w:eastAsia="Times New Roman"/>
          <w:b/>
        </w:rPr>
        <w:t>não</w:t>
      </w:r>
      <w:r>
        <w:rPr>
          <w:rFonts w:eastAsia="Times New Roman"/>
        </w:rPr>
        <w:t xml:space="preserve"> devem ser confundidos:</w:t>
      </w:r>
    </w:p>
    <w:p w14:paraId="21272D2F" w14:textId="77777777" w:rsidR="00E62C65" w:rsidRDefault="00474360">
      <w:pPr>
        <w:spacing w:after="0" w:line="360" w:lineRule="auto"/>
        <w:ind w:firstLine="709"/>
        <w:jc w:val="both"/>
      </w:pPr>
      <w:r>
        <w:rPr>
          <w:rFonts w:eastAsia="Times New Roman"/>
          <w:b/>
        </w:rPr>
        <w:t>A) Referência para futuro estudo com dados reais.</w:t>
      </w:r>
    </w:p>
    <w:p w14:paraId="76FD1F44" w14:textId="77777777" w:rsidR="00E62C65" w:rsidRDefault="00474360">
      <w:pPr>
        <w:pStyle w:val="Commarcadores"/>
        <w:spacing w:line="360" w:lineRule="auto"/>
        <w:ind w:left="454" w:hanging="227"/>
      </w:pPr>
      <w:r>
        <w:rPr>
          <w:rFonts w:eastAsia="Times New Roman"/>
        </w:rPr>
        <w:t xml:space="preserve">A Portaria GM/MS nº 5.350/2024 estabelece, no contexto da </w:t>
      </w:r>
      <w:r>
        <w:rPr>
          <w:rFonts w:eastAsia="Times New Roman"/>
          <w:b/>
        </w:rPr>
        <w:t>Rede Alyne</w:t>
      </w:r>
      <w:r>
        <w:rPr>
          <w:rFonts w:eastAsia="Times New Roman"/>
        </w:rPr>
        <w:t xml:space="preserve">, captação até 12 semanas e </w:t>
      </w:r>
      <w:r>
        <w:rPr>
          <w:rFonts w:eastAsia="Times New Roman"/>
          <w:b/>
        </w:rPr>
        <w:t>no mínimo sete consultas</w:t>
      </w:r>
      <w:r>
        <w:rPr>
          <w:rFonts w:eastAsia="Times New Roman"/>
        </w:rPr>
        <w:t xml:space="preserve"> (Art. 7º, §1º, I).</w:t>
      </w:r>
    </w:p>
    <w:p w14:paraId="67A56092" w14:textId="77777777" w:rsidR="00E62C65" w:rsidRDefault="00474360">
      <w:pPr>
        <w:pStyle w:val="Commarcadores"/>
        <w:spacing w:line="360" w:lineRule="auto"/>
        <w:ind w:left="454" w:hanging="227"/>
      </w:pPr>
      <w:r>
        <w:rPr>
          <w:rFonts w:eastAsia="Times New Roman"/>
        </w:rPr>
        <w:t xml:space="preserve">Essa referência normativa contextualiza a adequação </w:t>
      </w:r>
      <w:r>
        <w:rPr>
          <w:rFonts w:eastAsia="Times New Roman"/>
          <w:b/>
        </w:rPr>
        <w:t>quantitativa</w:t>
      </w:r>
      <w:r>
        <w:rPr>
          <w:rFonts w:eastAsia="Times New Roman"/>
        </w:rPr>
        <w:t xml:space="preserve"> do acompanhamento.</w:t>
      </w:r>
    </w:p>
    <w:p w14:paraId="4E76BE65" w14:textId="77777777" w:rsidR="00E62C65" w:rsidRDefault="00474360">
      <w:pPr>
        <w:pStyle w:val="Commarcadores"/>
        <w:spacing w:line="360" w:lineRule="auto"/>
        <w:ind w:left="454" w:hanging="227"/>
      </w:pPr>
      <w:r>
        <w:rPr>
          <w:rFonts w:eastAsia="Times New Roman"/>
        </w:rPr>
        <w:t xml:space="preserve">A Portaria </w:t>
      </w:r>
      <w:r>
        <w:rPr>
          <w:rFonts w:eastAsia="Times New Roman"/>
          <w:b/>
        </w:rPr>
        <w:t>não</w:t>
      </w:r>
      <w:r>
        <w:rPr>
          <w:rFonts w:eastAsia="Times New Roman"/>
        </w:rPr>
        <w:t xml:space="preserve"> define "menos de sete consultas" como critério clínico universal de abandono/descontinuidade.</w:t>
      </w:r>
    </w:p>
    <w:p w14:paraId="3C72FE1C" w14:textId="77777777" w:rsidR="00E62C65" w:rsidRDefault="00474360">
      <w:pPr>
        <w:pStyle w:val="Commarcadores"/>
        <w:spacing w:line="360" w:lineRule="auto"/>
        <w:ind w:left="454" w:hanging="227"/>
      </w:pPr>
      <w:r>
        <w:rPr>
          <w:rFonts w:eastAsia="Times New Roman"/>
        </w:rPr>
        <w:t xml:space="preserve">A Portaria </w:t>
      </w:r>
      <w:r>
        <w:rPr>
          <w:rFonts w:eastAsia="Times New Roman"/>
          <w:b/>
        </w:rPr>
        <w:t>não</w:t>
      </w:r>
      <w:r>
        <w:rPr>
          <w:rFonts w:eastAsia="Times New Roman"/>
        </w:rPr>
        <w:t xml:space="preserve"> fornece, nesse dispositivo, tabela de número mínimo de consultas ajustada pela duração gestacional.</w:t>
      </w:r>
    </w:p>
    <w:p w14:paraId="228B54B6" w14:textId="77777777" w:rsidR="00E62C65" w:rsidRDefault="00474360">
      <w:pPr>
        <w:pStyle w:val="Commarcadores"/>
        <w:spacing w:line="360" w:lineRule="auto"/>
        <w:ind w:left="454" w:hanging="227"/>
      </w:pPr>
      <w:r>
        <w:rPr>
          <w:rFonts w:eastAsia="Times New Roman"/>
        </w:rPr>
        <w:t xml:space="preserve">Em futura pesquisa com dados reais, a operacionalização </w:t>
      </w:r>
      <w:r>
        <w:rPr>
          <w:rFonts w:eastAsia="Times New Roman"/>
          <w:b/>
        </w:rPr>
        <w:t>longitudinal</w:t>
      </w:r>
      <w:r>
        <w:rPr>
          <w:rFonts w:eastAsia="Times New Roman"/>
        </w:rPr>
        <w:t xml:space="preserve"> do desfecho ainda deverá ser fundamentada especificamente e considerar adequadamente a duração da gestação.</w:t>
      </w:r>
    </w:p>
    <w:p w14:paraId="563D8A1B" w14:textId="77777777" w:rsidR="00E62C65" w:rsidRDefault="00474360">
      <w:pPr>
        <w:spacing w:after="0" w:line="360" w:lineRule="auto"/>
        <w:ind w:firstLine="709"/>
        <w:jc w:val="both"/>
      </w:pPr>
      <w:r>
        <w:rPr>
          <w:rFonts w:eastAsia="Times New Roman"/>
          <w:b/>
        </w:rPr>
        <w:t>B) Experimento sintético atual.</w:t>
      </w:r>
    </w:p>
    <w:p w14:paraId="11E80C4C" w14:textId="77777777" w:rsidR="00E62C65" w:rsidRDefault="00474360">
      <w:pPr>
        <w:pStyle w:val="Commarcadores"/>
        <w:spacing w:line="360" w:lineRule="auto"/>
        <w:ind w:left="454" w:hanging="227"/>
      </w:pPr>
      <w:r>
        <w:rPr>
          <w:rFonts w:eastAsia="Times New Roman"/>
          <w:b/>
        </w:rPr>
        <w:t>Y</w:t>
      </w:r>
      <w:r>
        <w:rPr>
          <w:rFonts w:eastAsia="Times New Roman"/>
        </w:rPr>
        <w:t xml:space="preserve"> é uma variável binária </w:t>
      </w:r>
      <w:r>
        <w:rPr>
          <w:rFonts w:eastAsia="Times New Roman"/>
          <w:b/>
        </w:rPr>
        <w:t>experimental</w:t>
      </w:r>
      <w:r>
        <w:rPr>
          <w:rFonts w:eastAsia="Times New Roman"/>
        </w:rPr>
        <w:t>, externa ao formulário (</w:t>
      </w:r>
      <w:r>
        <w:rPr>
          <w:rFonts w:ascii="Courier New" w:eastAsia="Courier New" w:hAnsi="Courier New"/>
          <w:sz w:val="22"/>
        </w:rPr>
        <w:t>descontinuou_pre_natal ∈ {0,1}</w:t>
      </w:r>
      <w:r>
        <w:rPr>
          <w:rFonts w:eastAsia="Times New Roman"/>
        </w:rPr>
        <w:t>).</w:t>
      </w:r>
    </w:p>
    <w:p w14:paraId="0E2C74F6" w14:textId="77777777" w:rsidR="00E62C65" w:rsidRDefault="00474360">
      <w:pPr>
        <w:pStyle w:val="Commarcadores"/>
        <w:spacing w:line="360" w:lineRule="auto"/>
        <w:ind w:left="454" w:hanging="227"/>
      </w:pPr>
      <w:r>
        <w:rPr>
          <w:rFonts w:eastAsia="Times New Roman"/>
        </w:rPr>
        <w:t xml:space="preserve">Y </w:t>
      </w:r>
      <w:r>
        <w:rPr>
          <w:rFonts w:eastAsia="Times New Roman"/>
          <w:b/>
        </w:rPr>
        <w:t>não</w:t>
      </w:r>
      <w:r>
        <w:rPr>
          <w:rFonts w:eastAsia="Times New Roman"/>
        </w:rPr>
        <w:t xml:space="preserve"> é calculado a partir de consultas simuladas.</w:t>
      </w:r>
    </w:p>
    <w:p w14:paraId="5A8FC16E" w14:textId="77777777" w:rsidR="00E62C65" w:rsidRDefault="00474360">
      <w:pPr>
        <w:pStyle w:val="Commarcadores"/>
        <w:spacing w:line="360" w:lineRule="auto"/>
        <w:ind w:left="454" w:hanging="227"/>
      </w:pPr>
      <w:r>
        <w:rPr>
          <w:rFonts w:eastAsia="Times New Roman"/>
        </w:rPr>
        <w:t xml:space="preserve">Y </w:t>
      </w:r>
      <w:r>
        <w:rPr>
          <w:rFonts w:eastAsia="Times New Roman"/>
          <w:b/>
        </w:rPr>
        <w:t>não</w:t>
      </w:r>
      <w:r>
        <w:rPr>
          <w:rFonts w:eastAsia="Times New Roman"/>
        </w:rPr>
        <w:t xml:space="preserve"> é produzido pela aplicação da regra de sete consultas.</w:t>
      </w:r>
    </w:p>
    <w:p w14:paraId="57FC7E6A" w14:textId="77777777" w:rsidR="00E62C65" w:rsidRDefault="00474360">
      <w:pPr>
        <w:pStyle w:val="Commarcadores"/>
        <w:spacing w:line="360" w:lineRule="auto"/>
        <w:ind w:left="454" w:hanging="227"/>
      </w:pPr>
      <w:r>
        <w:rPr>
          <w:rFonts w:eastAsia="Times New Roman"/>
        </w:rPr>
        <w:t xml:space="preserve">Y é gerado pelo </w:t>
      </w:r>
      <w:r>
        <w:rPr>
          <w:rFonts w:eastAsia="Times New Roman"/>
          <w:b/>
        </w:rPr>
        <w:t>DGM probabilístico</w:t>
      </w:r>
      <w:r>
        <w:rPr>
          <w:rFonts w:eastAsia="Times New Roman"/>
        </w:rPr>
        <w:t xml:space="preserve">: </w:t>
      </w:r>
      <w:r>
        <w:rPr>
          <w:rFonts w:ascii="Courier New" w:eastAsia="Courier New" w:hAnsi="Courier New"/>
          <w:sz w:val="22"/>
        </w:rPr>
        <w:t>g_* → eta → sigmoid → Bernoulli</w:t>
      </w:r>
      <w:r>
        <w:rPr>
          <w:rFonts w:eastAsia="Times New Roman"/>
        </w:rPr>
        <w:t xml:space="preserve"> (ver 4.6).</w:t>
      </w:r>
    </w:p>
    <w:p w14:paraId="0C8A801A" w14:textId="77777777" w:rsidR="00E62C65" w:rsidRDefault="00474360">
      <w:pPr>
        <w:pStyle w:val="Commarcadores"/>
        <w:spacing w:line="360" w:lineRule="auto"/>
        <w:ind w:left="454" w:hanging="227"/>
      </w:pPr>
      <w:r>
        <w:rPr>
          <w:rFonts w:eastAsia="Times New Roman"/>
        </w:rPr>
        <w:t xml:space="preserve">O objetivo desse Y é testar </w:t>
      </w:r>
      <w:r>
        <w:rPr>
          <w:rFonts w:eastAsia="Times New Roman"/>
          <w:b/>
        </w:rPr>
        <w:t>tecnicamente</w:t>
      </w:r>
      <w:r>
        <w:rPr>
          <w:rFonts w:eastAsia="Times New Roman"/>
        </w:rPr>
        <w:t xml:space="preserve"> o pipeline de ML em cenário controlado.</w:t>
      </w:r>
    </w:p>
    <w:p w14:paraId="386125E2" w14:textId="77777777" w:rsidR="00E62C65" w:rsidRDefault="00474360">
      <w:pPr>
        <w:spacing w:after="0" w:line="360" w:lineRule="auto"/>
        <w:ind w:firstLine="709"/>
        <w:jc w:val="both"/>
      </w:pPr>
      <w:r>
        <w:rPr>
          <w:rFonts w:eastAsia="Times New Roman"/>
          <w:b/>
        </w:rPr>
        <w:lastRenderedPageBreak/>
        <w:t>Nenhuma</w:t>
      </w:r>
      <w:r>
        <w:rPr>
          <w:rFonts w:eastAsia="Times New Roman"/>
        </w:rPr>
        <w:t xml:space="preserve"> pergunta do formulário fabrica o rótulo. Em futura validação com dados reais, o critério longitudinal de desfecho deve ser definido e validado a partir dos registros reais de acompanhamento (prontuário/SISPRENATAL).</w:t>
      </w:r>
    </w:p>
    <w:p w14:paraId="01F73109" w14:textId="77777777" w:rsidR="00E62C65" w:rsidRDefault="00474360">
      <w:pPr>
        <w:pStyle w:val="Ttulo2"/>
      </w:pPr>
      <w:bookmarkStart w:id="30" w:name="_Toc238759966"/>
      <w:r>
        <w:rPr>
          <w:rFonts w:ascii="Times New Roman" w:eastAsia="Times New Roman" w:hAnsi="Times New Roman"/>
        </w:rPr>
        <w:t>3.6 Geração do dataset sintético</w:t>
      </w:r>
      <w:bookmarkEnd w:id="30"/>
    </w:p>
    <w:p w14:paraId="0320E942" w14:textId="77777777" w:rsidR="00E62C65" w:rsidRDefault="00474360">
      <w:pPr>
        <w:spacing w:after="0" w:line="360" w:lineRule="auto"/>
        <w:ind w:firstLine="709"/>
        <w:jc w:val="both"/>
      </w:pPr>
      <w:r>
        <w:rPr>
          <w:rFonts w:eastAsia="Times New Roman"/>
          <w:b/>
        </w:rPr>
        <w:t>Nomenclatura conceitual (usada em todo o documento):</w:t>
      </w:r>
    </w:p>
    <w:p w14:paraId="20A14B4B" w14:textId="77777777" w:rsidR="00E62C65" w:rsidRDefault="00474360">
      <w:pPr>
        <w:pStyle w:val="Commarcadores"/>
        <w:spacing w:line="360" w:lineRule="auto"/>
        <w:ind w:left="454" w:hanging="227"/>
      </w:pPr>
      <w:r>
        <w:rPr>
          <w:rFonts w:ascii="Courier New" w:eastAsia="Courier New" w:hAnsi="Courier New"/>
          <w:sz w:val="22"/>
        </w:rPr>
        <w:t>Q_full</w:t>
      </w:r>
      <w:r>
        <w:rPr>
          <w:rFonts w:eastAsia="Times New Roman"/>
        </w:rPr>
        <w:t xml:space="preserve"> = conjunto completo das </w:t>
      </w:r>
      <w:r>
        <w:rPr>
          <w:rFonts w:eastAsia="Times New Roman"/>
          <w:b/>
        </w:rPr>
        <w:t>48 variáveis</w:t>
      </w:r>
      <w:r>
        <w:rPr>
          <w:rFonts w:eastAsia="Times New Roman"/>
        </w:rPr>
        <w:t xml:space="preserve"> observadas do questionário DSS.</w:t>
      </w:r>
    </w:p>
    <w:p w14:paraId="66D23D34" w14:textId="77777777" w:rsidR="00E62C65" w:rsidRDefault="00474360">
      <w:pPr>
        <w:pStyle w:val="Commarcadores"/>
        <w:spacing w:line="360" w:lineRule="auto"/>
        <w:ind w:left="454" w:hanging="227"/>
      </w:pPr>
      <w:r>
        <w:rPr>
          <w:rFonts w:ascii="Courier New" w:eastAsia="Courier New" w:hAnsi="Courier New"/>
          <w:sz w:val="22"/>
        </w:rPr>
        <w:t>X_model</w:t>
      </w:r>
      <w:r>
        <w:rPr>
          <w:rFonts w:eastAsia="Times New Roman"/>
        </w:rPr>
        <w:t xml:space="preserve"> = subconjunto das </w:t>
      </w:r>
      <w:r>
        <w:rPr>
          <w:rFonts w:eastAsia="Times New Roman"/>
          <w:b/>
        </w:rPr>
        <w:t>34 variáveis ML-IN</w:t>
      </w:r>
      <w:r>
        <w:rPr>
          <w:rFonts w:eastAsia="Times New Roman"/>
        </w:rPr>
        <w:t xml:space="preserve"> usadas como entrada do modelo principal.</w:t>
      </w:r>
    </w:p>
    <w:p w14:paraId="2A82D899" w14:textId="77777777" w:rsidR="00E62C65" w:rsidRDefault="00474360">
      <w:pPr>
        <w:pStyle w:val="Commarcadores"/>
        <w:spacing w:line="360" w:lineRule="auto"/>
        <w:ind w:left="454" w:hanging="227"/>
      </w:pPr>
      <w:r>
        <w:rPr>
          <w:rFonts w:ascii="Courier New" w:eastAsia="Courier New" w:hAnsi="Courier New"/>
          <w:sz w:val="22"/>
        </w:rPr>
        <w:t>X_sens</w:t>
      </w:r>
      <w:r>
        <w:rPr>
          <w:rFonts w:eastAsia="Times New Roman"/>
        </w:rPr>
        <w:t xml:space="preserve"> = 34 ML-IN + 2 variáveis de sensibilidade (36), usado somente no experimento secundário 34 vs. 36.</w:t>
      </w:r>
    </w:p>
    <w:p w14:paraId="78BC1DDA" w14:textId="77777777" w:rsidR="00E62C65" w:rsidRDefault="00474360">
      <w:pPr>
        <w:pStyle w:val="Commarcadores"/>
        <w:spacing w:line="360" w:lineRule="auto"/>
        <w:ind w:left="454" w:hanging="227"/>
      </w:pPr>
      <w:r>
        <w:rPr>
          <w:rFonts w:ascii="Courier New" w:eastAsia="Courier New" w:hAnsi="Courier New"/>
          <w:sz w:val="22"/>
        </w:rPr>
        <w:t>Y</w:t>
      </w:r>
      <w:r>
        <w:rPr>
          <w:rFonts w:eastAsia="Times New Roman"/>
        </w:rPr>
        <w:t xml:space="preserve"> = target binário sintético (externo ao formulário).</w:t>
      </w:r>
    </w:p>
    <w:p w14:paraId="63D21DD8" w14:textId="77777777" w:rsidR="00E62C65" w:rsidRDefault="00474360">
      <w:pPr>
        <w:pStyle w:val="Commarcadores"/>
        <w:spacing w:line="360" w:lineRule="auto"/>
        <w:ind w:left="454" w:hanging="227"/>
      </w:pPr>
      <w:r>
        <w:rPr>
          <w:rFonts w:ascii="Courier New" w:eastAsia="Courier New" w:hAnsi="Courier New"/>
          <w:sz w:val="22"/>
        </w:rPr>
        <w:t>M_sim</w:t>
      </w:r>
      <w:r>
        <w:rPr>
          <w:rFonts w:eastAsia="Times New Roman"/>
        </w:rPr>
        <w:t xml:space="preserve"> = metadados internos da simulação (</w:t>
      </w:r>
      <w:r>
        <w:rPr>
          <w:rFonts w:ascii="Courier New" w:eastAsia="Courier New" w:hAnsi="Courier New"/>
          <w:sz w:val="22"/>
        </w:rPr>
        <w:t>Z_*</w:t>
      </w:r>
      <w:r>
        <w:rPr>
          <w:rFonts w:eastAsia="Times New Roman"/>
        </w:rPr>
        <w:t xml:space="preserve">, </w:t>
      </w:r>
      <w:r>
        <w:rPr>
          <w:rFonts w:ascii="Courier New" w:eastAsia="Courier New" w:hAnsi="Courier New"/>
          <w:sz w:val="22"/>
        </w:rPr>
        <w:t>g_*</w:t>
      </w:r>
      <w:r>
        <w:rPr>
          <w:rFonts w:eastAsia="Times New Roman"/>
        </w:rPr>
        <w:t xml:space="preserve">, </w:t>
      </w:r>
      <w:r>
        <w:rPr>
          <w:rFonts w:ascii="Courier New" w:eastAsia="Courier New" w:hAnsi="Courier New"/>
          <w:sz w:val="22"/>
        </w:rPr>
        <w:t>eta</w:t>
      </w:r>
      <w:r>
        <w:rPr>
          <w:rFonts w:eastAsia="Times New Roman"/>
        </w:rPr>
        <w:t xml:space="preserve">, </w:t>
      </w:r>
      <w:r>
        <w:rPr>
          <w:rFonts w:ascii="Courier New" w:eastAsia="Courier New" w:hAnsi="Courier New"/>
          <w:sz w:val="22"/>
        </w:rPr>
        <w:t>p_true</w:t>
      </w:r>
      <w:r>
        <w:rPr>
          <w:rFonts w:eastAsia="Times New Roman"/>
        </w:rPr>
        <w:t>, condição/renda latente verdadeira etc.), nunca observados pelo modelo.</w:t>
      </w:r>
    </w:p>
    <w:p w14:paraId="0ECFC5CF" w14:textId="77777777" w:rsidR="00E62C65" w:rsidRDefault="00474360">
      <w:pPr>
        <w:pStyle w:val="CodeBlock"/>
        <w:shd w:val="clear" w:color="auto" w:fill="F2F2F2"/>
      </w:pPr>
      <w:r>
        <w:rPr>
          <w:rFonts w:eastAsia="Courier New"/>
        </w:rPr>
        <w:t>Q_full (48)</w:t>
      </w:r>
      <w:r>
        <w:rPr>
          <w:rFonts w:eastAsia="Courier New"/>
        </w:rPr>
        <w:br/>
        <w:t xml:space="preserve">   |</w:t>
      </w:r>
      <w:r>
        <w:rPr>
          <w:rFonts w:eastAsia="Courier New"/>
        </w:rPr>
        <w:br/>
        <w:t xml:space="preserve">   |--&gt; seleção --&gt; X_model (34) --&gt; ML principal</w:t>
      </w:r>
      <w:r>
        <w:rPr>
          <w:rFonts w:eastAsia="Courier New"/>
        </w:rPr>
        <w:br/>
        <w:t xml:space="preserve">   |</w:t>
      </w:r>
      <w:r>
        <w:rPr>
          <w:rFonts w:eastAsia="Courier New"/>
        </w:rPr>
        <w:br/>
        <w:t xml:space="preserve">   |--&gt; seleção --&gt; X_sens (36)  --&gt; análise de sensibilidade</w:t>
      </w:r>
      <w:r>
        <w:rPr>
          <w:rFonts w:eastAsia="Courier New"/>
        </w:rPr>
        <w:br/>
        <w:t xml:space="preserve">   |</w:t>
      </w:r>
      <w:r>
        <w:rPr>
          <w:rFonts w:eastAsia="Courier New"/>
        </w:rPr>
        <w:br/>
        <w:t xml:space="preserve">   `--&gt; cálculo independente --&gt; IV-DSS</w:t>
      </w:r>
      <w:r>
        <w:rPr>
          <w:rFonts w:eastAsia="Courier New"/>
        </w:rPr>
        <w:br/>
      </w:r>
      <w:r>
        <w:rPr>
          <w:rFonts w:eastAsia="Courier New"/>
        </w:rPr>
        <w:br/>
        <w:t>M_sim  --&gt; auditoria do simulador somente</w:t>
      </w:r>
      <w:r>
        <w:rPr>
          <w:rFonts w:eastAsia="Courier New"/>
        </w:rPr>
        <w:br/>
        <w:t>Y      --&gt; variável-alvo</w:t>
      </w:r>
    </w:p>
    <w:p w14:paraId="53E43D9C" w14:textId="77777777" w:rsidR="00E62C65" w:rsidRDefault="00474360">
      <w:pPr>
        <w:pStyle w:val="Commarcadores"/>
        <w:spacing w:line="360" w:lineRule="auto"/>
        <w:ind w:left="454" w:hanging="227"/>
      </w:pPr>
      <w:r>
        <w:rPr>
          <w:rFonts w:eastAsia="Times New Roman"/>
        </w:rPr>
        <w:t xml:space="preserve">As 5 OUT-LEAKAGE e as 5 OUT-TEMPORAL pertencem a </w:t>
      </w:r>
      <w:r>
        <w:rPr>
          <w:rFonts w:ascii="Courier New" w:eastAsia="Courier New" w:hAnsi="Courier New"/>
          <w:sz w:val="22"/>
        </w:rPr>
        <w:t>Q_full</w:t>
      </w:r>
      <w:r>
        <w:rPr>
          <w:rFonts w:eastAsia="Times New Roman"/>
        </w:rPr>
        <w:t xml:space="preserve">, mas </w:t>
      </w:r>
      <w:r>
        <w:rPr>
          <w:rFonts w:eastAsia="Times New Roman"/>
          <w:b/>
        </w:rPr>
        <w:t>não</w:t>
      </w:r>
      <w:r>
        <w:rPr>
          <w:rFonts w:eastAsia="Times New Roman"/>
        </w:rPr>
        <w:t xml:space="preserve"> a </w:t>
      </w:r>
      <w:r>
        <w:rPr>
          <w:rFonts w:ascii="Courier New" w:eastAsia="Courier New" w:hAnsi="Courier New"/>
          <w:sz w:val="22"/>
        </w:rPr>
        <w:t>X_model</w:t>
      </w:r>
      <w:r>
        <w:rPr>
          <w:rFonts w:eastAsia="Times New Roman"/>
        </w:rPr>
        <w:t>.</w:t>
      </w:r>
    </w:p>
    <w:p w14:paraId="761C7857" w14:textId="77777777" w:rsidR="00E62C65" w:rsidRDefault="00474360">
      <w:pPr>
        <w:pStyle w:val="Commarcadores"/>
        <w:spacing w:line="360" w:lineRule="auto"/>
        <w:ind w:left="454" w:hanging="227"/>
      </w:pPr>
      <w:r>
        <w:rPr>
          <w:rFonts w:eastAsia="Times New Roman"/>
        </w:rPr>
        <w:t xml:space="preserve">As 2 DESCRITIVAS pertencem a </w:t>
      </w:r>
      <w:r>
        <w:rPr>
          <w:rFonts w:ascii="Courier New" w:eastAsia="Courier New" w:hAnsi="Courier New"/>
          <w:sz w:val="22"/>
        </w:rPr>
        <w:t>Q_full</w:t>
      </w:r>
      <w:r>
        <w:rPr>
          <w:rFonts w:eastAsia="Times New Roman"/>
        </w:rPr>
        <w:t xml:space="preserve">, mas </w:t>
      </w:r>
      <w:r>
        <w:rPr>
          <w:rFonts w:eastAsia="Times New Roman"/>
          <w:b/>
        </w:rPr>
        <w:t>não</w:t>
      </w:r>
      <w:r>
        <w:rPr>
          <w:rFonts w:eastAsia="Times New Roman"/>
        </w:rPr>
        <w:t xml:space="preserve"> a </w:t>
      </w:r>
      <w:r>
        <w:rPr>
          <w:rFonts w:ascii="Courier New" w:eastAsia="Courier New" w:hAnsi="Courier New"/>
          <w:sz w:val="22"/>
        </w:rPr>
        <w:t>X_model</w:t>
      </w:r>
      <w:r>
        <w:rPr>
          <w:rFonts w:eastAsia="Times New Roman"/>
        </w:rPr>
        <w:t>.</w:t>
      </w:r>
    </w:p>
    <w:p w14:paraId="3D41864F" w14:textId="77777777" w:rsidR="00E62C65" w:rsidRDefault="00474360">
      <w:pPr>
        <w:pStyle w:val="Commarcadores"/>
        <w:spacing w:line="360" w:lineRule="auto"/>
        <w:ind w:left="454" w:hanging="227"/>
      </w:pPr>
      <w:r>
        <w:rPr>
          <w:rFonts w:eastAsia="Times New Roman"/>
        </w:rPr>
        <w:t xml:space="preserve">As 2 SENSIBILIDADE pertencem a </w:t>
      </w:r>
      <w:r>
        <w:rPr>
          <w:rFonts w:ascii="Courier New" w:eastAsia="Courier New" w:hAnsi="Courier New"/>
          <w:sz w:val="22"/>
        </w:rPr>
        <w:t>Q_full</w:t>
      </w:r>
      <w:r>
        <w:rPr>
          <w:rFonts w:eastAsia="Times New Roman"/>
        </w:rPr>
        <w:t xml:space="preserve"> e somente entram em </w:t>
      </w:r>
      <w:r>
        <w:rPr>
          <w:rFonts w:ascii="Courier New" w:eastAsia="Courier New" w:hAnsi="Courier New"/>
          <w:sz w:val="22"/>
        </w:rPr>
        <w:t>X_sens</w:t>
      </w:r>
      <w:r>
        <w:rPr>
          <w:rFonts w:eastAsia="Times New Roman"/>
        </w:rPr>
        <w:t>.</w:t>
      </w:r>
    </w:p>
    <w:p w14:paraId="15CA6356" w14:textId="77777777" w:rsidR="00E62C65" w:rsidRDefault="00474360">
      <w:pPr>
        <w:pStyle w:val="Commarcadores"/>
        <w:spacing w:line="360" w:lineRule="auto"/>
        <w:ind w:left="454" w:hanging="227"/>
      </w:pPr>
      <w:r>
        <w:rPr>
          <w:rFonts w:ascii="Courier New" w:eastAsia="Courier New" w:hAnsi="Courier New"/>
          <w:sz w:val="22"/>
        </w:rPr>
        <w:t>M_sim</w:t>
      </w:r>
      <w:r>
        <w:rPr>
          <w:rFonts w:eastAsia="Times New Roman"/>
        </w:rPr>
        <w:t xml:space="preserve"> </w:t>
      </w:r>
      <w:r>
        <w:rPr>
          <w:rFonts w:eastAsia="Times New Roman"/>
          <w:b/>
        </w:rPr>
        <w:t>nunca</w:t>
      </w:r>
      <w:r>
        <w:rPr>
          <w:rFonts w:eastAsia="Times New Roman"/>
        </w:rPr>
        <w:t xml:space="preserve"> é entrada do treinamento.</w:t>
      </w:r>
    </w:p>
    <w:p w14:paraId="10519D88" w14:textId="77777777" w:rsidR="00E62C65" w:rsidRDefault="00474360">
      <w:pPr>
        <w:spacing w:after="0" w:line="360" w:lineRule="auto"/>
        <w:ind w:firstLine="709"/>
        <w:jc w:val="both"/>
      </w:pPr>
      <w:r>
        <w:rPr>
          <w:rFonts w:eastAsia="Times New Roman"/>
        </w:rPr>
        <w:t>Fluxo de geração (seed fixa, gerador versionado):</w:t>
      </w:r>
    </w:p>
    <w:p w14:paraId="2615223B" w14:textId="77777777" w:rsidR="00E62C65" w:rsidRDefault="00474360">
      <w:pPr>
        <w:pStyle w:val="CodeBlock"/>
        <w:shd w:val="clear" w:color="auto" w:fill="F2F2F2"/>
      </w:pPr>
      <w:r>
        <w:rPr>
          <w:rFonts w:eastAsia="Courier New"/>
        </w:rPr>
        <w:t>Geração de Q_full (48)</w:t>
      </w:r>
      <w:r>
        <w:rPr>
          <w:rFonts w:eastAsia="Courier New"/>
        </w:rPr>
        <w:br/>
        <w:t xml:space="preserve">      |</w:t>
      </w:r>
      <w:r>
        <w:rPr>
          <w:rFonts w:eastAsia="Courier New"/>
        </w:rPr>
        <w:br/>
        <w:t xml:space="preserve">      |--&gt; cálculo independente do IV-DSS   (função de Q_full)</w:t>
      </w:r>
      <w:r>
        <w:rPr>
          <w:rFonts w:eastAsia="Courier New"/>
        </w:rPr>
        <w:br/>
        <w:t xml:space="preserve">      |</w:t>
      </w:r>
      <w:r>
        <w:rPr>
          <w:rFonts w:eastAsia="Courier New"/>
        </w:rPr>
        <w:br/>
        <w:t xml:space="preserve">      `--&gt; fatores g_* → escore latente → probabilidade → Y</w:t>
      </w:r>
    </w:p>
    <w:p w14:paraId="13CEF147" w14:textId="77777777" w:rsidR="00E62C65" w:rsidRDefault="00474360">
      <w:pPr>
        <w:pStyle w:val="Commarcadores"/>
        <w:spacing w:line="360" w:lineRule="auto"/>
        <w:ind w:left="454" w:hanging="227"/>
      </w:pPr>
      <w:r>
        <w:rPr>
          <w:rFonts w:eastAsia="Times New Roman"/>
          <w:b/>
        </w:rPr>
        <w:t>Q_full</w:t>
      </w:r>
      <w:r>
        <w:rPr>
          <w:rFonts w:eastAsia="Times New Roman"/>
        </w:rPr>
        <w:t xml:space="preserve"> = variáveis dos DSS observadas (48, tabulares);</w:t>
      </w:r>
    </w:p>
    <w:p w14:paraId="050ADAFB" w14:textId="77777777" w:rsidR="00E62C65" w:rsidRDefault="00474360">
      <w:pPr>
        <w:pStyle w:val="Commarcadores"/>
        <w:spacing w:line="360" w:lineRule="auto"/>
        <w:ind w:left="454" w:hanging="227"/>
      </w:pPr>
      <w:r>
        <w:rPr>
          <w:rFonts w:eastAsia="Times New Roman"/>
          <w:b/>
        </w:rPr>
        <w:t>IV-DSS</w:t>
      </w:r>
      <w:r>
        <w:rPr>
          <w:rFonts w:eastAsia="Times New Roman"/>
        </w:rPr>
        <w:t xml:space="preserve"> = variável </w:t>
      </w:r>
      <w:r>
        <w:rPr>
          <w:rFonts w:eastAsia="Times New Roman"/>
          <w:b/>
        </w:rPr>
        <w:t>derivada</w:t>
      </w:r>
      <w:r>
        <w:rPr>
          <w:rFonts w:eastAsia="Times New Roman"/>
        </w:rPr>
        <w:t xml:space="preserve"> de </w:t>
      </w:r>
      <w:r>
        <w:rPr>
          <w:rFonts w:ascii="Courier New" w:eastAsia="Courier New" w:hAnsi="Courier New"/>
          <w:sz w:val="22"/>
        </w:rPr>
        <w:t>Q_full</w:t>
      </w:r>
      <w:r>
        <w:rPr>
          <w:rFonts w:eastAsia="Times New Roman"/>
        </w:rPr>
        <w:t xml:space="preserve"> (função determinística, independente);</w:t>
      </w:r>
    </w:p>
    <w:p w14:paraId="0C7F8CC7" w14:textId="77777777" w:rsidR="00E62C65" w:rsidRDefault="00474360">
      <w:pPr>
        <w:pStyle w:val="Commarcadores"/>
        <w:spacing w:line="360" w:lineRule="auto"/>
        <w:ind w:left="454" w:hanging="227"/>
      </w:pPr>
      <w:r>
        <w:rPr>
          <w:rFonts w:eastAsia="Times New Roman"/>
          <w:b/>
        </w:rPr>
        <w:t>Y</w:t>
      </w:r>
      <w:r>
        <w:rPr>
          <w:rFonts w:eastAsia="Times New Roman"/>
        </w:rPr>
        <w:t xml:space="preserve"> = descontinuidade do pré-natal (target sintético).</w:t>
      </w:r>
    </w:p>
    <w:p w14:paraId="14486D9C" w14:textId="77777777" w:rsidR="00E62C65" w:rsidRDefault="00474360">
      <w:pPr>
        <w:spacing w:after="0" w:line="360" w:lineRule="auto"/>
        <w:ind w:firstLine="709"/>
        <w:jc w:val="both"/>
      </w:pPr>
      <w:r>
        <w:rPr>
          <w:rFonts w:eastAsia="Times New Roman"/>
          <w:b/>
        </w:rPr>
        <w:lastRenderedPageBreak/>
        <w:t>O IV-DSS não participa da geração de Y.</w:t>
      </w:r>
      <w:r>
        <w:rPr>
          <w:rFonts w:eastAsia="Times New Roman"/>
        </w:rPr>
        <w:t xml:space="preserve"> O Y é gerado por um </w:t>
      </w:r>
      <w:r>
        <w:rPr>
          <w:rFonts w:eastAsia="Times New Roman"/>
          <w:b/>
        </w:rPr>
        <w:t>mecanismo probabilístico experimental (DGM)</w:t>
      </w:r>
      <w:r>
        <w:rPr>
          <w:rFonts w:eastAsia="Times New Roman"/>
        </w:rPr>
        <w:t xml:space="preserve">, cujos coeficientes são </w:t>
      </w:r>
      <w:r>
        <w:rPr>
          <w:rFonts w:eastAsia="Times New Roman"/>
          <w:b/>
        </w:rPr>
        <w:t>parâmetros de simulação</w:t>
      </w:r>
      <w:r>
        <w:rPr>
          <w:rFonts w:eastAsia="Times New Roman"/>
        </w:rPr>
        <w:t xml:space="preserve"> — não _odds ratios_ da literatura.</w:t>
      </w:r>
    </w:p>
    <w:p w14:paraId="39A1BFCE" w14:textId="77777777" w:rsidR="00E62C65" w:rsidRDefault="00474360">
      <w:pPr>
        <w:pStyle w:val="Commarcadores"/>
        <w:spacing w:line="360" w:lineRule="auto"/>
        <w:ind w:left="454" w:hanging="227"/>
      </w:pPr>
      <w:r>
        <w:rPr>
          <w:rFonts w:eastAsia="Times New Roman"/>
          <w:b/>
        </w:rPr>
        <w:t>Fatores latentes Z:</w:t>
      </w:r>
      <w:r>
        <w:rPr>
          <w:rFonts w:eastAsia="Times New Roman"/>
        </w:rPr>
        <w:t xml:space="preserve"> cinco fatores internos do simulador (</w:t>
      </w:r>
      <w:r>
        <w:rPr>
          <w:rFonts w:ascii="Courier New" w:eastAsia="Courier New" w:hAnsi="Courier New"/>
          <w:sz w:val="22"/>
        </w:rPr>
        <w:t>Z_SES</w:t>
      </w:r>
      <w:r>
        <w:rPr>
          <w:rFonts w:eastAsia="Times New Roman"/>
        </w:rPr>
        <w:t xml:space="preserve">, </w:t>
      </w:r>
      <w:r>
        <w:rPr>
          <w:rFonts w:ascii="Courier New" w:eastAsia="Courier New" w:hAnsi="Courier New"/>
          <w:sz w:val="22"/>
        </w:rPr>
        <w:t>Z_LAB</w:t>
      </w:r>
      <w:r>
        <w:rPr>
          <w:rFonts w:eastAsia="Times New Roman"/>
        </w:rPr>
        <w:t xml:space="preserve">, </w:t>
      </w:r>
      <w:r>
        <w:rPr>
          <w:rFonts w:ascii="Courier New" w:eastAsia="Courier New" w:hAnsi="Courier New"/>
          <w:sz w:val="22"/>
        </w:rPr>
        <w:t>Z_TERR</w:t>
      </w:r>
      <w:r>
        <w:rPr>
          <w:rFonts w:eastAsia="Times New Roman"/>
        </w:rPr>
        <w:t xml:space="preserve">, </w:t>
      </w:r>
      <w:r>
        <w:rPr>
          <w:rFonts w:ascii="Courier New" w:eastAsia="Courier New" w:hAnsi="Courier New"/>
          <w:sz w:val="22"/>
        </w:rPr>
        <w:t>Z_INFRA</w:t>
      </w:r>
      <w:r>
        <w:rPr>
          <w:rFonts w:eastAsia="Times New Roman"/>
        </w:rPr>
        <w:t xml:space="preserve">, </w:t>
      </w:r>
      <w:r>
        <w:rPr>
          <w:rFonts w:ascii="Courier New" w:eastAsia="Courier New" w:hAnsi="Courier New"/>
          <w:sz w:val="22"/>
        </w:rPr>
        <w:t>Z_SERV</w:t>
      </w:r>
      <w:r>
        <w:rPr>
          <w:rFonts w:eastAsia="Times New Roman"/>
        </w:rPr>
        <w:t xml:space="preserve">) gerados por distribuição normal multivariada com correlações moderadas. Esses fatores </w:t>
      </w:r>
      <w:r>
        <w:rPr>
          <w:rFonts w:eastAsia="Times New Roman"/>
          <w:b/>
        </w:rPr>
        <w:t>não</w:t>
      </w:r>
      <w:r>
        <w:rPr>
          <w:rFonts w:eastAsia="Times New Roman"/>
        </w:rPr>
        <w:t xml:space="preserve"> vão ao Flutter, à API, ao ML nem ao IV-DSS.</w:t>
      </w:r>
    </w:p>
    <w:p w14:paraId="0D481C47" w14:textId="77777777" w:rsidR="00E62C65" w:rsidRDefault="00474360">
      <w:pPr>
        <w:pStyle w:val="Commarcadores"/>
        <w:spacing w:line="360" w:lineRule="auto"/>
        <w:ind w:left="454" w:hanging="227"/>
      </w:pPr>
      <w:r>
        <w:rPr>
          <w:rFonts w:eastAsia="Times New Roman"/>
          <w:b/>
        </w:rPr>
        <w:t>Camadas de geração:</w:t>
      </w:r>
      <w:r>
        <w:rPr>
          <w:rFonts w:eastAsia="Times New Roman"/>
        </w:rPr>
        <w:t xml:space="preserve"> fatores latentes → variáveis base → variáveis dependentes/condicionais → multiselects/descritivas → validação das invariantes do schema → fatores </w:t>
      </w:r>
      <w:r>
        <w:rPr>
          <w:rFonts w:ascii="Courier New" w:eastAsia="Courier New" w:hAnsi="Courier New"/>
          <w:sz w:val="22"/>
        </w:rPr>
        <w:t>g_*</w:t>
      </w:r>
      <w:r>
        <w:rPr>
          <w:rFonts w:eastAsia="Times New Roman"/>
        </w:rPr>
        <w:t xml:space="preserve"> → Y → IV-DSS.</w:t>
      </w:r>
    </w:p>
    <w:p w14:paraId="22718C7D" w14:textId="77777777" w:rsidR="00E62C65" w:rsidRDefault="00474360">
      <w:pPr>
        <w:pStyle w:val="Commarcadores"/>
        <w:spacing w:line="360" w:lineRule="auto"/>
        <w:ind w:left="454" w:hanging="227"/>
      </w:pPr>
      <w:r>
        <w:rPr>
          <w:rFonts w:eastAsia="Times New Roman"/>
          <w:b/>
        </w:rPr>
        <w:t>Fatores g:</w:t>
      </w:r>
      <w:r>
        <w:rPr>
          <w:rFonts w:eastAsia="Times New Roman"/>
        </w:rPr>
        <w:t xml:space="preserve"> oito fatores internos derivados de </w:t>
      </w:r>
      <w:r>
        <w:rPr>
          <w:rFonts w:ascii="Courier New" w:eastAsia="Courier New" w:hAnsi="Courier New"/>
          <w:sz w:val="22"/>
        </w:rPr>
        <w:t>Q_full</w:t>
      </w:r>
      <w:r>
        <w:rPr>
          <w:rFonts w:eastAsia="Times New Roman"/>
        </w:rPr>
        <w:t xml:space="preserve"> (</w:t>
      </w:r>
      <w:r>
        <w:rPr>
          <w:rFonts w:ascii="Courier New" w:eastAsia="Courier New" w:hAnsi="Courier New"/>
          <w:sz w:val="22"/>
        </w:rPr>
        <w:t>g_escolaridade</w:t>
      </w:r>
      <w:r>
        <w:rPr>
          <w:rFonts w:eastAsia="Times New Roman"/>
        </w:rPr>
        <w:t xml:space="preserve">, </w:t>
      </w:r>
      <w:r>
        <w:rPr>
          <w:rFonts w:ascii="Courier New" w:eastAsia="Courier New" w:hAnsi="Courier New"/>
          <w:sz w:val="22"/>
        </w:rPr>
        <w:t>g_renda</w:t>
      </w:r>
      <w:r>
        <w:rPr>
          <w:rFonts w:eastAsia="Times New Roman"/>
        </w:rPr>
        <w:t xml:space="preserve">, </w:t>
      </w:r>
      <w:r>
        <w:rPr>
          <w:rFonts w:ascii="Courier New" w:eastAsia="Courier New" w:hAnsi="Courier New"/>
          <w:sz w:val="22"/>
        </w:rPr>
        <w:t>g_distancia</w:t>
      </w:r>
      <w:r>
        <w:rPr>
          <w:rFonts w:eastAsia="Times New Roman"/>
        </w:rPr>
        <w:t xml:space="preserve">, </w:t>
      </w:r>
      <w:r>
        <w:rPr>
          <w:rFonts w:ascii="Courier New" w:eastAsia="Courier New" w:hAnsi="Courier New"/>
          <w:sz w:val="22"/>
        </w:rPr>
        <w:t>g_transporte</w:t>
      </w:r>
      <w:r>
        <w:rPr>
          <w:rFonts w:eastAsia="Times New Roman"/>
        </w:rPr>
        <w:t xml:space="preserve">, </w:t>
      </w:r>
      <w:r>
        <w:rPr>
          <w:rFonts w:ascii="Courier New" w:eastAsia="Courier New" w:hAnsi="Courier New"/>
          <w:sz w:val="22"/>
        </w:rPr>
        <w:t>g_organizacao</w:t>
      </w:r>
      <w:r>
        <w:rPr>
          <w:rFonts w:eastAsia="Times New Roman"/>
        </w:rPr>
        <w:t xml:space="preserve">, </w:t>
      </w:r>
      <w:r>
        <w:rPr>
          <w:rFonts w:ascii="Courier New" w:eastAsia="Courier New" w:hAnsi="Courier New"/>
          <w:sz w:val="22"/>
        </w:rPr>
        <w:t>g_trabalho</w:t>
      </w:r>
      <w:r>
        <w:rPr>
          <w:rFonts w:eastAsia="Times New Roman"/>
        </w:rPr>
        <w:t xml:space="preserve">, </w:t>
      </w:r>
      <w:r>
        <w:rPr>
          <w:rFonts w:ascii="Courier New" w:eastAsia="Courier New" w:hAnsi="Courier New"/>
          <w:sz w:val="22"/>
        </w:rPr>
        <w:t>g_privacao_alimentar</w:t>
      </w:r>
      <w:r>
        <w:rPr>
          <w:rFonts w:eastAsia="Times New Roman"/>
        </w:rPr>
        <w:t xml:space="preserve">, </w:t>
      </w:r>
      <w:r>
        <w:rPr>
          <w:rFonts w:ascii="Courier New" w:eastAsia="Courier New" w:hAnsi="Courier New"/>
          <w:sz w:val="22"/>
        </w:rPr>
        <w:t>g_adensamento</w:t>
      </w:r>
      <w:r>
        <w:rPr>
          <w:rFonts w:eastAsia="Times New Roman"/>
        </w:rPr>
        <w:t>) alimentam o escore latente de Y, com duas interações experimentais (</w:t>
      </w:r>
      <w:r>
        <w:rPr>
          <w:rFonts w:ascii="Courier New" w:eastAsia="Courier New" w:hAnsi="Courier New"/>
          <w:sz w:val="22"/>
        </w:rPr>
        <w:t>g_renda × g_privacao_alimentar</w:t>
      </w:r>
      <w:r>
        <w:rPr>
          <w:rFonts w:eastAsia="Times New Roman"/>
        </w:rPr>
        <w:t xml:space="preserve">, </w:t>
      </w:r>
      <w:r>
        <w:rPr>
          <w:rFonts w:ascii="Courier New" w:eastAsia="Courier New" w:hAnsi="Courier New"/>
          <w:sz w:val="22"/>
        </w:rPr>
        <w:t>g_distancia × g_transporte</w:t>
      </w:r>
      <w:r>
        <w:rPr>
          <w:rFonts w:eastAsia="Times New Roman"/>
        </w:rPr>
        <w:t>).</w:t>
      </w:r>
    </w:p>
    <w:p w14:paraId="79274FD4" w14:textId="77777777" w:rsidR="00E62C65" w:rsidRDefault="00474360">
      <w:pPr>
        <w:pStyle w:val="Commarcadores"/>
        <w:spacing w:line="360" w:lineRule="auto"/>
        <w:ind w:left="454" w:hanging="227"/>
      </w:pPr>
      <w:r>
        <w:rPr>
          <w:rFonts w:eastAsia="Times New Roman"/>
          <w:b/>
        </w:rPr>
        <w:t>Equação:</w:t>
      </w:r>
      <w:r>
        <w:rPr>
          <w:rFonts w:eastAsia="Times New Roman"/>
        </w:rPr>
        <w:t xml:space="preserve"> </w:t>
      </w:r>
      <w:r>
        <w:rPr>
          <w:rFonts w:ascii="Courier New" w:eastAsia="Courier New" w:hAnsi="Courier New"/>
          <w:sz w:val="22"/>
        </w:rPr>
        <w:t>eta = alpha + 0.50·E + 0.55·R + 0.45·D + 0.55·T + 0.40·O + 0.40·W + 0.30·F + 0.25·H + 0.30·(R·F) + 0.35·(D·T) + U</w:t>
      </w:r>
      <w:r>
        <w:rPr>
          <w:rFonts w:eastAsia="Times New Roman"/>
        </w:rPr>
        <w:t xml:space="preserve">, com </w:t>
      </w:r>
      <w:r>
        <w:rPr>
          <w:rFonts w:ascii="Courier New" w:eastAsia="Courier New" w:hAnsi="Courier New"/>
          <w:sz w:val="22"/>
        </w:rPr>
        <w:t>U ~ Normal(0, 0.50)</w:t>
      </w:r>
      <w:r>
        <w:rPr>
          <w:rFonts w:eastAsia="Times New Roman"/>
        </w:rPr>
        <w:t xml:space="preserve">; depois </w:t>
      </w:r>
      <w:r>
        <w:rPr>
          <w:rFonts w:ascii="Courier New" w:eastAsia="Courier New" w:hAnsi="Courier New"/>
          <w:sz w:val="22"/>
        </w:rPr>
        <w:t>p = sigmoid(eta)</w:t>
      </w:r>
      <w:r>
        <w:rPr>
          <w:rFonts w:eastAsia="Times New Roman"/>
        </w:rPr>
        <w:t xml:space="preserve"> e </w:t>
      </w:r>
      <w:r>
        <w:rPr>
          <w:rFonts w:ascii="Courier New" w:eastAsia="Courier New" w:hAnsi="Courier New"/>
          <w:sz w:val="22"/>
        </w:rPr>
        <w:t>Y ~ Bernoulli(p)</w:t>
      </w:r>
      <w:r>
        <w:rPr>
          <w:rFonts w:eastAsia="Times New Roman"/>
        </w:rPr>
        <w:t>.</w:t>
      </w:r>
    </w:p>
    <w:p w14:paraId="742E6F99" w14:textId="77777777" w:rsidR="00E62C65" w:rsidRDefault="00474360">
      <w:pPr>
        <w:pStyle w:val="Commarcadores"/>
        <w:spacing w:line="360" w:lineRule="auto"/>
        <w:ind w:left="454" w:hanging="227"/>
      </w:pPr>
      <w:r>
        <w:rPr>
          <w:rFonts w:eastAsia="Times New Roman"/>
          <w:b/>
        </w:rPr>
        <w:t>Calibração do intercepto:</w:t>
      </w:r>
      <w:r>
        <w:rPr>
          <w:rFonts w:eastAsia="Times New Roman"/>
        </w:rPr>
        <w:t xml:space="preserve"> </w:t>
      </w:r>
      <w:r>
        <w:rPr>
          <w:rFonts w:ascii="Courier New" w:eastAsia="Courier New" w:hAnsi="Courier New"/>
          <w:sz w:val="22"/>
        </w:rPr>
        <w:t>alpha</w:t>
      </w:r>
      <w:r>
        <w:rPr>
          <w:rFonts w:eastAsia="Times New Roman"/>
        </w:rPr>
        <w:t xml:space="preserve"> é calibrado numericamente para que a média das probabilidades verdadeiras ≈ proporção sintética planejada (~25%).</w:t>
      </w:r>
    </w:p>
    <w:p w14:paraId="347C3CE4" w14:textId="77777777" w:rsidR="00E62C65" w:rsidRDefault="00474360">
      <w:pPr>
        <w:pStyle w:val="Commarcadores"/>
        <w:spacing w:line="360" w:lineRule="auto"/>
        <w:ind w:left="454" w:hanging="227"/>
      </w:pPr>
      <w:r>
        <w:rPr>
          <w:rFonts w:eastAsia="Times New Roman"/>
          <w:b/>
        </w:rPr>
        <w:t>Não-determinismo controlado:</w:t>
      </w:r>
      <w:r>
        <w:rPr>
          <w:rFonts w:eastAsia="Times New Roman"/>
        </w:rPr>
        <w:t xml:space="preserve"> </w:t>
      </w:r>
      <w:r>
        <w:rPr>
          <w:rFonts w:ascii="Courier New" w:eastAsia="Courier New" w:hAnsi="Courier New"/>
          <w:sz w:val="22"/>
        </w:rPr>
        <w:t>faixa_renda = nao_informar</w:t>
      </w:r>
      <w:r>
        <w:rPr>
          <w:rFonts w:eastAsia="Times New Roman"/>
        </w:rPr>
        <w:t xml:space="preserve"> em pequena parcela dos registros — o simulador conhece a condição econômica verdadeira antes da ocultação; o modelo recebe apenas </w:t>
      </w:r>
      <w:r>
        <w:rPr>
          <w:rFonts w:ascii="Courier New" w:eastAsia="Courier New" w:hAnsi="Courier New"/>
          <w:sz w:val="22"/>
        </w:rPr>
        <w:t>nao_informar</w:t>
      </w:r>
      <w:r>
        <w:rPr>
          <w:rFonts w:eastAsia="Times New Roman"/>
        </w:rPr>
        <w:t>.</w:t>
      </w:r>
    </w:p>
    <w:p w14:paraId="1D38B77E" w14:textId="77777777" w:rsidR="00E62C65" w:rsidRDefault="00474360">
      <w:pPr>
        <w:spacing w:after="0" w:line="360" w:lineRule="auto"/>
        <w:ind w:firstLine="709"/>
        <w:jc w:val="both"/>
      </w:pPr>
      <w:r>
        <w:rPr>
          <w:rFonts w:eastAsia="Times New Roman"/>
        </w:rPr>
        <w:t xml:space="preserve">O dataset foi </w:t>
      </w:r>
      <w:r>
        <w:rPr>
          <w:rFonts w:eastAsia="Times New Roman"/>
          <w:b/>
        </w:rPr>
        <w:t>gerado</w:t>
      </w:r>
      <w:r>
        <w:rPr>
          <w:rFonts w:eastAsia="Times New Roman"/>
        </w:rPr>
        <w:t xml:space="preserve"> com as seguintes configurações: </w:t>
      </w:r>
      <w:r>
        <w:rPr>
          <w:rFonts w:eastAsia="Times New Roman"/>
          <w:b/>
        </w:rPr>
        <w:t>5.000 registros</w:t>
      </w:r>
      <w:r>
        <w:rPr>
          <w:rFonts w:eastAsia="Times New Roman"/>
        </w:rPr>
        <w:t xml:space="preserve">, </w:t>
      </w:r>
      <w:r>
        <w:rPr>
          <w:rFonts w:eastAsia="Times New Roman"/>
          <w:b/>
        </w:rPr>
        <w:t>proporção sintética planejada ~25%</w:t>
      </w:r>
      <w:r>
        <w:rPr>
          <w:rFonts w:eastAsia="Times New Roman"/>
        </w:rPr>
        <w:t xml:space="preserve"> de Y=1 (não chamar de "prevalência"), seed fixa </w:t>
      </w:r>
      <w:r>
        <w:rPr>
          <w:rFonts w:ascii="Courier New" w:eastAsia="Courier New" w:hAnsi="Courier New"/>
          <w:sz w:val="22"/>
        </w:rPr>
        <w:t>42</w:t>
      </w:r>
      <w:r>
        <w:rPr>
          <w:rFonts w:eastAsia="Times New Roman"/>
        </w:rPr>
        <w:t>. Cenários de sensibilidade futuros: ~15%, ~25%, ~35%.</w:t>
      </w:r>
    </w:p>
    <w:p w14:paraId="23E42D40" w14:textId="77777777" w:rsidR="00114E20" w:rsidRDefault="00D41E34">
      <w:r>
        <w:t>O desenho do estudo de simulação e do gerador probabilístico (DGM) apoia-se nas recomendações metodológicas para estudos de simulação em estatística médica (BURTON et al., 2006; MORRIS; WHITE; CROWTHER, 2019), e a utilização de dados sintéticos para avaliação controlada de modelos preditivos em saúde encontra paralelo em trabalhos recentes (PRABA; VANI; SUGANYA, 2026). A Figura 4 esquematiza o processo gerador.</w:t>
      </w:r>
    </w:p>
    <w:p w14:paraId="03A8A6E0" w14:textId="77777777" w:rsidR="00114E20" w:rsidRDefault="00D41E34">
      <w:pPr>
        <w:jc w:val="center"/>
      </w:pPr>
      <w:r>
        <w:t>Figura 4 — Modelo gerador de dados sintéticos (DGM): do questionário ao desfecho Bernoulli</w:t>
      </w:r>
    </w:p>
    <w:p w14:paraId="7816A2CF" w14:textId="77777777" w:rsidR="00114E20" w:rsidRDefault="00D41E34">
      <w:pPr>
        <w:jc w:val="center"/>
      </w:pPr>
      <w:r>
        <w:rPr>
          <w:noProof/>
        </w:rPr>
        <w:lastRenderedPageBreak/>
        <w:drawing>
          <wp:inline distT="0" distB="0" distL="0" distR="0" wp14:anchorId="4A9055B8" wp14:editId="1E354D29">
            <wp:extent cx="5400000" cy="30633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gm.png"/>
                    <pic:cNvPicPr/>
                  </pic:nvPicPr>
                  <pic:blipFill>
                    <a:blip r:embed="rId11"/>
                    <a:stretch>
                      <a:fillRect/>
                    </a:stretch>
                  </pic:blipFill>
                  <pic:spPr>
                    <a:xfrm>
                      <a:off x="0" y="0"/>
                      <a:ext cx="5400000" cy="3063396"/>
                    </a:xfrm>
                    <a:prstGeom prst="rect">
                      <a:avLst/>
                    </a:prstGeom>
                  </pic:spPr>
                </pic:pic>
              </a:graphicData>
            </a:graphic>
          </wp:inline>
        </w:drawing>
      </w:r>
    </w:p>
    <w:p w14:paraId="1770CB53" w14:textId="77777777" w:rsidR="00114E20" w:rsidRDefault="00D41E34">
      <w:pPr>
        <w:jc w:val="center"/>
      </w:pPr>
      <w:r>
        <w:rPr>
          <w:sz w:val="18"/>
        </w:rPr>
        <w:t>Fonte: elaborado pelo autor.</w:t>
      </w:r>
    </w:p>
    <w:p w14:paraId="5D34E6D3" w14:textId="77777777" w:rsidR="004E587F" w:rsidRDefault="00D46B31">
      <w:r>
        <w:t>A título de transparência metodológica, a Tabela 2 apresenta uma amostra literal dos registros do conjunto de dados sintéticos efetivamente empregado no experimento. Como a exibição integral das 48 variáveis comprometeria a legibilidade, foram selecionadas oito variáveis representativas — uma por dimensão dos DSS, cobrindo educação (escolaridade), trabalho e renda (faixa_renda, empregado), saneamento (fonte_agua), saúde (cadastrada_ubs), habitação (tipo_moradia) e alimentação (refeicoes_por_dia) —, além da variável-alvo (descontinuou_pre_natal). Os valores são reproduzidos exatamente como constam no arquivo congelado, preservando os códigos snake_case do schema 1.13, e correspondem aos cinco primeiros registros (índices 0 a 4) e aos cinco últimos (índices 4.995 a 4.999).</w:t>
      </w:r>
    </w:p>
    <w:p w14:paraId="518804EB" w14:textId="77777777" w:rsidR="004E587F" w:rsidRDefault="00D46B31">
      <w:r>
        <w:rPr>
          <w:b/>
        </w:rPr>
        <w:t>Tabela 2 – Amostra do conjunto de dados sintético utilizado no experimento</w:t>
      </w:r>
    </w:p>
    <w:tbl>
      <w:tblPr>
        <w:tblStyle w:val="Tabelacomgrade"/>
        <w:tblW w:w="9072" w:type="dxa"/>
        <w:tblLayout w:type="fixed"/>
        <w:tblLook w:val="04A0" w:firstRow="1" w:lastRow="0" w:firstColumn="1" w:lastColumn="0" w:noHBand="0" w:noVBand="1"/>
      </w:tblPr>
      <w:tblGrid>
        <w:gridCol w:w="1008"/>
        <w:gridCol w:w="1008"/>
        <w:gridCol w:w="1008"/>
        <w:gridCol w:w="1008"/>
        <w:gridCol w:w="1008"/>
        <w:gridCol w:w="1008"/>
        <w:gridCol w:w="1008"/>
        <w:gridCol w:w="1008"/>
        <w:gridCol w:w="1008"/>
      </w:tblGrid>
      <w:tr w:rsidR="004E587F" w14:paraId="21314177" w14:textId="77777777">
        <w:tc>
          <w:tcPr>
            <w:tcW w:w="1008" w:type="dxa"/>
          </w:tcPr>
          <w:p w14:paraId="6A318429" w14:textId="77777777" w:rsidR="004E587F" w:rsidRDefault="00D46B31">
            <w:r>
              <w:rPr>
                <w:b/>
                <w:sz w:val="18"/>
              </w:rPr>
              <w:t>ID</w:t>
            </w:r>
          </w:p>
        </w:tc>
        <w:tc>
          <w:tcPr>
            <w:tcW w:w="1008" w:type="dxa"/>
          </w:tcPr>
          <w:p w14:paraId="08A7FC1A" w14:textId="77777777" w:rsidR="004E587F" w:rsidRDefault="00D46B31">
            <w:r>
              <w:rPr>
                <w:b/>
                <w:sz w:val="18"/>
              </w:rPr>
              <w:t>Escolaridade</w:t>
            </w:r>
          </w:p>
        </w:tc>
        <w:tc>
          <w:tcPr>
            <w:tcW w:w="1008" w:type="dxa"/>
          </w:tcPr>
          <w:p w14:paraId="2F7F37CE" w14:textId="77777777" w:rsidR="004E587F" w:rsidRDefault="00D46B31">
            <w:r>
              <w:rPr>
                <w:b/>
                <w:sz w:val="18"/>
              </w:rPr>
              <w:t>Faixa de renda</w:t>
            </w:r>
          </w:p>
        </w:tc>
        <w:tc>
          <w:tcPr>
            <w:tcW w:w="1008" w:type="dxa"/>
          </w:tcPr>
          <w:p w14:paraId="3E8CA2D1" w14:textId="77777777" w:rsidR="004E587F" w:rsidRDefault="00D46B31">
            <w:r>
              <w:rPr>
                <w:b/>
                <w:sz w:val="18"/>
              </w:rPr>
              <w:t>Empregada</w:t>
            </w:r>
          </w:p>
        </w:tc>
        <w:tc>
          <w:tcPr>
            <w:tcW w:w="1008" w:type="dxa"/>
          </w:tcPr>
          <w:p w14:paraId="344F029E" w14:textId="77777777" w:rsidR="004E587F" w:rsidRDefault="00D46B31">
            <w:r>
              <w:rPr>
                <w:b/>
                <w:sz w:val="18"/>
              </w:rPr>
              <w:t>Fonte de água</w:t>
            </w:r>
          </w:p>
        </w:tc>
        <w:tc>
          <w:tcPr>
            <w:tcW w:w="1008" w:type="dxa"/>
          </w:tcPr>
          <w:p w14:paraId="5624474E" w14:textId="77777777" w:rsidR="004E587F" w:rsidRDefault="00D46B31">
            <w:r>
              <w:rPr>
                <w:b/>
                <w:sz w:val="18"/>
              </w:rPr>
              <w:t>Cadastrada na UBS</w:t>
            </w:r>
          </w:p>
        </w:tc>
        <w:tc>
          <w:tcPr>
            <w:tcW w:w="1008" w:type="dxa"/>
          </w:tcPr>
          <w:p w14:paraId="48D0685B" w14:textId="77777777" w:rsidR="004E587F" w:rsidRDefault="00D46B31">
            <w:r>
              <w:rPr>
                <w:b/>
                <w:sz w:val="18"/>
              </w:rPr>
              <w:t>Tipo de moradia</w:t>
            </w:r>
          </w:p>
        </w:tc>
        <w:tc>
          <w:tcPr>
            <w:tcW w:w="1008" w:type="dxa"/>
          </w:tcPr>
          <w:p w14:paraId="7E404FE9" w14:textId="77777777" w:rsidR="004E587F" w:rsidRDefault="00D46B31">
            <w:r>
              <w:rPr>
                <w:b/>
                <w:sz w:val="18"/>
              </w:rPr>
              <w:t>Refeições/dia</w:t>
            </w:r>
          </w:p>
        </w:tc>
        <w:tc>
          <w:tcPr>
            <w:tcW w:w="1008" w:type="dxa"/>
          </w:tcPr>
          <w:p w14:paraId="04468A38" w14:textId="77777777" w:rsidR="004E587F" w:rsidRDefault="00D46B31">
            <w:r>
              <w:rPr>
                <w:b/>
                <w:sz w:val="18"/>
              </w:rPr>
              <w:t>Descontinuou pré-natal (alvo sintético)</w:t>
            </w:r>
          </w:p>
        </w:tc>
      </w:tr>
      <w:tr w:rsidR="004E587F" w14:paraId="1841EA6A" w14:textId="77777777">
        <w:tc>
          <w:tcPr>
            <w:tcW w:w="1008" w:type="dxa"/>
          </w:tcPr>
          <w:p w14:paraId="79A931C4" w14:textId="77777777" w:rsidR="004E587F" w:rsidRDefault="00D46B31">
            <w:r>
              <w:rPr>
                <w:sz w:val="18"/>
              </w:rPr>
              <w:t>0</w:t>
            </w:r>
          </w:p>
        </w:tc>
        <w:tc>
          <w:tcPr>
            <w:tcW w:w="1008" w:type="dxa"/>
          </w:tcPr>
          <w:p w14:paraId="6AE72D9A" w14:textId="77777777" w:rsidR="004E587F" w:rsidRDefault="00D46B31">
            <w:r>
              <w:rPr>
                <w:sz w:val="18"/>
              </w:rPr>
              <w:t>superior_incompleto</w:t>
            </w:r>
          </w:p>
        </w:tc>
        <w:tc>
          <w:tcPr>
            <w:tcW w:w="1008" w:type="dxa"/>
          </w:tcPr>
          <w:p w14:paraId="41CD6176" w14:textId="77777777" w:rsidR="004E587F" w:rsidRDefault="00D46B31">
            <w:r>
              <w:rPr>
                <w:sz w:val="18"/>
              </w:rPr>
              <w:t>entre_2_3_sm</w:t>
            </w:r>
          </w:p>
        </w:tc>
        <w:tc>
          <w:tcPr>
            <w:tcW w:w="1008" w:type="dxa"/>
          </w:tcPr>
          <w:p w14:paraId="7F20B0B9" w14:textId="77777777" w:rsidR="004E587F" w:rsidRDefault="00D46B31">
            <w:r>
              <w:rPr>
                <w:sz w:val="18"/>
              </w:rPr>
              <w:t>false</w:t>
            </w:r>
          </w:p>
        </w:tc>
        <w:tc>
          <w:tcPr>
            <w:tcW w:w="1008" w:type="dxa"/>
          </w:tcPr>
          <w:p w14:paraId="2428A6A4" w14:textId="77777777" w:rsidR="004E587F" w:rsidRDefault="00D46B31">
            <w:r>
              <w:rPr>
                <w:sz w:val="18"/>
              </w:rPr>
              <w:t>rede_publica</w:t>
            </w:r>
          </w:p>
        </w:tc>
        <w:tc>
          <w:tcPr>
            <w:tcW w:w="1008" w:type="dxa"/>
          </w:tcPr>
          <w:p w14:paraId="468D97C0" w14:textId="77777777" w:rsidR="004E587F" w:rsidRDefault="00D46B31">
            <w:r>
              <w:rPr>
                <w:sz w:val="18"/>
              </w:rPr>
              <w:t>true</w:t>
            </w:r>
          </w:p>
        </w:tc>
        <w:tc>
          <w:tcPr>
            <w:tcW w:w="1008" w:type="dxa"/>
          </w:tcPr>
          <w:p w14:paraId="4103871A" w14:textId="77777777" w:rsidR="004E587F" w:rsidRDefault="00D46B31">
            <w:r>
              <w:rPr>
                <w:sz w:val="18"/>
              </w:rPr>
              <w:t>apartamento</w:t>
            </w:r>
          </w:p>
        </w:tc>
        <w:tc>
          <w:tcPr>
            <w:tcW w:w="1008" w:type="dxa"/>
          </w:tcPr>
          <w:p w14:paraId="3F62CEEE" w14:textId="77777777" w:rsidR="004E587F" w:rsidRDefault="00D46B31">
            <w:r>
              <w:rPr>
                <w:sz w:val="18"/>
              </w:rPr>
              <w:t>tres</w:t>
            </w:r>
          </w:p>
        </w:tc>
        <w:tc>
          <w:tcPr>
            <w:tcW w:w="1008" w:type="dxa"/>
          </w:tcPr>
          <w:p w14:paraId="4CA95C2C" w14:textId="77777777" w:rsidR="004E587F" w:rsidRDefault="00D46B31">
            <w:r>
              <w:rPr>
                <w:sz w:val="18"/>
              </w:rPr>
              <w:t>0</w:t>
            </w:r>
          </w:p>
        </w:tc>
      </w:tr>
      <w:tr w:rsidR="004E587F" w14:paraId="1930F890" w14:textId="77777777">
        <w:tc>
          <w:tcPr>
            <w:tcW w:w="1008" w:type="dxa"/>
          </w:tcPr>
          <w:p w14:paraId="33CAA399" w14:textId="77777777" w:rsidR="004E587F" w:rsidRDefault="00D46B31">
            <w:r>
              <w:rPr>
                <w:sz w:val="18"/>
              </w:rPr>
              <w:t>1</w:t>
            </w:r>
          </w:p>
        </w:tc>
        <w:tc>
          <w:tcPr>
            <w:tcW w:w="1008" w:type="dxa"/>
          </w:tcPr>
          <w:p w14:paraId="7FF2FC2B" w14:textId="77777777" w:rsidR="004E587F" w:rsidRDefault="00D46B31">
            <w:r>
              <w:rPr>
                <w:sz w:val="18"/>
              </w:rPr>
              <w:t>medio_completo</w:t>
            </w:r>
          </w:p>
        </w:tc>
        <w:tc>
          <w:tcPr>
            <w:tcW w:w="1008" w:type="dxa"/>
          </w:tcPr>
          <w:p w14:paraId="27C10ACA" w14:textId="77777777" w:rsidR="004E587F" w:rsidRDefault="00D46B31">
            <w:r>
              <w:rPr>
                <w:sz w:val="18"/>
              </w:rPr>
              <w:t>ate_1_sm</w:t>
            </w:r>
          </w:p>
        </w:tc>
        <w:tc>
          <w:tcPr>
            <w:tcW w:w="1008" w:type="dxa"/>
          </w:tcPr>
          <w:p w14:paraId="33C7A2F4" w14:textId="77777777" w:rsidR="004E587F" w:rsidRDefault="00D46B31">
            <w:r>
              <w:rPr>
                <w:sz w:val="18"/>
              </w:rPr>
              <w:t>true</w:t>
            </w:r>
          </w:p>
        </w:tc>
        <w:tc>
          <w:tcPr>
            <w:tcW w:w="1008" w:type="dxa"/>
          </w:tcPr>
          <w:p w14:paraId="0CC32DA1" w14:textId="77777777" w:rsidR="004E587F" w:rsidRDefault="00D46B31">
            <w:r>
              <w:rPr>
                <w:sz w:val="18"/>
              </w:rPr>
              <w:t>rede_publica</w:t>
            </w:r>
          </w:p>
        </w:tc>
        <w:tc>
          <w:tcPr>
            <w:tcW w:w="1008" w:type="dxa"/>
          </w:tcPr>
          <w:p w14:paraId="36BA3BCD" w14:textId="77777777" w:rsidR="004E587F" w:rsidRDefault="00D46B31">
            <w:r>
              <w:rPr>
                <w:sz w:val="18"/>
              </w:rPr>
              <w:t>true</w:t>
            </w:r>
          </w:p>
        </w:tc>
        <w:tc>
          <w:tcPr>
            <w:tcW w:w="1008" w:type="dxa"/>
          </w:tcPr>
          <w:p w14:paraId="2194F7CC" w14:textId="77777777" w:rsidR="004E587F" w:rsidRDefault="00D46B31">
            <w:r>
              <w:rPr>
                <w:sz w:val="18"/>
              </w:rPr>
              <w:t>casa</w:t>
            </w:r>
          </w:p>
        </w:tc>
        <w:tc>
          <w:tcPr>
            <w:tcW w:w="1008" w:type="dxa"/>
          </w:tcPr>
          <w:p w14:paraId="6AF31C28" w14:textId="77777777" w:rsidR="004E587F" w:rsidRDefault="00D46B31">
            <w:r>
              <w:rPr>
                <w:sz w:val="18"/>
              </w:rPr>
              <w:t>tres</w:t>
            </w:r>
          </w:p>
        </w:tc>
        <w:tc>
          <w:tcPr>
            <w:tcW w:w="1008" w:type="dxa"/>
          </w:tcPr>
          <w:p w14:paraId="0B8C1C93" w14:textId="77777777" w:rsidR="004E587F" w:rsidRDefault="00D46B31">
            <w:r>
              <w:rPr>
                <w:sz w:val="18"/>
              </w:rPr>
              <w:t>1</w:t>
            </w:r>
          </w:p>
        </w:tc>
      </w:tr>
      <w:tr w:rsidR="004E587F" w14:paraId="2CC79D93" w14:textId="77777777">
        <w:tc>
          <w:tcPr>
            <w:tcW w:w="1008" w:type="dxa"/>
          </w:tcPr>
          <w:p w14:paraId="06BC78E5" w14:textId="77777777" w:rsidR="004E587F" w:rsidRDefault="00D46B31">
            <w:r>
              <w:rPr>
                <w:sz w:val="18"/>
              </w:rPr>
              <w:t>2</w:t>
            </w:r>
          </w:p>
        </w:tc>
        <w:tc>
          <w:tcPr>
            <w:tcW w:w="1008" w:type="dxa"/>
          </w:tcPr>
          <w:p w14:paraId="07768EBC" w14:textId="77777777" w:rsidR="004E587F" w:rsidRDefault="00D46B31">
            <w:r>
              <w:rPr>
                <w:sz w:val="18"/>
              </w:rPr>
              <w:t>medio_incompleto</w:t>
            </w:r>
          </w:p>
        </w:tc>
        <w:tc>
          <w:tcPr>
            <w:tcW w:w="1008" w:type="dxa"/>
          </w:tcPr>
          <w:p w14:paraId="6A4E75D8" w14:textId="77777777" w:rsidR="004E587F" w:rsidRDefault="00D46B31">
            <w:r>
              <w:rPr>
                <w:sz w:val="18"/>
              </w:rPr>
              <w:t>entre_1_2_sm</w:t>
            </w:r>
          </w:p>
        </w:tc>
        <w:tc>
          <w:tcPr>
            <w:tcW w:w="1008" w:type="dxa"/>
          </w:tcPr>
          <w:p w14:paraId="5F0BDE78" w14:textId="77777777" w:rsidR="004E587F" w:rsidRDefault="00D46B31">
            <w:r>
              <w:rPr>
                <w:sz w:val="18"/>
              </w:rPr>
              <w:t>true</w:t>
            </w:r>
          </w:p>
        </w:tc>
        <w:tc>
          <w:tcPr>
            <w:tcW w:w="1008" w:type="dxa"/>
          </w:tcPr>
          <w:p w14:paraId="65629D39" w14:textId="77777777" w:rsidR="004E587F" w:rsidRDefault="00D46B31">
            <w:r>
              <w:rPr>
                <w:sz w:val="18"/>
              </w:rPr>
              <w:t>rede_publica</w:t>
            </w:r>
          </w:p>
        </w:tc>
        <w:tc>
          <w:tcPr>
            <w:tcW w:w="1008" w:type="dxa"/>
          </w:tcPr>
          <w:p w14:paraId="133688AC" w14:textId="77777777" w:rsidR="004E587F" w:rsidRDefault="00D46B31">
            <w:r>
              <w:rPr>
                <w:sz w:val="18"/>
              </w:rPr>
              <w:t>true</w:t>
            </w:r>
          </w:p>
        </w:tc>
        <w:tc>
          <w:tcPr>
            <w:tcW w:w="1008" w:type="dxa"/>
          </w:tcPr>
          <w:p w14:paraId="2E25F6B7" w14:textId="77777777" w:rsidR="004E587F" w:rsidRDefault="00D46B31">
            <w:r>
              <w:rPr>
                <w:sz w:val="18"/>
              </w:rPr>
              <w:t>casa</w:t>
            </w:r>
          </w:p>
        </w:tc>
        <w:tc>
          <w:tcPr>
            <w:tcW w:w="1008" w:type="dxa"/>
          </w:tcPr>
          <w:p w14:paraId="0176A838" w14:textId="77777777" w:rsidR="004E587F" w:rsidRDefault="00D46B31">
            <w:r>
              <w:rPr>
                <w:sz w:val="18"/>
              </w:rPr>
              <w:t>tres</w:t>
            </w:r>
          </w:p>
        </w:tc>
        <w:tc>
          <w:tcPr>
            <w:tcW w:w="1008" w:type="dxa"/>
          </w:tcPr>
          <w:p w14:paraId="402028BC" w14:textId="77777777" w:rsidR="004E587F" w:rsidRDefault="00D46B31">
            <w:r>
              <w:rPr>
                <w:sz w:val="18"/>
              </w:rPr>
              <w:t>0</w:t>
            </w:r>
          </w:p>
        </w:tc>
      </w:tr>
      <w:tr w:rsidR="004E587F" w14:paraId="61ABBEBB" w14:textId="77777777">
        <w:tc>
          <w:tcPr>
            <w:tcW w:w="1008" w:type="dxa"/>
          </w:tcPr>
          <w:p w14:paraId="00F4D737" w14:textId="77777777" w:rsidR="004E587F" w:rsidRDefault="00D46B31">
            <w:r>
              <w:rPr>
                <w:sz w:val="18"/>
              </w:rPr>
              <w:t>3</w:t>
            </w:r>
          </w:p>
        </w:tc>
        <w:tc>
          <w:tcPr>
            <w:tcW w:w="1008" w:type="dxa"/>
          </w:tcPr>
          <w:p w14:paraId="4BF0FF0B" w14:textId="77777777" w:rsidR="004E587F" w:rsidRDefault="00D46B31">
            <w:r>
              <w:rPr>
                <w:sz w:val="18"/>
              </w:rPr>
              <w:t>superior_incompleto</w:t>
            </w:r>
          </w:p>
        </w:tc>
        <w:tc>
          <w:tcPr>
            <w:tcW w:w="1008" w:type="dxa"/>
          </w:tcPr>
          <w:p w14:paraId="77752D53" w14:textId="77777777" w:rsidR="004E587F" w:rsidRDefault="00D46B31">
            <w:r>
              <w:rPr>
                <w:sz w:val="18"/>
              </w:rPr>
              <w:t>ate_1_sm</w:t>
            </w:r>
          </w:p>
        </w:tc>
        <w:tc>
          <w:tcPr>
            <w:tcW w:w="1008" w:type="dxa"/>
          </w:tcPr>
          <w:p w14:paraId="6558B6C5" w14:textId="77777777" w:rsidR="004E587F" w:rsidRDefault="00D46B31">
            <w:r>
              <w:rPr>
                <w:sz w:val="18"/>
              </w:rPr>
              <w:t>false</w:t>
            </w:r>
          </w:p>
        </w:tc>
        <w:tc>
          <w:tcPr>
            <w:tcW w:w="1008" w:type="dxa"/>
          </w:tcPr>
          <w:p w14:paraId="176899E2" w14:textId="77777777" w:rsidR="004E587F" w:rsidRDefault="00D46B31">
            <w:r>
              <w:rPr>
                <w:sz w:val="18"/>
              </w:rPr>
              <w:t>rede_publica</w:t>
            </w:r>
          </w:p>
        </w:tc>
        <w:tc>
          <w:tcPr>
            <w:tcW w:w="1008" w:type="dxa"/>
          </w:tcPr>
          <w:p w14:paraId="22E41F50" w14:textId="77777777" w:rsidR="004E587F" w:rsidRDefault="00D46B31">
            <w:r>
              <w:rPr>
                <w:sz w:val="18"/>
              </w:rPr>
              <w:t>true</w:t>
            </w:r>
          </w:p>
        </w:tc>
        <w:tc>
          <w:tcPr>
            <w:tcW w:w="1008" w:type="dxa"/>
          </w:tcPr>
          <w:p w14:paraId="2491F9FC" w14:textId="77777777" w:rsidR="004E587F" w:rsidRDefault="00D46B31">
            <w:r>
              <w:rPr>
                <w:sz w:val="18"/>
              </w:rPr>
              <w:t>casa</w:t>
            </w:r>
          </w:p>
        </w:tc>
        <w:tc>
          <w:tcPr>
            <w:tcW w:w="1008" w:type="dxa"/>
          </w:tcPr>
          <w:p w14:paraId="0F2FFBB0" w14:textId="77777777" w:rsidR="004E587F" w:rsidRDefault="00D46B31">
            <w:r>
              <w:rPr>
                <w:sz w:val="18"/>
              </w:rPr>
              <w:t>tres</w:t>
            </w:r>
          </w:p>
        </w:tc>
        <w:tc>
          <w:tcPr>
            <w:tcW w:w="1008" w:type="dxa"/>
          </w:tcPr>
          <w:p w14:paraId="3ED738D3" w14:textId="77777777" w:rsidR="004E587F" w:rsidRDefault="00D46B31">
            <w:r>
              <w:rPr>
                <w:sz w:val="18"/>
              </w:rPr>
              <w:t>1</w:t>
            </w:r>
          </w:p>
        </w:tc>
      </w:tr>
      <w:tr w:rsidR="004E587F" w14:paraId="1BEAD995" w14:textId="77777777">
        <w:tc>
          <w:tcPr>
            <w:tcW w:w="1008" w:type="dxa"/>
          </w:tcPr>
          <w:p w14:paraId="14C10219" w14:textId="77777777" w:rsidR="004E587F" w:rsidRDefault="00D46B31">
            <w:r>
              <w:rPr>
                <w:sz w:val="18"/>
              </w:rPr>
              <w:t>4</w:t>
            </w:r>
          </w:p>
        </w:tc>
        <w:tc>
          <w:tcPr>
            <w:tcW w:w="1008" w:type="dxa"/>
          </w:tcPr>
          <w:p w14:paraId="4B7A3DB7" w14:textId="77777777" w:rsidR="004E587F" w:rsidRDefault="00D46B31">
            <w:r>
              <w:rPr>
                <w:sz w:val="18"/>
              </w:rPr>
              <w:t>medio_incompleto</w:t>
            </w:r>
          </w:p>
        </w:tc>
        <w:tc>
          <w:tcPr>
            <w:tcW w:w="1008" w:type="dxa"/>
          </w:tcPr>
          <w:p w14:paraId="2B9E7E02" w14:textId="77777777" w:rsidR="004E587F" w:rsidRDefault="00D46B31">
            <w:r>
              <w:rPr>
                <w:sz w:val="18"/>
              </w:rPr>
              <w:t>entre_1_2_sm</w:t>
            </w:r>
          </w:p>
        </w:tc>
        <w:tc>
          <w:tcPr>
            <w:tcW w:w="1008" w:type="dxa"/>
          </w:tcPr>
          <w:p w14:paraId="7A54D51C" w14:textId="77777777" w:rsidR="004E587F" w:rsidRDefault="00D46B31">
            <w:r>
              <w:rPr>
                <w:sz w:val="18"/>
              </w:rPr>
              <w:t>false</w:t>
            </w:r>
          </w:p>
        </w:tc>
        <w:tc>
          <w:tcPr>
            <w:tcW w:w="1008" w:type="dxa"/>
          </w:tcPr>
          <w:p w14:paraId="238090D4" w14:textId="77777777" w:rsidR="004E587F" w:rsidRDefault="00D46B31">
            <w:r>
              <w:rPr>
                <w:sz w:val="18"/>
              </w:rPr>
              <w:t>poco_nascente</w:t>
            </w:r>
          </w:p>
        </w:tc>
        <w:tc>
          <w:tcPr>
            <w:tcW w:w="1008" w:type="dxa"/>
          </w:tcPr>
          <w:p w14:paraId="1640E006" w14:textId="77777777" w:rsidR="004E587F" w:rsidRDefault="00D46B31">
            <w:r>
              <w:rPr>
                <w:sz w:val="18"/>
              </w:rPr>
              <w:t>true</w:t>
            </w:r>
          </w:p>
        </w:tc>
        <w:tc>
          <w:tcPr>
            <w:tcW w:w="1008" w:type="dxa"/>
          </w:tcPr>
          <w:p w14:paraId="51DEF2D6" w14:textId="77777777" w:rsidR="004E587F" w:rsidRDefault="00D46B31">
            <w:r>
              <w:rPr>
                <w:sz w:val="18"/>
              </w:rPr>
              <w:t>casa</w:t>
            </w:r>
          </w:p>
        </w:tc>
        <w:tc>
          <w:tcPr>
            <w:tcW w:w="1008" w:type="dxa"/>
          </w:tcPr>
          <w:p w14:paraId="7116DF78" w14:textId="77777777" w:rsidR="004E587F" w:rsidRDefault="00D46B31">
            <w:r>
              <w:rPr>
                <w:sz w:val="18"/>
              </w:rPr>
              <w:t>quatro_mais</w:t>
            </w:r>
          </w:p>
        </w:tc>
        <w:tc>
          <w:tcPr>
            <w:tcW w:w="1008" w:type="dxa"/>
          </w:tcPr>
          <w:p w14:paraId="1587F5BC" w14:textId="77777777" w:rsidR="004E587F" w:rsidRDefault="00D46B31">
            <w:r>
              <w:rPr>
                <w:sz w:val="18"/>
              </w:rPr>
              <w:t>0</w:t>
            </w:r>
          </w:p>
        </w:tc>
      </w:tr>
      <w:tr w:rsidR="004E587F" w14:paraId="1CE5BC33" w14:textId="77777777">
        <w:tc>
          <w:tcPr>
            <w:tcW w:w="1008" w:type="dxa"/>
          </w:tcPr>
          <w:p w14:paraId="1BA9EA05" w14:textId="77777777" w:rsidR="004E587F" w:rsidRDefault="00D46B31">
            <w:r>
              <w:rPr>
                <w:sz w:val="18"/>
              </w:rPr>
              <w:lastRenderedPageBreak/>
              <w:t>…</w:t>
            </w:r>
          </w:p>
        </w:tc>
        <w:tc>
          <w:tcPr>
            <w:tcW w:w="1008" w:type="dxa"/>
          </w:tcPr>
          <w:p w14:paraId="608380D4" w14:textId="77777777" w:rsidR="004E587F" w:rsidRDefault="00D46B31">
            <w:r>
              <w:rPr>
                <w:sz w:val="18"/>
              </w:rPr>
              <w:t>…</w:t>
            </w:r>
          </w:p>
        </w:tc>
        <w:tc>
          <w:tcPr>
            <w:tcW w:w="1008" w:type="dxa"/>
          </w:tcPr>
          <w:p w14:paraId="2FF23C01" w14:textId="77777777" w:rsidR="004E587F" w:rsidRDefault="00D46B31">
            <w:r>
              <w:rPr>
                <w:sz w:val="18"/>
              </w:rPr>
              <w:t>…</w:t>
            </w:r>
          </w:p>
        </w:tc>
        <w:tc>
          <w:tcPr>
            <w:tcW w:w="1008" w:type="dxa"/>
          </w:tcPr>
          <w:p w14:paraId="7AF4B6EB" w14:textId="77777777" w:rsidR="004E587F" w:rsidRDefault="00D46B31">
            <w:r>
              <w:rPr>
                <w:sz w:val="18"/>
              </w:rPr>
              <w:t>…</w:t>
            </w:r>
          </w:p>
        </w:tc>
        <w:tc>
          <w:tcPr>
            <w:tcW w:w="1008" w:type="dxa"/>
          </w:tcPr>
          <w:p w14:paraId="191A5D4B" w14:textId="77777777" w:rsidR="004E587F" w:rsidRDefault="00D46B31">
            <w:r>
              <w:rPr>
                <w:sz w:val="18"/>
              </w:rPr>
              <w:t>…</w:t>
            </w:r>
          </w:p>
        </w:tc>
        <w:tc>
          <w:tcPr>
            <w:tcW w:w="1008" w:type="dxa"/>
          </w:tcPr>
          <w:p w14:paraId="2379CCE8" w14:textId="77777777" w:rsidR="004E587F" w:rsidRDefault="00D46B31">
            <w:r>
              <w:rPr>
                <w:sz w:val="18"/>
              </w:rPr>
              <w:t>…</w:t>
            </w:r>
          </w:p>
        </w:tc>
        <w:tc>
          <w:tcPr>
            <w:tcW w:w="1008" w:type="dxa"/>
          </w:tcPr>
          <w:p w14:paraId="12B69EC6" w14:textId="77777777" w:rsidR="004E587F" w:rsidRDefault="00D46B31">
            <w:r>
              <w:rPr>
                <w:sz w:val="18"/>
              </w:rPr>
              <w:t>…</w:t>
            </w:r>
          </w:p>
        </w:tc>
        <w:tc>
          <w:tcPr>
            <w:tcW w:w="1008" w:type="dxa"/>
          </w:tcPr>
          <w:p w14:paraId="02F5D824" w14:textId="77777777" w:rsidR="004E587F" w:rsidRDefault="00D46B31">
            <w:r>
              <w:rPr>
                <w:sz w:val="18"/>
              </w:rPr>
              <w:t>…</w:t>
            </w:r>
          </w:p>
        </w:tc>
        <w:tc>
          <w:tcPr>
            <w:tcW w:w="1008" w:type="dxa"/>
          </w:tcPr>
          <w:p w14:paraId="2C719820" w14:textId="77777777" w:rsidR="004E587F" w:rsidRDefault="00D46B31">
            <w:r>
              <w:rPr>
                <w:sz w:val="18"/>
              </w:rPr>
              <w:t>…</w:t>
            </w:r>
          </w:p>
        </w:tc>
      </w:tr>
      <w:tr w:rsidR="004E587F" w14:paraId="699956C2" w14:textId="77777777">
        <w:tc>
          <w:tcPr>
            <w:tcW w:w="1008" w:type="dxa"/>
          </w:tcPr>
          <w:p w14:paraId="3471C054" w14:textId="77777777" w:rsidR="004E587F" w:rsidRDefault="00D46B31">
            <w:r>
              <w:rPr>
                <w:sz w:val="18"/>
              </w:rPr>
              <w:t>4995</w:t>
            </w:r>
          </w:p>
        </w:tc>
        <w:tc>
          <w:tcPr>
            <w:tcW w:w="1008" w:type="dxa"/>
          </w:tcPr>
          <w:p w14:paraId="0AEC1B27" w14:textId="77777777" w:rsidR="004E587F" w:rsidRDefault="00D46B31">
            <w:r>
              <w:rPr>
                <w:sz w:val="18"/>
              </w:rPr>
              <w:t>superior_incompleto</w:t>
            </w:r>
          </w:p>
        </w:tc>
        <w:tc>
          <w:tcPr>
            <w:tcW w:w="1008" w:type="dxa"/>
          </w:tcPr>
          <w:p w14:paraId="1EDA6955" w14:textId="77777777" w:rsidR="004E587F" w:rsidRDefault="00D46B31">
            <w:r>
              <w:rPr>
                <w:sz w:val="18"/>
              </w:rPr>
              <w:t>mais_3_sm</w:t>
            </w:r>
          </w:p>
        </w:tc>
        <w:tc>
          <w:tcPr>
            <w:tcW w:w="1008" w:type="dxa"/>
          </w:tcPr>
          <w:p w14:paraId="3C07A444" w14:textId="77777777" w:rsidR="004E587F" w:rsidRDefault="00D46B31">
            <w:r>
              <w:rPr>
                <w:sz w:val="18"/>
              </w:rPr>
              <w:t>false</w:t>
            </w:r>
          </w:p>
        </w:tc>
        <w:tc>
          <w:tcPr>
            <w:tcW w:w="1008" w:type="dxa"/>
          </w:tcPr>
          <w:p w14:paraId="0C359C00" w14:textId="77777777" w:rsidR="004E587F" w:rsidRDefault="00D46B31">
            <w:r>
              <w:rPr>
                <w:sz w:val="18"/>
              </w:rPr>
              <w:t>rede_publica</w:t>
            </w:r>
          </w:p>
        </w:tc>
        <w:tc>
          <w:tcPr>
            <w:tcW w:w="1008" w:type="dxa"/>
          </w:tcPr>
          <w:p w14:paraId="7FAE5090" w14:textId="77777777" w:rsidR="004E587F" w:rsidRDefault="00D46B31">
            <w:r>
              <w:rPr>
                <w:sz w:val="18"/>
              </w:rPr>
              <w:t>true</w:t>
            </w:r>
          </w:p>
        </w:tc>
        <w:tc>
          <w:tcPr>
            <w:tcW w:w="1008" w:type="dxa"/>
          </w:tcPr>
          <w:p w14:paraId="5D5596BA" w14:textId="77777777" w:rsidR="004E587F" w:rsidRDefault="00D46B31">
            <w:r>
              <w:rPr>
                <w:sz w:val="18"/>
              </w:rPr>
              <w:t>casa</w:t>
            </w:r>
          </w:p>
        </w:tc>
        <w:tc>
          <w:tcPr>
            <w:tcW w:w="1008" w:type="dxa"/>
          </w:tcPr>
          <w:p w14:paraId="3784457F" w14:textId="77777777" w:rsidR="004E587F" w:rsidRDefault="00D46B31">
            <w:r>
              <w:rPr>
                <w:sz w:val="18"/>
              </w:rPr>
              <w:t>tres</w:t>
            </w:r>
          </w:p>
        </w:tc>
        <w:tc>
          <w:tcPr>
            <w:tcW w:w="1008" w:type="dxa"/>
          </w:tcPr>
          <w:p w14:paraId="686AF080" w14:textId="77777777" w:rsidR="004E587F" w:rsidRDefault="00D46B31">
            <w:r>
              <w:rPr>
                <w:sz w:val="18"/>
              </w:rPr>
              <w:t>1</w:t>
            </w:r>
          </w:p>
        </w:tc>
      </w:tr>
      <w:tr w:rsidR="004E587F" w14:paraId="63398444" w14:textId="77777777">
        <w:tc>
          <w:tcPr>
            <w:tcW w:w="1008" w:type="dxa"/>
          </w:tcPr>
          <w:p w14:paraId="3AA23EC6" w14:textId="77777777" w:rsidR="004E587F" w:rsidRDefault="00D46B31">
            <w:r>
              <w:rPr>
                <w:sz w:val="18"/>
              </w:rPr>
              <w:t>4996</w:t>
            </w:r>
          </w:p>
        </w:tc>
        <w:tc>
          <w:tcPr>
            <w:tcW w:w="1008" w:type="dxa"/>
          </w:tcPr>
          <w:p w14:paraId="7D4EF3CA" w14:textId="77777777" w:rsidR="004E587F" w:rsidRDefault="00D46B31">
            <w:r>
              <w:rPr>
                <w:sz w:val="18"/>
              </w:rPr>
              <w:t>medio_completo</w:t>
            </w:r>
          </w:p>
        </w:tc>
        <w:tc>
          <w:tcPr>
            <w:tcW w:w="1008" w:type="dxa"/>
          </w:tcPr>
          <w:p w14:paraId="58EB7F9F" w14:textId="77777777" w:rsidR="004E587F" w:rsidRDefault="00D46B31">
            <w:r>
              <w:rPr>
                <w:sz w:val="18"/>
              </w:rPr>
              <w:t>ate_1_sm</w:t>
            </w:r>
          </w:p>
        </w:tc>
        <w:tc>
          <w:tcPr>
            <w:tcW w:w="1008" w:type="dxa"/>
          </w:tcPr>
          <w:p w14:paraId="5D8BDEB0" w14:textId="77777777" w:rsidR="004E587F" w:rsidRDefault="00D46B31">
            <w:r>
              <w:rPr>
                <w:sz w:val="18"/>
              </w:rPr>
              <w:t>true</w:t>
            </w:r>
          </w:p>
        </w:tc>
        <w:tc>
          <w:tcPr>
            <w:tcW w:w="1008" w:type="dxa"/>
          </w:tcPr>
          <w:p w14:paraId="59EADD4D" w14:textId="77777777" w:rsidR="004E587F" w:rsidRDefault="00D46B31">
            <w:r>
              <w:rPr>
                <w:sz w:val="18"/>
              </w:rPr>
              <w:t>outra</w:t>
            </w:r>
          </w:p>
        </w:tc>
        <w:tc>
          <w:tcPr>
            <w:tcW w:w="1008" w:type="dxa"/>
          </w:tcPr>
          <w:p w14:paraId="2238CB3C" w14:textId="77777777" w:rsidR="004E587F" w:rsidRDefault="00D46B31">
            <w:r>
              <w:rPr>
                <w:sz w:val="18"/>
              </w:rPr>
              <w:t>false</w:t>
            </w:r>
          </w:p>
        </w:tc>
        <w:tc>
          <w:tcPr>
            <w:tcW w:w="1008" w:type="dxa"/>
          </w:tcPr>
          <w:p w14:paraId="77D984BA" w14:textId="77777777" w:rsidR="004E587F" w:rsidRDefault="00D46B31">
            <w:r>
              <w:rPr>
                <w:sz w:val="18"/>
              </w:rPr>
              <w:t>casa</w:t>
            </w:r>
          </w:p>
        </w:tc>
        <w:tc>
          <w:tcPr>
            <w:tcW w:w="1008" w:type="dxa"/>
          </w:tcPr>
          <w:p w14:paraId="6EC5BBCB" w14:textId="77777777" w:rsidR="004E587F" w:rsidRDefault="00D46B31">
            <w:r>
              <w:rPr>
                <w:sz w:val="18"/>
              </w:rPr>
              <w:t>quatro_mais</w:t>
            </w:r>
          </w:p>
        </w:tc>
        <w:tc>
          <w:tcPr>
            <w:tcW w:w="1008" w:type="dxa"/>
          </w:tcPr>
          <w:p w14:paraId="32C24E10" w14:textId="77777777" w:rsidR="004E587F" w:rsidRDefault="00D46B31">
            <w:r>
              <w:rPr>
                <w:sz w:val="18"/>
              </w:rPr>
              <w:t>1</w:t>
            </w:r>
          </w:p>
        </w:tc>
      </w:tr>
      <w:tr w:rsidR="004E587F" w14:paraId="198275F8" w14:textId="77777777">
        <w:tc>
          <w:tcPr>
            <w:tcW w:w="1008" w:type="dxa"/>
          </w:tcPr>
          <w:p w14:paraId="30941758" w14:textId="77777777" w:rsidR="004E587F" w:rsidRDefault="00D46B31">
            <w:r>
              <w:rPr>
                <w:sz w:val="18"/>
              </w:rPr>
              <w:t>4997</w:t>
            </w:r>
          </w:p>
        </w:tc>
        <w:tc>
          <w:tcPr>
            <w:tcW w:w="1008" w:type="dxa"/>
          </w:tcPr>
          <w:p w14:paraId="3C50615D" w14:textId="77777777" w:rsidR="004E587F" w:rsidRDefault="00D46B31">
            <w:r>
              <w:rPr>
                <w:sz w:val="18"/>
              </w:rPr>
              <w:t>sem_instrucao</w:t>
            </w:r>
          </w:p>
        </w:tc>
        <w:tc>
          <w:tcPr>
            <w:tcW w:w="1008" w:type="dxa"/>
          </w:tcPr>
          <w:p w14:paraId="72B3F0D1" w14:textId="77777777" w:rsidR="004E587F" w:rsidRDefault="00D46B31">
            <w:r>
              <w:rPr>
                <w:sz w:val="18"/>
              </w:rPr>
              <w:t>ate_1_sm</w:t>
            </w:r>
          </w:p>
        </w:tc>
        <w:tc>
          <w:tcPr>
            <w:tcW w:w="1008" w:type="dxa"/>
          </w:tcPr>
          <w:p w14:paraId="7C2A7F6D" w14:textId="77777777" w:rsidR="004E587F" w:rsidRDefault="00D46B31">
            <w:r>
              <w:rPr>
                <w:sz w:val="18"/>
              </w:rPr>
              <w:t>false</w:t>
            </w:r>
          </w:p>
        </w:tc>
        <w:tc>
          <w:tcPr>
            <w:tcW w:w="1008" w:type="dxa"/>
          </w:tcPr>
          <w:p w14:paraId="05678265" w14:textId="77777777" w:rsidR="004E587F" w:rsidRDefault="00D46B31">
            <w:r>
              <w:rPr>
                <w:sz w:val="18"/>
              </w:rPr>
              <w:t>carro_pipa</w:t>
            </w:r>
          </w:p>
        </w:tc>
        <w:tc>
          <w:tcPr>
            <w:tcW w:w="1008" w:type="dxa"/>
          </w:tcPr>
          <w:p w14:paraId="6F0211AA" w14:textId="77777777" w:rsidR="004E587F" w:rsidRDefault="00D46B31">
            <w:r>
              <w:rPr>
                <w:sz w:val="18"/>
              </w:rPr>
              <w:t>true</w:t>
            </w:r>
          </w:p>
        </w:tc>
        <w:tc>
          <w:tcPr>
            <w:tcW w:w="1008" w:type="dxa"/>
          </w:tcPr>
          <w:p w14:paraId="3D6C90B5" w14:textId="77777777" w:rsidR="004E587F" w:rsidRDefault="00D46B31">
            <w:r>
              <w:rPr>
                <w:sz w:val="18"/>
              </w:rPr>
              <w:t>casa</w:t>
            </w:r>
          </w:p>
        </w:tc>
        <w:tc>
          <w:tcPr>
            <w:tcW w:w="1008" w:type="dxa"/>
          </w:tcPr>
          <w:p w14:paraId="08F8439A" w14:textId="77777777" w:rsidR="004E587F" w:rsidRDefault="00D46B31">
            <w:r>
              <w:rPr>
                <w:sz w:val="18"/>
              </w:rPr>
              <w:t>uma_duas</w:t>
            </w:r>
          </w:p>
        </w:tc>
        <w:tc>
          <w:tcPr>
            <w:tcW w:w="1008" w:type="dxa"/>
          </w:tcPr>
          <w:p w14:paraId="3746283D" w14:textId="77777777" w:rsidR="004E587F" w:rsidRDefault="00D46B31">
            <w:r>
              <w:rPr>
                <w:sz w:val="18"/>
              </w:rPr>
              <w:t>0</w:t>
            </w:r>
          </w:p>
        </w:tc>
      </w:tr>
      <w:tr w:rsidR="004E587F" w14:paraId="3A1E8652" w14:textId="77777777">
        <w:tc>
          <w:tcPr>
            <w:tcW w:w="1008" w:type="dxa"/>
          </w:tcPr>
          <w:p w14:paraId="3CF45B59" w14:textId="77777777" w:rsidR="004E587F" w:rsidRDefault="00D46B31">
            <w:r>
              <w:rPr>
                <w:sz w:val="18"/>
              </w:rPr>
              <w:t>4998</w:t>
            </w:r>
          </w:p>
        </w:tc>
        <w:tc>
          <w:tcPr>
            <w:tcW w:w="1008" w:type="dxa"/>
          </w:tcPr>
          <w:p w14:paraId="05613E47" w14:textId="77777777" w:rsidR="004E587F" w:rsidRDefault="00D46B31">
            <w:r>
              <w:rPr>
                <w:sz w:val="18"/>
              </w:rPr>
              <w:t>superior_completo</w:t>
            </w:r>
          </w:p>
        </w:tc>
        <w:tc>
          <w:tcPr>
            <w:tcW w:w="1008" w:type="dxa"/>
          </w:tcPr>
          <w:p w14:paraId="7E9ECE34" w14:textId="77777777" w:rsidR="004E587F" w:rsidRDefault="00D46B31">
            <w:r>
              <w:rPr>
                <w:sz w:val="18"/>
              </w:rPr>
              <w:t>mais_3_sm</w:t>
            </w:r>
          </w:p>
        </w:tc>
        <w:tc>
          <w:tcPr>
            <w:tcW w:w="1008" w:type="dxa"/>
          </w:tcPr>
          <w:p w14:paraId="2D59ABBC" w14:textId="77777777" w:rsidR="004E587F" w:rsidRDefault="00D46B31">
            <w:r>
              <w:rPr>
                <w:sz w:val="18"/>
              </w:rPr>
              <w:t>false</w:t>
            </w:r>
          </w:p>
        </w:tc>
        <w:tc>
          <w:tcPr>
            <w:tcW w:w="1008" w:type="dxa"/>
          </w:tcPr>
          <w:p w14:paraId="641E1519" w14:textId="77777777" w:rsidR="004E587F" w:rsidRDefault="00D46B31">
            <w:r>
              <w:rPr>
                <w:sz w:val="18"/>
              </w:rPr>
              <w:t>rede_publica</w:t>
            </w:r>
          </w:p>
        </w:tc>
        <w:tc>
          <w:tcPr>
            <w:tcW w:w="1008" w:type="dxa"/>
          </w:tcPr>
          <w:p w14:paraId="711C5D0F" w14:textId="77777777" w:rsidR="004E587F" w:rsidRDefault="00D46B31">
            <w:r>
              <w:rPr>
                <w:sz w:val="18"/>
              </w:rPr>
              <w:t>true</w:t>
            </w:r>
          </w:p>
        </w:tc>
        <w:tc>
          <w:tcPr>
            <w:tcW w:w="1008" w:type="dxa"/>
          </w:tcPr>
          <w:p w14:paraId="682B07C0" w14:textId="77777777" w:rsidR="004E587F" w:rsidRDefault="00D46B31">
            <w:r>
              <w:rPr>
                <w:sz w:val="18"/>
              </w:rPr>
              <w:t>apartamento</w:t>
            </w:r>
          </w:p>
        </w:tc>
        <w:tc>
          <w:tcPr>
            <w:tcW w:w="1008" w:type="dxa"/>
          </w:tcPr>
          <w:p w14:paraId="55D541F7" w14:textId="77777777" w:rsidR="004E587F" w:rsidRDefault="00D46B31">
            <w:r>
              <w:rPr>
                <w:sz w:val="18"/>
              </w:rPr>
              <w:t>tres</w:t>
            </w:r>
          </w:p>
        </w:tc>
        <w:tc>
          <w:tcPr>
            <w:tcW w:w="1008" w:type="dxa"/>
          </w:tcPr>
          <w:p w14:paraId="71508C2D" w14:textId="77777777" w:rsidR="004E587F" w:rsidRDefault="00D46B31">
            <w:r>
              <w:rPr>
                <w:sz w:val="18"/>
              </w:rPr>
              <w:t>1</w:t>
            </w:r>
          </w:p>
        </w:tc>
      </w:tr>
      <w:tr w:rsidR="004E587F" w14:paraId="1A50727D" w14:textId="77777777">
        <w:tc>
          <w:tcPr>
            <w:tcW w:w="1008" w:type="dxa"/>
          </w:tcPr>
          <w:p w14:paraId="4013C7E3" w14:textId="77777777" w:rsidR="004E587F" w:rsidRDefault="00D46B31">
            <w:r>
              <w:rPr>
                <w:sz w:val="18"/>
              </w:rPr>
              <w:t>4999</w:t>
            </w:r>
          </w:p>
        </w:tc>
        <w:tc>
          <w:tcPr>
            <w:tcW w:w="1008" w:type="dxa"/>
          </w:tcPr>
          <w:p w14:paraId="51E82FF9" w14:textId="77777777" w:rsidR="004E587F" w:rsidRDefault="00D46B31">
            <w:r>
              <w:rPr>
                <w:sz w:val="18"/>
              </w:rPr>
              <w:t>medio_incompleto</w:t>
            </w:r>
          </w:p>
        </w:tc>
        <w:tc>
          <w:tcPr>
            <w:tcW w:w="1008" w:type="dxa"/>
          </w:tcPr>
          <w:p w14:paraId="53853B7F" w14:textId="77777777" w:rsidR="004E587F" w:rsidRDefault="00D46B31">
            <w:r>
              <w:rPr>
                <w:sz w:val="18"/>
              </w:rPr>
              <w:t>mais_3_sm</w:t>
            </w:r>
          </w:p>
        </w:tc>
        <w:tc>
          <w:tcPr>
            <w:tcW w:w="1008" w:type="dxa"/>
          </w:tcPr>
          <w:p w14:paraId="39486163" w14:textId="77777777" w:rsidR="004E587F" w:rsidRDefault="00D46B31">
            <w:r>
              <w:rPr>
                <w:sz w:val="18"/>
              </w:rPr>
              <w:t>true</w:t>
            </w:r>
          </w:p>
        </w:tc>
        <w:tc>
          <w:tcPr>
            <w:tcW w:w="1008" w:type="dxa"/>
          </w:tcPr>
          <w:p w14:paraId="28CCDC2C" w14:textId="77777777" w:rsidR="004E587F" w:rsidRDefault="00D46B31">
            <w:r>
              <w:rPr>
                <w:sz w:val="18"/>
              </w:rPr>
              <w:t>rede_publica</w:t>
            </w:r>
          </w:p>
        </w:tc>
        <w:tc>
          <w:tcPr>
            <w:tcW w:w="1008" w:type="dxa"/>
          </w:tcPr>
          <w:p w14:paraId="56274938" w14:textId="77777777" w:rsidR="004E587F" w:rsidRDefault="00D46B31">
            <w:r>
              <w:rPr>
                <w:sz w:val="18"/>
              </w:rPr>
              <w:t>true</w:t>
            </w:r>
          </w:p>
        </w:tc>
        <w:tc>
          <w:tcPr>
            <w:tcW w:w="1008" w:type="dxa"/>
          </w:tcPr>
          <w:p w14:paraId="3C30BCE4" w14:textId="77777777" w:rsidR="004E587F" w:rsidRDefault="00D46B31">
            <w:r>
              <w:rPr>
                <w:sz w:val="18"/>
              </w:rPr>
              <w:t>casa</w:t>
            </w:r>
          </w:p>
        </w:tc>
        <w:tc>
          <w:tcPr>
            <w:tcW w:w="1008" w:type="dxa"/>
          </w:tcPr>
          <w:p w14:paraId="34CB3E9C" w14:textId="77777777" w:rsidR="004E587F" w:rsidRDefault="00D46B31">
            <w:r>
              <w:rPr>
                <w:sz w:val="18"/>
              </w:rPr>
              <w:t>quatro_mais</w:t>
            </w:r>
          </w:p>
        </w:tc>
        <w:tc>
          <w:tcPr>
            <w:tcW w:w="1008" w:type="dxa"/>
          </w:tcPr>
          <w:p w14:paraId="742DC0F5" w14:textId="77777777" w:rsidR="004E587F" w:rsidRDefault="00D46B31">
            <w:r>
              <w:rPr>
                <w:sz w:val="18"/>
              </w:rPr>
              <w:t>1</w:t>
            </w:r>
          </w:p>
        </w:tc>
      </w:tr>
    </w:tbl>
    <w:p w14:paraId="1B44E613" w14:textId="77777777" w:rsidR="004E587F" w:rsidRDefault="00D46B31">
      <w:r>
        <w:t>Fonte: Elaborado pelo autor a partir do conjunto de dados sintéticos gerado para o experimento (2026).</w:t>
      </w:r>
    </w:p>
    <w:p w14:paraId="3D3B3760" w14:textId="77777777" w:rsidR="004E587F" w:rsidRDefault="00D46B31">
      <w:r>
        <w:t>A amostra evidencia a heterogeneidade das respostas sintéticas: perfis distintos de escolaridade, renda, inserção laboral, abastecimento de água, vínculo com a UBS, moradia e alimentação convivem no mesmo conjunto, refletindo as seis dimensões dos DSS. A última coluna corresponde à variável-alvo sintética (descontinuou_pre_natal), produzida pelo DGM descrito nesta seção — externa ao formulário e sem correspondência com qualquer descontinuidade real observada; seus valores seguem a codificação binária original do dataset (0 = não descontinuou; 1 = descontinuou), e os campos booleanos preservam os literais true/false. Essa estrutura tabular (48 variáveis observadas mais a variável-alvo) é a mesma da qual se deriva, na seção seguinte, o subconjunto X_model (34 variáveis) utilizado no treinamento. Nenhuma associação estatística entre as variáveis deve ser inferida a partir desta amostra ilustrativa.</w:t>
      </w:r>
    </w:p>
    <w:p w14:paraId="23C83ADD" w14:textId="77777777" w:rsidR="00E62C65" w:rsidRDefault="00474360">
      <w:pPr>
        <w:pStyle w:val="Ttulo2"/>
      </w:pPr>
      <w:bookmarkStart w:id="31" w:name="_Toc238759967"/>
      <w:r>
        <w:rPr>
          <w:rFonts w:ascii="Times New Roman" w:eastAsia="Times New Roman" w:hAnsi="Times New Roman"/>
        </w:rPr>
        <w:t>3.7 Seleção de variáveis e controle de leakage</w:t>
      </w:r>
      <w:bookmarkEnd w:id="31"/>
    </w:p>
    <w:p w14:paraId="5386F3B8" w14:textId="77777777" w:rsidR="00E62C65" w:rsidRDefault="00474360">
      <w:pPr>
        <w:spacing w:after="0" w:line="360" w:lineRule="auto"/>
        <w:ind w:firstLine="709"/>
        <w:jc w:val="both"/>
      </w:pPr>
      <w:r>
        <w:rPr>
          <w:rFonts w:eastAsia="Times New Roman"/>
        </w:rPr>
        <w:t>Nem todas as 48 respostas do questionário são utilizadas no modelo principal. A classificação consolidada das 48 variáveis é:</w:t>
      </w:r>
    </w:p>
    <w:p w14:paraId="7B40C5F6" w14:textId="77777777" w:rsidR="00E62C65" w:rsidRDefault="00474360">
      <w:pPr>
        <w:keepNext/>
      </w:pPr>
      <w:r>
        <w:rPr>
          <w:b/>
        </w:rPr>
        <w:t>Quadro 2 – Classificação consolidada das 48 variáveis do questionário</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2BAF6355" w14:textId="77777777">
        <w:trPr>
          <w:tblHeader/>
          <w:jc w:val="center"/>
        </w:trPr>
        <w:tc>
          <w:tcPr>
            <w:tcW w:w="3024" w:type="dxa"/>
            <w:shd w:val="clear" w:color="auto" w:fill="E7E6E6"/>
            <w:vAlign w:val="center"/>
          </w:tcPr>
          <w:p w14:paraId="7EF772B0" w14:textId="77777777" w:rsidR="00E62C65" w:rsidRDefault="00474360">
            <w:pPr>
              <w:spacing w:after="0" w:line="240" w:lineRule="auto"/>
              <w:jc w:val="center"/>
              <w:rPr>
                <w:rFonts w:eastAsia="MS Mincho"/>
              </w:rPr>
            </w:pPr>
            <w:r>
              <w:rPr>
                <w:rFonts w:eastAsia="Times New Roman"/>
                <w:b/>
                <w:sz w:val="18"/>
              </w:rPr>
              <w:t>Classe</w:t>
            </w:r>
          </w:p>
        </w:tc>
        <w:tc>
          <w:tcPr>
            <w:tcW w:w="3024" w:type="dxa"/>
            <w:shd w:val="clear" w:color="auto" w:fill="E7E6E6"/>
            <w:vAlign w:val="center"/>
          </w:tcPr>
          <w:p w14:paraId="75F7C1BF" w14:textId="77777777" w:rsidR="00E62C65" w:rsidRDefault="00474360">
            <w:pPr>
              <w:spacing w:after="0" w:line="240" w:lineRule="auto"/>
              <w:jc w:val="center"/>
              <w:rPr>
                <w:rFonts w:eastAsia="MS Mincho"/>
              </w:rPr>
            </w:pPr>
            <w:r>
              <w:rPr>
                <w:rFonts w:eastAsia="Times New Roman"/>
                <w:b/>
                <w:sz w:val="18"/>
              </w:rPr>
              <w:t>Qtde</w:t>
            </w:r>
          </w:p>
        </w:tc>
        <w:tc>
          <w:tcPr>
            <w:tcW w:w="3024" w:type="dxa"/>
            <w:shd w:val="clear" w:color="auto" w:fill="E7E6E6"/>
            <w:vAlign w:val="center"/>
          </w:tcPr>
          <w:p w14:paraId="3CD0A74F" w14:textId="77777777" w:rsidR="00E62C65" w:rsidRDefault="00474360">
            <w:pPr>
              <w:spacing w:after="0" w:line="240" w:lineRule="auto"/>
              <w:jc w:val="center"/>
              <w:rPr>
                <w:rFonts w:eastAsia="MS Mincho"/>
              </w:rPr>
            </w:pPr>
            <w:r>
              <w:rPr>
                <w:rFonts w:eastAsia="Times New Roman"/>
                <w:b/>
                <w:sz w:val="18"/>
              </w:rPr>
              <w:t>Significado</w:t>
            </w:r>
          </w:p>
        </w:tc>
      </w:tr>
      <w:tr w:rsidR="00E62C65" w14:paraId="2FEA25BE" w14:textId="77777777">
        <w:trPr>
          <w:jc w:val="center"/>
        </w:trPr>
        <w:tc>
          <w:tcPr>
            <w:tcW w:w="3024" w:type="dxa"/>
            <w:vAlign w:val="center"/>
          </w:tcPr>
          <w:p w14:paraId="0282815C" w14:textId="77777777" w:rsidR="00E62C65" w:rsidRDefault="00474360">
            <w:pPr>
              <w:spacing w:after="0" w:line="240" w:lineRule="auto"/>
              <w:rPr>
                <w:rFonts w:eastAsia="MS Mincho"/>
              </w:rPr>
            </w:pPr>
            <w:r>
              <w:rPr>
                <w:rFonts w:eastAsia="Times New Roman"/>
                <w:b/>
                <w:sz w:val="18"/>
              </w:rPr>
              <w:t>ML-IN</w:t>
            </w:r>
          </w:p>
        </w:tc>
        <w:tc>
          <w:tcPr>
            <w:tcW w:w="3024" w:type="dxa"/>
            <w:vAlign w:val="center"/>
          </w:tcPr>
          <w:p w14:paraId="63A952DA" w14:textId="77777777" w:rsidR="00E62C65" w:rsidRDefault="00474360">
            <w:pPr>
              <w:spacing w:after="0" w:line="240" w:lineRule="auto"/>
              <w:rPr>
                <w:rFonts w:eastAsia="MS Mincho"/>
              </w:rPr>
            </w:pPr>
            <w:r>
              <w:rPr>
                <w:rFonts w:eastAsia="Times New Roman"/>
                <w:sz w:val="18"/>
              </w:rPr>
              <w:t>34</w:t>
            </w:r>
          </w:p>
        </w:tc>
        <w:tc>
          <w:tcPr>
            <w:tcW w:w="3024" w:type="dxa"/>
            <w:vAlign w:val="center"/>
          </w:tcPr>
          <w:p w14:paraId="71DC6A62" w14:textId="77777777" w:rsidR="00E62C65" w:rsidRDefault="00474360">
            <w:pPr>
              <w:spacing w:after="0" w:line="240" w:lineRule="auto"/>
              <w:rPr>
                <w:rFonts w:eastAsia="MS Mincho"/>
              </w:rPr>
            </w:pPr>
            <w:r>
              <w:rPr>
                <w:rFonts w:eastAsia="Times New Roman"/>
                <w:sz w:val="18"/>
              </w:rPr>
              <w:t>feature metodologicamente admissível</w:t>
            </w:r>
          </w:p>
        </w:tc>
      </w:tr>
      <w:tr w:rsidR="00E62C65" w14:paraId="44C207E0" w14:textId="77777777">
        <w:trPr>
          <w:jc w:val="center"/>
        </w:trPr>
        <w:tc>
          <w:tcPr>
            <w:tcW w:w="3024" w:type="dxa"/>
            <w:vAlign w:val="center"/>
          </w:tcPr>
          <w:p w14:paraId="44B6B27B" w14:textId="77777777" w:rsidR="00E62C65" w:rsidRDefault="00474360">
            <w:pPr>
              <w:spacing w:after="0" w:line="240" w:lineRule="auto"/>
              <w:rPr>
                <w:rFonts w:eastAsia="MS Mincho"/>
              </w:rPr>
            </w:pPr>
            <w:r>
              <w:rPr>
                <w:rFonts w:eastAsia="Times New Roman"/>
                <w:b/>
                <w:sz w:val="18"/>
              </w:rPr>
              <w:t>OUT-LEAKAGE</w:t>
            </w:r>
          </w:p>
        </w:tc>
        <w:tc>
          <w:tcPr>
            <w:tcW w:w="3024" w:type="dxa"/>
            <w:vAlign w:val="center"/>
          </w:tcPr>
          <w:p w14:paraId="2FE9E4F6" w14:textId="77777777" w:rsidR="00E62C65" w:rsidRDefault="00474360">
            <w:pPr>
              <w:spacing w:after="0" w:line="240" w:lineRule="auto"/>
              <w:rPr>
                <w:rFonts w:eastAsia="MS Mincho"/>
              </w:rPr>
            </w:pPr>
            <w:r>
              <w:rPr>
                <w:rFonts w:eastAsia="Times New Roman"/>
                <w:sz w:val="18"/>
              </w:rPr>
              <w:t>5</w:t>
            </w:r>
          </w:p>
        </w:tc>
        <w:tc>
          <w:tcPr>
            <w:tcW w:w="3024" w:type="dxa"/>
            <w:vAlign w:val="center"/>
          </w:tcPr>
          <w:p w14:paraId="3B0187C3" w14:textId="77777777" w:rsidR="00E62C65" w:rsidRDefault="00474360">
            <w:pPr>
              <w:spacing w:after="0" w:line="240" w:lineRule="auto"/>
              <w:rPr>
                <w:rFonts w:eastAsia="MS Mincho"/>
              </w:rPr>
            </w:pPr>
            <w:r>
              <w:rPr>
                <w:rFonts w:eastAsia="Times New Roman"/>
                <w:sz w:val="18"/>
              </w:rPr>
              <w:t>proximidade com acompanhamento/desfecho</w:t>
            </w:r>
          </w:p>
        </w:tc>
      </w:tr>
      <w:tr w:rsidR="00E62C65" w14:paraId="30AABB60" w14:textId="77777777">
        <w:trPr>
          <w:jc w:val="center"/>
        </w:trPr>
        <w:tc>
          <w:tcPr>
            <w:tcW w:w="3024" w:type="dxa"/>
            <w:vAlign w:val="center"/>
          </w:tcPr>
          <w:p w14:paraId="62B4F384" w14:textId="77777777" w:rsidR="00E62C65" w:rsidRDefault="00474360">
            <w:pPr>
              <w:spacing w:after="0" w:line="240" w:lineRule="auto"/>
              <w:rPr>
                <w:rFonts w:eastAsia="MS Mincho"/>
              </w:rPr>
            </w:pPr>
            <w:r>
              <w:rPr>
                <w:rFonts w:eastAsia="Times New Roman"/>
                <w:b/>
                <w:sz w:val="18"/>
              </w:rPr>
              <w:t>OUT-TEMPORAL</w:t>
            </w:r>
          </w:p>
        </w:tc>
        <w:tc>
          <w:tcPr>
            <w:tcW w:w="3024" w:type="dxa"/>
            <w:vAlign w:val="center"/>
          </w:tcPr>
          <w:p w14:paraId="52EEF24F" w14:textId="77777777" w:rsidR="00E62C65" w:rsidRDefault="00474360">
            <w:pPr>
              <w:spacing w:after="0" w:line="240" w:lineRule="auto"/>
              <w:rPr>
                <w:rFonts w:eastAsia="MS Mincho"/>
              </w:rPr>
            </w:pPr>
            <w:r>
              <w:rPr>
                <w:rFonts w:eastAsia="Times New Roman"/>
                <w:sz w:val="18"/>
              </w:rPr>
              <w:t>5</w:t>
            </w:r>
          </w:p>
        </w:tc>
        <w:tc>
          <w:tcPr>
            <w:tcW w:w="3024" w:type="dxa"/>
            <w:vAlign w:val="center"/>
          </w:tcPr>
          <w:p w14:paraId="33D294FF" w14:textId="77777777" w:rsidR="00E62C65" w:rsidRDefault="00474360">
            <w:pPr>
              <w:spacing w:after="0" w:line="240" w:lineRule="auto"/>
              <w:rPr>
                <w:rFonts w:eastAsia="MS Mincho"/>
              </w:rPr>
            </w:pPr>
            <w:r>
              <w:rPr>
                <w:rFonts w:eastAsia="Times New Roman"/>
                <w:sz w:val="18"/>
              </w:rPr>
              <w:t>mistura antecedente com acontecimento durante a gestação/acompanhamento</w:t>
            </w:r>
          </w:p>
        </w:tc>
      </w:tr>
      <w:tr w:rsidR="00E62C65" w14:paraId="270F07B0" w14:textId="77777777">
        <w:trPr>
          <w:jc w:val="center"/>
        </w:trPr>
        <w:tc>
          <w:tcPr>
            <w:tcW w:w="3024" w:type="dxa"/>
            <w:vAlign w:val="center"/>
          </w:tcPr>
          <w:p w14:paraId="20E32952" w14:textId="77777777" w:rsidR="00E62C65" w:rsidRDefault="00474360">
            <w:pPr>
              <w:spacing w:after="0" w:line="240" w:lineRule="auto"/>
              <w:rPr>
                <w:rFonts w:eastAsia="MS Mincho"/>
              </w:rPr>
            </w:pPr>
            <w:r>
              <w:rPr>
                <w:rFonts w:eastAsia="Times New Roman"/>
                <w:b/>
                <w:sz w:val="18"/>
              </w:rPr>
              <w:t>DESCRITIVA</w:t>
            </w:r>
          </w:p>
        </w:tc>
        <w:tc>
          <w:tcPr>
            <w:tcW w:w="3024" w:type="dxa"/>
            <w:vAlign w:val="center"/>
          </w:tcPr>
          <w:p w14:paraId="45B4E14A" w14:textId="77777777" w:rsidR="00E62C65" w:rsidRDefault="00474360">
            <w:pPr>
              <w:spacing w:after="0" w:line="240" w:lineRule="auto"/>
              <w:rPr>
                <w:rFonts w:eastAsia="MS Mincho"/>
              </w:rPr>
            </w:pPr>
            <w:r>
              <w:rPr>
                <w:rFonts w:eastAsia="Times New Roman"/>
                <w:sz w:val="18"/>
              </w:rPr>
              <w:t>2</w:t>
            </w:r>
          </w:p>
        </w:tc>
        <w:tc>
          <w:tcPr>
            <w:tcW w:w="3024" w:type="dxa"/>
            <w:vAlign w:val="center"/>
          </w:tcPr>
          <w:p w14:paraId="4733BE0E" w14:textId="77777777" w:rsidR="00E62C65" w:rsidRDefault="00474360">
            <w:pPr>
              <w:spacing w:after="0" w:line="240" w:lineRule="auto"/>
              <w:rPr>
                <w:rFonts w:eastAsia="MS Mincho"/>
              </w:rPr>
            </w:pPr>
            <w:r>
              <w:rPr>
                <w:rFonts w:eastAsia="Times New Roman"/>
                <w:sz w:val="18"/>
              </w:rPr>
              <w:t>caracterização; sem justificativa para feature principal</w:t>
            </w:r>
          </w:p>
        </w:tc>
      </w:tr>
      <w:tr w:rsidR="00E62C65" w14:paraId="6F9A9EE0" w14:textId="77777777">
        <w:trPr>
          <w:jc w:val="center"/>
        </w:trPr>
        <w:tc>
          <w:tcPr>
            <w:tcW w:w="3024" w:type="dxa"/>
            <w:vAlign w:val="center"/>
          </w:tcPr>
          <w:p w14:paraId="06A6B44C" w14:textId="77777777" w:rsidR="00E62C65" w:rsidRDefault="00474360">
            <w:pPr>
              <w:spacing w:after="0" w:line="240" w:lineRule="auto"/>
              <w:rPr>
                <w:rFonts w:eastAsia="MS Mincho"/>
              </w:rPr>
            </w:pPr>
            <w:r>
              <w:rPr>
                <w:rFonts w:eastAsia="Times New Roman"/>
                <w:b/>
                <w:sz w:val="18"/>
              </w:rPr>
              <w:t>SENSIBILIDADE</w:t>
            </w:r>
          </w:p>
        </w:tc>
        <w:tc>
          <w:tcPr>
            <w:tcW w:w="3024" w:type="dxa"/>
            <w:vAlign w:val="center"/>
          </w:tcPr>
          <w:p w14:paraId="445F746B" w14:textId="77777777" w:rsidR="00E62C65" w:rsidRDefault="00474360">
            <w:pPr>
              <w:spacing w:after="0" w:line="240" w:lineRule="auto"/>
              <w:rPr>
                <w:rFonts w:eastAsia="MS Mincho"/>
              </w:rPr>
            </w:pPr>
            <w:r>
              <w:rPr>
                <w:rFonts w:eastAsia="Times New Roman"/>
                <w:sz w:val="18"/>
              </w:rPr>
              <w:t>2</w:t>
            </w:r>
          </w:p>
        </w:tc>
        <w:tc>
          <w:tcPr>
            <w:tcW w:w="3024" w:type="dxa"/>
            <w:vAlign w:val="center"/>
          </w:tcPr>
          <w:p w14:paraId="1D01F82D" w14:textId="77777777" w:rsidR="00E62C65" w:rsidRDefault="00474360">
            <w:pPr>
              <w:spacing w:after="0" w:line="240" w:lineRule="auto"/>
              <w:rPr>
                <w:rFonts w:eastAsia="MS Mincho"/>
              </w:rPr>
            </w:pPr>
            <w:r>
              <w:rPr>
                <w:rFonts w:eastAsia="Times New Roman"/>
                <w:sz w:val="18"/>
              </w:rPr>
              <w:t>fora do modelo principal; comparadas em sensibilidade (34 vs. 34+2)</w:t>
            </w:r>
          </w:p>
        </w:tc>
      </w:tr>
    </w:tbl>
    <w:p w14:paraId="19CDF0FC" w14:textId="77777777" w:rsidR="00E62C65" w:rsidRDefault="00474360">
      <w:pPr>
        <w:spacing w:before="40" w:after="120"/>
      </w:pPr>
      <w:r>
        <w:rPr>
          <w:rFonts w:eastAsia="Times New Roman"/>
          <w:sz w:val="18"/>
        </w:rPr>
        <w:t>Fonte: elaboração própria (2026), a partir dos artefatos técnicos do projeto.</w:t>
      </w:r>
    </w:p>
    <w:p w14:paraId="0CA2C5E6" w14:textId="77777777" w:rsidR="00E62C65" w:rsidRDefault="00474360">
      <w:pPr>
        <w:spacing w:after="0" w:line="360" w:lineRule="auto"/>
        <w:ind w:firstLine="709"/>
        <w:jc w:val="both"/>
      </w:pPr>
      <w:r>
        <w:rPr>
          <w:rFonts w:eastAsia="Times New Roman"/>
          <w:b/>
        </w:rPr>
        <w:lastRenderedPageBreak/>
        <w:t>Total: 34 + 5 + 5 + 2 + 2 = 48.</w:t>
      </w:r>
    </w:p>
    <w:p w14:paraId="5B8EAD91" w14:textId="77777777" w:rsidR="00E62C65" w:rsidRDefault="00474360">
      <w:pPr>
        <w:spacing w:after="0" w:line="360" w:lineRule="auto"/>
        <w:ind w:firstLine="709"/>
        <w:jc w:val="both"/>
      </w:pPr>
      <w:r>
        <w:rPr>
          <w:rFonts w:eastAsia="Times New Roman"/>
          <w:b/>
        </w:rPr>
        <w:t>Leakage (excluídas do ML e do IV-DSS):</w:t>
      </w:r>
      <w:r>
        <w:rPr>
          <w:rFonts w:eastAsia="Times New Roman"/>
        </w:rPr>
        <w:t xml:space="preserve"> </w:t>
      </w:r>
      <w:r>
        <w:rPr>
          <w:rFonts w:ascii="Courier New" w:eastAsia="Courier New" w:hAnsi="Courier New"/>
          <w:sz w:val="22"/>
        </w:rPr>
        <w:t>faltou_consulta</w:t>
      </w:r>
      <w:r>
        <w:rPr>
          <w:rFonts w:eastAsia="Times New Roman"/>
        </w:rPr>
        <w:t xml:space="preserve">, </w:t>
      </w:r>
      <w:r>
        <w:rPr>
          <w:rFonts w:ascii="Courier New" w:eastAsia="Courier New" w:hAnsi="Courier New"/>
          <w:sz w:val="22"/>
        </w:rPr>
        <w:t>servicos_pre_natal</w:t>
      </w:r>
      <w:r>
        <w:rPr>
          <w:rFonts w:eastAsia="Times New Roman"/>
        </w:rPr>
        <w:t xml:space="preserve">, </w:t>
      </w:r>
      <w:r>
        <w:rPr>
          <w:rFonts w:ascii="Courier New" w:eastAsia="Courier New" w:hAnsi="Courier New"/>
          <w:sz w:val="22"/>
        </w:rPr>
        <w:t>exames_pre_natal_completos</w:t>
      </w:r>
      <w:r>
        <w:rPr>
          <w:rFonts w:eastAsia="Times New Roman"/>
        </w:rPr>
        <w:t xml:space="preserve">, </w:t>
      </w:r>
      <w:r>
        <w:rPr>
          <w:rFonts w:ascii="Courier New" w:eastAsia="Courier New" w:hAnsi="Courier New"/>
          <w:sz w:val="22"/>
        </w:rPr>
        <w:t>vacinas_em_dia</w:t>
      </w:r>
      <w:r>
        <w:rPr>
          <w:rFonts w:eastAsia="Times New Roman"/>
        </w:rPr>
        <w:t xml:space="preserve">, </w:t>
      </w:r>
      <w:r>
        <w:rPr>
          <w:rFonts w:ascii="Courier New" w:eastAsia="Courier New" w:hAnsi="Courier New"/>
          <w:sz w:val="22"/>
        </w:rPr>
        <w:t>avaliacao_pre_natal</w:t>
      </w:r>
      <w:r>
        <w:rPr>
          <w:rFonts w:eastAsia="Times New Roman"/>
        </w:rPr>
        <w:t xml:space="preserve">. Descrevem a própria trajetória, experiência ou adesão ao pré-natal e podem aproximar-se indevidamente do desfecho. </w:t>
      </w:r>
      <w:r>
        <w:rPr>
          <w:rFonts w:eastAsia="Times New Roman"/>
          <w:b/>
        </w:rPr>
        <w:t>Decisão fechada.</w:t>
      </w:r>
    </w:p>
    <w:p w14:paraId="0BA5898B" w14:textId="77777777" w:rsidR="00E62C65" w:rsidRDefault="00474360">
      <w:pPr>
        <w:spacing w:after="0" w:line="360" w:lineRule="auto"/>
        <w:ind w:firstLine="709"/>
        <w:jc w:val="both"/>
      </w:pPr>
      <w:r>
        <w:rPr>
          <w:rFonts w:eastAsia="Times New Roman"/>
          <w:b/>
        </w:rPr>
        <w:t>Temporais (coletadas, fora do modelo principal):</w:t>
      </w:r>
      <w:r>
        <w:rPr>
          <w:rFonts w:eastAsia="Times New Roman"/>
        </w:rPr>
        <w:t xml:space="preserve"> </w:t>
      </w:r>
      <w:r>
        <w:rPr>
          <w:rFonts w:ascii="Courier New" w:eastAsia="Courier New" w:hAnsi="Courier New"/>
          <w:sz w:val="22"/>
        </w:rPr>
        <w:t>situacao_estudos_gestacao</w:t>
      </w:r>
      <w:r>
        <w:rPr>
          <w:rFonts w:eastAsia="Times New Roman"/>
        </w:rPr>
        <w:t xml:space="preserve">, </w:t>
      </w:r>
      <w:r>
        <w:rPr>
          <w:rFonts w:ascii="Courier New" w:eastAsia="Courier New" w:hAnsi="Courier New"/>
          <w:sz w:val="22"/>
        </w:rPr>
        <w:t>motivo_desemprego</w:t>
      </w:r>
      <w:r>
        <w:rPr>
          <w:rFonts w:eastAsia="Times New Roman"/>
        </w:rPr>
        <w:t xml:space="preserve">, </w:t>
      </w:r>
      <w:r>
        <w:rPr>
          <w:rFonts w:ascii="Courier New" w:eastAsia="Courier New" w:hAnsi="Courier New"/>
          <w:sz w:val="22"/>
        </w:rPr>
        <w:t>impacto_gestacao_trabalho</w:t>
      </w:r>
      <w:r>
        <w:rPr>
          <w:rFonts w:eastAsia="Times New Roman"/>
        </w:rPr>
        <w:t xml:space="preserve">, </w:t>
      </w:r>
      <w:r>
        <w:rPr>
          <w:rFonts w:ascii="Courier New" w:eastAsia="Courier New" w:hAnsi="Courier New"/>
          <w:sz w:val="22"/>
        </w:rPr>
        <w:t>mudanca_alimentacao_gestacao</w:t>
      </w:r>
      <w:r>
        <w:rPr>
          <w:rFonts w:eastAsia="Times New Roman"/>
        </w:rPr>
        <w:t xml:space="preserve">, </w:t>
      </w:r>
      <w:r>
        <w:rPr>
          <w:rFonts w:ascii="Courier New" w:eastAsia="Courier New" w:hAnsi="Courier New"/>
          <w:sz w:val="22"/>
        </w:rPr>
        <w:t>usa_suplementos</w:t>
      </w:r>
      <w:r>
        <w:rPr>
          <w:rFonts w:eastAsia="Times New Roman"/>
        </w:rPr>
        <w:t>. Misturam condição antecedente com acontecimentos/comportamentos durante a gestação/acompanhamento.</w:t>
      </w:r>
    </w:p>
    <w:p w14:paraId="689A4241" w14:textId="77777777" w:rsidR="00E62C65" w:rsidRDefault="00474360">
      <w:pPr>
        <w:spacing w:after="0" w:line="360" w:lineRule="auto"/>
        <w:ind w:firstLine="709"/>
        <w:jc w:val="both"/>
      </w:pPr>
      <w:r>
        <w:rPr>
          <w:rFonts w:eastAsia="Times New Roman"/>
          <w:b/>
        </w:rPr>
        <w:t>Descritivas (fora do modelo principal):</w:t>
      </w:r>
      <w:r>
        <w:rPr>
          <w:rFonts w:eastAsia="Times New Roman"/>
        </w:rPr>
        <w:t xml:space="preserve"> </w:t>
      </w:r>
      <w:r>
        <w:rPr>
          <w:rFonts w:ascii="Courier New" w:eastAsia="Courier New" w:hAnsi="Courier New"/>
          <w:sz w:val="22"/>
        </w:rPr>
        <w:t>cuidados_vetores</w:t>
      </w:r>
      <w:r>
        <w:rPr>
          <w:rFonts w:eastAsia="Times New Roman"/>
        </w:rPr>
        <w:t xml:space="preserve">, </w:t>
      </w:r>
      <w:r>
        <w:rPr>
          <w:rFonts w:ascii="Courier New" w:eastAsia="Courier New" w:hAnsi="Courier New"/>
          <w:sz w:val="22"/>
        </w:rPr>
        <w:t>melhorias_desejadas</w:t>
      </w:r>
      <w:r>
        <w:rPr>
          <w:rFonts w:eastAsia="Times New Roman"/>
        </w:rPr>
        <w:t>.</w:t>
      </w:r>
    </w:p>
    <w:p w14:paraId="00ECB0A0" w14:textId="77777777" w:rsidR="00E62C65" w:rsidRDefault="00474360">
      <w:pPr>
        <w:spacing w:after="0" w:line="360" w:lineRule="auto"/>
        <w:ind w:firstLine="709"/>
        <w:jc w:val="both"/>
      </w:pPr>
      <w:r>
        <w:rPr>
          <w:rFonts w:eastAsia="Times New Roman"/>
          <w:b/>
        </w:rPr>
        <w:t>Sensibilidade (fora do modelo principal):</w:t>
      </w:r>
      <w:r>
        <w:rPr>
          <w:rFonts w:eastAsia="Times New Roman"/>
        </w:rPr>
        <w:t xml:space="preserve"> </w:t>
      </w:r>
      <w:r>
        <w:rPr>
          <w:rFonts w:ascii="Courier New" w:eastAsia="Courier New" w:hAnsi="Courier New"/>
          <w:sz w:val="22"/>
        </w:rPr>
        <w:t>problema_saude_agua</w:t>
      </w:r>
      <w:r>
        <w:rPr>
          <w:rFonts w:eastAsia="Times New Roman"/>
        </w:rPr>
        <w:t xml:space="preserve">, </w:t>
      </w:r>
      <w:r>
        <w:rPr>
          <w:rFonts w:ascii="Courier New" w:eastAsia="Courier New" w:hAnsi="Courier New"/>
          <w:sz w:val="22"/>
        </w:rPr>
        <w:t>facil_acesso_saude</w:t>
      </w:r>
      <w:r>
        <w:rPr>
          <w:rFonts w:eastAsia="Times New Roman"/>
        </w:rPr>
        <w:t>.</w:t>
      </w:r>
    </w:p>
    <w:p w14:paraId="1340AB04" w14:textId="77777777" w:rsidR="00E62C65" w:rsidRDefault="00474360">
      <w:pPr>
        <w:spacing w:after="0" w:line="360" w:lineRule="auto"/>
        <w:ind w:firstLine="709"/>
        <w:jc w:val="both"/>
      </w:pPr>
      <w:r>
        <w:rPr>
          <w:rFonts w:eastAsia="Times New Roman"/>
        </w:rPr>
        <w:t xml:space="preserve">O IV-DSS é construído </w:t>
      </w:r>
      <w:r>
        <w:rPr>
          <w:rFonts w:eastAsia="Times New Roman"/>
          <w:b/>
        </w:rPr>
        <w:t>exclusivamente</w:t>
      </w:r>
      <w:r>
        <w:rPr>
          <w:rFonts w:eastAsia="Times New Roman"/>
        </w:rPr>
        <w:t xml:space="preserve"> a partir de determinantes sociais e condições de vulnerabilidade, nunca de informações do próprio acompanhamento.</w:t>
      </w:r>
    </w:p>
    <w:p w14:paraId="32ED7778" w14:textId="77777777" w:rsidR="00E62C65" w:rsidRDefault="00474360">
      <w:pPr>
        <w:pStyle w:val="Ttulo2"/>
      </w:pPr>
      <w:bookmarkStart w:id="32" w:name="_Toc238759968"/>
      <w:r>
        <w:rPr>
          <w:rFonts w:ascii="Times New Roman" w:eastAsia="Times New Roman" w:hAnsi="Times New Roman"/>
        </w:rPr>
        <w:t>3.8 Modelos de aprendizado de máquina</w:t>
      </w:r>
      <w:bookmarkEnd w:id="32"/>
    </w:p>
    <w:p w14:paraId="5B0D12B7" w14:textId="77777777" w:rsidR="00E62C65" w:rsidRDefault="00474360">
      <w:pPr>
        <w:spacing w:after="0" w:line="360" w:lineRule="auto"/>
        <w:ind w:firstLine="709"/>
        <w:jc w:val="both"/>
      </w:pPr>
      <w:r>
        <w:rPr>
          <w:rFonts w:eastAsia="Times New Roman"/>
        </w:rPr>
        <w:t xml:space="preserve">O protocolo experimental avaliou </w:t>
      </w:r>
      <w:r>
        <w:rPr>
          <w:rFonts w:eastAsia="Times New Roman"/>
          <w:b/>
        </w:rPr>
        <w:t>três</w:t>
      </w:r>
      <w:r>
        <w:rPr>
          <w:rFonts w:eastAsia="Times New Roman"/>
        </w:rPr>
        <w:t xml:space="preserve"> algoritmos de classificação supervisionada:</w:t>
      </w:r>
    </w:p>
    <w:p w14:paraId="1F93F00E" w14:textId="77777777" w:rsidR="00E62C65" w:rsidRDefault="00474360">
      <w:pPr>
        <w:spacing w:line="360" w:lineRule="auto"/>
        <w:ind w:left="454" w:hanging="340"/>
      </w:pPr>
      <w:r>
        <w:rPr>
          <w:rFonts w:eastAsia="Times New Roman"/>
        </w:rPr>
        <w:t xml:space="preserve">1. </w:t>
      </w:r>
      <w:r>
        <w:rPr>
          <w:rFonts w:eastAsia="Times New Roman"/>
          <w:b/>
        </w:rPr>
        <w:t>Regressão logística</w:t>
      </w:r>
      <w:r>
        <w:rPr>
          <w:rFonts w:eastAsia="Times New Roman"/>
        </w:rPr>
        <w:t xml:space="preserve"> — baseline interpretável, com regularização L2;</w:t>
      </w:r>
    </w:p>
    <w:p w14:paraId="096D04BC" w14:textId="77777777" w:rsidR="00E62C65" w:rsidRDefault="00474360">
      <w:pPr>
        <w:spacing w:line="360" w:lineRule="auto"/>
        <w:ind w:left="454" w:hanging="340"/>
      </w:pPr>
      <w:r>
        <w:rPr>
          <w:rFonts w:eastAsia="Times New Roman"/>
        </w:rPr>
        <w:t xml:space="preserve">2. </w:t>
      </w:r>
      <w:r>
        <w:rPr>
          <w:rFonts w:eastAsia="Times New Roman"/>
          <w:b/>
        </w:rPr>
        <w:t>Random Forest</w:t>
      </w:r>
      <w:r>
        <w:rPr>
          <w:rFonts w:eastAsia="Times New Roman"/>
        </w:rPr>
        <w:t xml:space="preserve"> — ensemble de árvores;</w:t>
      </w:r>
    </w:p>
    <w:p w14:paraId="365B43E4" w14:textId="77777777" w:rsidR="00E62C65" w:rsidRDefault="00474360">
      <w:pPr>
        <w:spacing w:line="360" w:lineRule="auto"/>
        <w:ind w:left="454" w:hanging="340"/>
      </w:pPr>
      <w:r>
        <w:rPr>
          <w:rFonts w:eastAsia="Times New Roman"/>
        </w:rPr>
        <w:t xml:space="preserve">3. </w:t>
      </w:r>
      <w:r>
        <w:rPr>
          <w:rFonts w:eastAsia="Times New Roman"/>
          <w:b/>
        </w:rPr>
        <w:t>XGBoost</w:t>
      </w:r>
      <w:r>
        <w:rPr>
          <w:rFonts w:eastAsia="Times New Roman"/>
        </w:rPr>
        <w:t xml:space="preserve"> — gradient boosting.</w:t>
      </w:r>
    </w:p>
    <w:p w14:paraId="66484004" w14:textId="77777777" w:rsidR="00E62C65" w:rsidRDefault="00474360">
      <w:pPr>
        <w:spacing w:after="0" w:line="360" w:lineRule="auto"/>
        <w:ind w:firstLine="709"/>
        <w:jc w:val="both"/>
      </w:pPr>
      <w:r>
        <w:rPr>
          <w:rFonts w:eastAsia="Times New Roman" w:cs="Times New Roman"/>
        </w:rPr>
        <w:t>A proposta inicial do trabalho considerou, adicionalmente, técnicas como redes neurais e análise de agrupamento exploratória. O protocolo supervisionado restringiu-se aos três classificadores efetivamente comparados, levando à seleção do Random Forest (seção 5.2); as redes neurais permanecem fora do escopo desta versão. A análise de agrupamento exploratória, por sua vez, foi concretizada — de forma complementar e separada do modelo supervisionado — por meio de um Self-Organizing Map seguido de K-means, conforme descrito na seção 3.13 e apresentado na seção 5.11.</w:t>
      </w:r>
    </w:p>
    <w:p w14:paraId="7CCCD083" w14:textId="77777777" w:rsidR="00114E20" w:rsidRDefault="00D41E34">
      <w:r>
        <w:t xml:space="preserve">Os três algoritmos são fundamentados, respectivamente, na literatura de regressão logística (HOSMER; LEMESHOW; STURDIVANT, 2013), de Random Forest (BREIMAN, 2001) e de gradient boosting (CHEN; GUESTRIN, 2016), com suporte comparativo em estudos que </w:t>
      </w:r>
      <w:r>
        <w:lastRenderedPageBreak/>
        <w:t>confrontam ensembles de árvores e modelos lineares em dados tabulares (COURONNÉ; PROBST; BOULESTEIX, 2018).</w:t>
      </w:r>
    </w:p>
    <w:p w14:paraId="5868237B" w14:textId="77777777" w:rsidR="00E62C65" w:rsidRDefault="00474360">
      <w:pPr>
        <w:pStyle w:val="Ttulo2"/>
      </w:pPr>
      <w:bookmarkStart w:id="33" w:name="_Toc238759969"/>
      <w:r>
        <w:rPr>
          <w:rFonts w:ascii="Times New Roman" w:eastAsia="Times New Roman" w:hAnsi="Times New Roman"/>
        </w:rPr>
        <w:t>3.9 Treinamento e validação</w:t>
      </w:r>
      <w:bookmarkEnd w:id="33"/>
    </w:p>
    <w:p w14:paraId="2E26031F" w14:textId="77777777" w:rsidR="00E62C65" w:rsidRDefault="00474360">
      <w:pPr>
        <w:spacing w:after="0" w:line="360" w:lineRule="auto"/>
        <w:ind w:firstLine="709"/>
        <w:jc w:val="both"/>
      </w:pPr>
      <w:r>
        <w:rPr>
          <w:rFonts w:eastAsia="Times New Roman"/>
        </w:rPr>
        <w:t>O protocolo de treinamento e validação seguiu os seguintes procedimentos:</w:t>
      </w:r>
    </w:p>
    <w:p w14:paraId="03528326" w14:textId="77777777" w:rsidR="00E62C65" w:rsidRDefault="00474360">
      <w:pPr>
        <w:pStyle w:val="Commarcadores"/>
        <w:spacing w:line="360" w:lineRule="auto"/>
        <w:ind w:left="454" w:hanging="227"/>
      </w:pPr>
      <w:r>
        <w:rPr>
          <w:rFonts w:eastAsia="Times New Roman"/>
          <w:b/>
        </w:rPr>
        <w:t>Divisão treino/teste:</w:t>
      </w:r>
      <w:r>
        <w:rPr>
          <w:rFonts w:eastAsia="Times New Roman"/>
        </w:rPr>
        <w:t xml:space="preserve"> o dataset sintético (5.000 registros) foi dividido em </w:t>
      </w:r>
      <w:r>
        <w:rPr>
          <w:rFonts w:eastAsia="Times New Roman"/>
          <w:b/>
        </w:rPr>
        <w:t>80% treino (4.000)</w:t>
      </w:r>
      <w:r>
        <w:rPr>
          <w:rFonts w:eastAsia="Times New Roman"/>
        </w:rPr>
        <w:t xml:space="preserve"> e </w:t>
      </w:r>
      <w:r>
        <w:rPr>
          <w:rFonts w:eastAsia="Times New Roman"/>
          <w:b/>
        </w:rPr>
        <w:t>20% teste (1.000)</w:t>
      </w:r>
      <w:r>
        <w:rPr>
          <w:rFonts w:eastAsia="Times New Roman"/>
        </w:rPr>
        <w:t xml:space="preserve">, de forma </w:t>
      </w:r>
      <w:r>
        <w:rPr>
          <w:rFonts w:eastAsia="Times New Roman"/>
          <w:b/>
        </w:rPr>
        <w:t>estratificada</w:t>
      </w:r>
      <w:r>
        <w:rPr>
          <w:rFonts w:eastAsia="Times New Roman"/>
        </w:rPr>
        <w:t xml:space="preserve"> em relação ao desfecho.</w:t>
      </w:r>
    </w:p>
    <w:p w14:paraId="0F7DF5D7" w14:textId="77777777" w:rsidR="00E62C65" w:rsidRDefault="00474360">
      <w:pPr>
        <w:pStyle w:val="Commarcadores"/>
        <w:spacing w:line="360" w:lineRule="auto"/>
        <w:ind w:left="454" w:hanging="227"/>
      </w:pPr>
      <w:r>
        <w:rPr>
          <w:rFonts w:eastAsia="Times New Roman"/>
          <w:b/>
        </w:rPr>
        <w:t>Validação cruzada:</w:t>
      </w:r>
      <w:r>
        <w:rPr>
          <w:rFonts w:eastAsia="Times New Roman"/>
        </w:rPr>
        <w:t xml:space="preserve"> 5-fold estratificado, com </w:t>
      </w:r>
      <w:r>
        <w:rPr>
          <w:rFonts w:eastAsia="Times New Roman"/>
          <w:b/>
        </w:rPr>
        <w:t>folds congelados</w:t>
      </w:r>
      <w:r>
        <w:rPr>
          <w:rFonts w:eastAsia="Times New Roman"/>
        </w:rPr>
        <w:t xml:space="preserve"> e seed fixa.</w:t>
      </w:r>
    </w:p>
    <w:p w14:paraId="6E4CF2F3" w14:textId="77777777" w:rsidR="00E62C65" w:rsidRDefault="00474360">
      <w:pPr>
        <w:pStyle w:val="Commarcadores"/>
        <w:spacing w:line="360" w:lineRule="auto"/>
        <w:ind w:left="454" w:hanging="227"/>
      </w:pPr>
      <w:r>
        <w:rPr>
          <w:rFonts w:eastAsia="Times New Roman"/>
          <w:b/>
        </w:rPr>
        <w:t>Controle de desbalanceamento:</w:t>
      </w:r>
      <w:r>
        <w:rPr>
          <w:rFonts w:eastAsia="Times New Roman"/>
        </w:rPr>
        <w:t xml:space="preserve"> </w:t>
      </w:r>
      <w:r>
        <w:rPr>
          <w:rFonts w:ascii="Courier New" w:eastAsia="Courier New" w:hAnsi="Courier New"/>
          <w:sz w:val="22"/>
        </w:rPr>
        <w:t>class_weight</w:t>
      </w:r>
      <w:r>
        <w:rPr>
          <w:rFonts w:eastAsia="Times New Roman"/>
        </w:rPr>
        <w:t xml:space="preserve"> quando disponível (balanced na regressão logística; </w:t>
      </w:r>
      <w:r>
        <w:rPr>
          <w:rFonts w:ascii="Courier New" w:eastAsia="Courier New" w:hAnsi="Courier New"/>
          <w:sz w:val="22"/>
        </w:rPr>
        <w:t>balanced_subsample</w:t>
      </w:r>
      <w:r>
        <w:rPr>
          <w:rFonts w:eastAsia="Times New Roman"/>
        </w:rPr>
        <w:t xml:space="preserve"> no Random Forest; </w:t>
      </w:r>
      <w:r>
        <w:rPr>
          <w:rFonts w:ascii="Courier New" w:eastAsia="Courier New" w:hAnsi="Courier New"/>
          <w:sz w:val="22"/>
        </w:rPr>
        <w:t>scale_pos_weight</w:t>
      </w:r>
      <w:r>
        <w:rPr>
          <w:rFonts w:eastAsia="Times New Roman"/>
        </w:rPr>
        <w:t xml:space="preserve"> calculado exclusivamente a partir do y de cada fold no XGBoost).</w:t>
      </w:r>
    </w:p>
    <w:p w14:paraId="19114DD0" w14:textId="77777777" w:rsidR="00E62C65" w:rsidRDefault="00474360">
      <w:pPr>
        <w:pStyle w:val="Commarcadores"/>
        <w:spacing w:line="360" w:lineRule="auto"/>
        <w:ind w:left="454" w:hanging="227"/>
      </w:pPr>
      <w:r>
        <w:rPr>
          <w:rFonts w:eastAsia="Times New Roman"/>
          <w:b/>
        </w:rPr>
        <w:t>Controle de leakage de preprocessing:</w:t>
      </w:r>
      <w:r>
        <w:rPr>
          <w:rFonts w:eastAsia="Times New Roman"/>
        </w:rPr>
        <w:t xml:space="preserve"> o pré-processamento foi aprendido </w:t>
      </w:r>
      <w:r>
        <w:rPr>
          <w:rFonts w:eastAsia="Times New Roman"/>
          <w:b/>
        </w:rPr>
        <w:t>somente</w:t>
      </w:r>
      <w:r>
        <w:rPr>
          <w:rFonts w:eastAsia="Times New Roman"/>
        </w:rPr>
        <w:t xml:space="preserve"> sobre o treinamento (encodings one-hot/multi-hot, ordinais e booleanos, sem imputação, sem scaling e sem feature selection), e aplicado aos folds de validação e ao teste sem reutilizar estatísticas do teste.</w:t>
      </w:r>
    </w:p>
    <w:p w14:paraId="47E2F004" w14:textId="77777777" w:rsidR="00E62C65" w:rsidRDefault="00474360">
      <w:pPr>
        <w:pStyle w:val="Commarcadores"/>
        <w:spacing w:line="360" w:lineRule="auto"/>
        <w:ind w:left="454" w:hanging="227"/>
      </w:pPr>
      <w:r>
        <w:rPr>
          <w:rFonts w:eastAsia="Times New Roman"/>
          <w:b/>
        </w:rPr>
        <w:t>Conjunto de teste:</w:t>
      </w:r>
      <w:r>
        <w:rPr>
          <w:rFonts w:eastAsia="Times New Roman"/>
        </w:rPr>
        <w:t xml:space="preserve"> o teste (1.000 registros) </w:t>
      </w:r>
      <w:r>
        <w:rPr>
          <w:rFonts w:eastAsia="Times New Roman"/>
          <w:b/>
        </w:rPr>
        <w:t>não participou</w:t>
      </w:r>
      <w:r>
        <w:rPr>
          <w:rFonts w:eastAsia="Times New Roman"/>
        </w:rPr>
        <w:t xml:space="preserve"> de nenhuma decisão — nem do ajuste, nem da seleção de modelo.</w:t>
      </w:r>
    </w:p>
    <w:p w14:paraId="681E9FEB" w14:textId="77777777" w:rsidR="00E62C65" w:rsidRDefault="00474360">
      <w:pPr>
        <w:spacing w:after="0" w:line="360" w:lineRule="auto"/>
        <w:ind w:firstLine="709"/>
        <w:jc w:val="both"/>
      </w:pPr>
      <w:r>
        <w:rPr>
          <w:rFonts w:eastAsia="Times New Roman"/>
        </w:rPr>
        <w:t xml:space="preserve">O pré-processamento transformou as </w:t>
      </w:r>
      <w:r>
        <w:rPr>
          <w:rFonts w:eastAsia="Times New Roman"/>
          <w:b/>
        </w:rPr>
        <w:t>34 variáveis brutas</w:t>
      </w:r>
      <w:r>
        <w:rPr>
          <w:rFonts w:eastAsia="Times New Roman"/>
        </w:rPr>
        <w:t xml:space="preserve"> de </w:t>
      </w:r>
      <w:r>
        <w:rPr>
          <w:rFonts w:ascii="Courier New" w:eastAsia="Courier New" w:hAnsi="Courier New"/>
          <w:sz w:val="22"/>
        </w:rPr>
        <w:t>X_model</w:t>
      </w:r>
      <w:r>
        <w:rPr>
          <w:rFonts w:eastAsia="Times New Roman"/>
        </w:rPr>
        <w:t xml:space="preserve"> em </w:t>
      </w:r>
      <w:r>
        <w:rPr>
          <w:rFonts w:eastAsia="Times New Roman"/>
          <w:b/>
        </w:rPr>
        <w:t>96 features</w:t>
      </w:r>
      <w:r>
        <w:rPr>
          <w:rFonts w:eastAsia="Times New Roman"/>
        </w:rPr>
        <w:t xml:space="preserve"> numéricas (</w:t>
      </w:r>
      <w:r>
        <w:rPr>
          <w:rFonts w:ascii="Courier New" w:eastAsia="Courier New" w:hAnsi="Courier New"/>
          <w:sz w:val="22"/>
        </w:rPr>
        <w:t>float64</w:t>
      </w:r>
      <w:r>
        <w:rPr>
          <w:rFonts w:eastAsia="Times New Roman"/>
        </w:rPr>
        <w:t>), por codificação one-hot/multi-hot de categorias nominais e multiselect, mapeamento de ordinais e normalização de booleanos — sem imputação e sem escalonamento.</w:t>
      </w:r>
    </w:p>
    <w:p w14:paraId="79E9EBBC" w14:textId="77777777" w:rsidR="00114E20" w:rsidRDefault="00D41E34">
      <w:r>
        <w:t>O protocolo de divisão, validação cruzada e uso exclusivo do conjunto de teste para a avaliação final segue as recomendações de modelagem preditiva (STEYERBERG, 2019) e de relato transparente (COLLINS et al., 2015).</w:t>
      </w:r>
    </w:p>
    <w:p w14:paraId="1E0584AF" w14:textId="77777777" w:rsidR="00E62C65" w:rsidRDefault="00474360">
      <w:pPr>
        <w:pStyle w:val="Ttulo2"/>
      </w:pPr>
      <w:bookmarkStart w:id="34" w:name="_Toc238759970"/>
      <w:r>
        <w:rPr>
          <w:rFonts w:ascii="Times New Roman" w:eastAsia="Times New Roman" w:hAnsi="Times New Roman"/>
        </w:rPr>
        <w:t>3.10 Métricas</w:t>
      </w:r>
      <w:bookmarkEnd w:id="34"/>
    </w:p>
    <w:p w14:paraId="54BFEAF1" w14:textId="77777777" w:rsidR="00E62C65" w:rsidRDefault="00474360">
      <w:pPr>
        <w:spacing w:after="0" w:line="360" w:lineRule="auto"/>
        <w:ind w:firstLine="709"/>
        <w:jc w:val="both"/>
      </w:pPr>
      <w:r>
        <w:rPr>
          <w:rFonts w:eastAsia="Times New Roman"/>
        </w:rPr>
        <w:t xml:space="preserve">A avaliação adotou métricas </w:t>
      </w:r>
      <w:r>
        <w:rPr>
          <w:rFonts w:eastAsia="Times New Roman"/>
          <w:b/>
        </w:rPr>
        <w:t>independentes de threshold</w:t>
      </w:r>
      <w:r>
        <w:rPr>
          <w:rFonts w:eastAsia="Times New Roman"/>
        </w:rPr>
        <w:t xml:space="preserve"> e </w:t>
      </w:r>
      <w:r>
        <w:rPr>
          <w:rFonts w:eastAsia="Times New Roman"/>
          <w:b/>
        </w:rPr>
        <w:t>dependentes de threshold</w:t>
      </w:r>
      <w:r>
        <w:rPr>
          <w:rFonts w:eastAsia="Times New Roman"/>
        </w:rPr>
        <w:t>:</w:t>
      </w:r>
    </w:p>
    <w:p w14:paraId="61A4F052" w14:textId="77777777" w:rsidR="00E62C65" w:rsidRDefault="00474360">
      <w:pPr>
        <w:pStyle w:val="Commarcadores"/>
        <w:spacing w:line="360" w:lineRule="auto"/>
        <w:ind w:left="454" w:hanging="227"/>
      </w:pPr>
      <w:r>
        <w:rPr>
          <w:rFonts w:eastAsia="Times New Roman"/>
          <w:b/>
        </w:rPr>
        <w:t>Independentes de threshold:</w:t>
      </w:r>
      <w:r>
        <w:rPr>
          <w:rFonts w:eastAsia="Times New Roman"/>
        </w:rPr>
        <w:t xml:space="preserve"> ROC-AUC e PR-AUC (métricas primárias para seleção e comparação), além do Brier score e da curva de calibração.</w:t>
      </w:r>
    </w:p>
    <w:p w14:paraId="0FA472A7" w14:textId="77777777" w:rsidR="00E62C65" w:rsidRDefault="00474360">
      <w:pPr>
        <w:pStyle w:val="Commarcadores"/>
        <w:spacing w:line="360" w:lineRule="auto"/>
        <w:ind w:left="454" w:hanging="227"/>
      </w:pPr>
      <w:r>
        <w:rPr>
          <w:rFonts w:eastAsia="Times New Roman"/>
          <w:b/>
        </w:rPr>
        <w:t>Dependentes de threshold (referência 0.5):</w:t>
      </w:r>
      <w:r>
        <w:rPr>
          <w:rFonts w:eastAsia="Times New Roman"/>
        </w:rPr>
        <w:t xml:space="preserve"> accuracy, precision, recall, F1 e matriz de confusão.</w:t>
      </w:r>
    </w:p>
    <w:p w14:paraId="32CF239F" w14:textId="77777777" w:rsidR="00E62C65" w:rsidRDefault="00474360">
      <w:pPr>
        <w:pStyle w:val="Commarcadores"/>
        <w:spacing w:line="360" w:lineRule="auto"/>
        <w:ind w:left="454" w:hanging="227"/>
      </w:pPr>
      <w:r>
        <w:rPr>
          <w:rFonts w:eastAsia="Times New Roman"/>
        </w:rPr>
        <w:t xml:space="preserve">O </w:t>
      </w:r>
      <w:r>
        <w:rPr>
          <w:rFonts w:eastAsia="Times New Roman"/>
          <w:b/>
        </w:rPr>
        <w:t>Recall</w:t>
      </w:r>
      <w:r>
        <w:rPr>
          <w:rFonts w:eastAsia="Times New Roman"/>
        </w:rPr>
        <w:t xml:space="preserve"> recebe atenção especial em razão do objetivo experimental de avaliar a capacidade dos modelos de identificar a maior proporção possível dos casos positivos </w:t>
      </w:r>
      <w:r>
        <w:rPr>
          <w:rFonts w:eastAsia="Times New Roman"/>
        </w:rPr>
        <w:lastRenderedPageBreak/>
        <w:t xml:space="preserve">sintéticos, sendo interpretado conjuntamente com as demais métricas — </w:t>
      </w:r>
      <w:r>
        <w:rPr>
          <w:rFonts w:eastAsia="Times New Roman"/>
          <w:b/>
        </w:rPr>
        <w:t>não</w:t>
      </w:r>
      <w:r>
        <w:rPr>
          <w:rFonts w:eastAsia="Times New Roman"/>
        </w:rPr>
        <w:t xml:space="preserve"> como critério único de escolha do modelo.</w:t>
      </w:r>
    </w:p>
    <w:p w14:paraId="4F965205" w14:textId="77777777" w:rsidR="00E62C65" w:rsidRDefault="00474360">
      <w:pPr>
        <w:spacing w:after="0" w:line="360" w:lineRule="auto"/>
        <w:ind w:firstLine="709"/>
        <w:jc w:val="both"/>
      </w:pPr>
      <w:r>
        <w:rPr>
          <w:rFonts w:eastAsia="Times New Roman"/>
        </w:rPr>
        <w:t xml:space="preserve">A seleção do modelo foi orientada pela </w:t>
      </w:r>
      <w:r>
        <w:rPr>
          <w:rFonts w:eastAsia="Times New Roman"/>
          <w:b/>
        </w:rPr>
        <w:t>PR-AUC média</w:t>
      </w:r>
      <w:r>
        <w:rPr>
          <w:rFonts w:eastAsia="Times New Roman"/>
        </w:rPr>
        <w:t xml:space="preserve"> na validação cruzada (desempate por recall e F1), por ser mais adequada a cenários desbalanceados do que a accuracy. Os resultados são apresentados na seção 5.</w:t>
      </w:r>
    </w:p>
    <w:p w14:paraId="54D559B0" w14:textId="77777777" w:rsidR="00114E20" w:rsidRDefault="00D41E34">
      <w:r>
        <w:t>A escolha da PR-AUC como métrica primária justifica-se pela maior sensibilidade dessa curva a cenários com classe positiva minoritária (SAITO; REHMSMEIER, 2015; DAVIS; GOADRICH, 2006), e a avaliação da calibração pelo Brier score e por curvas de calibração fundamenta-se na literatura de predição probabilística (BRIER, 1950; GNEITING; RAFTERY, 2007; VAN CALSTER et al., 2019). O tratamento do desbalanceamento de classes apoia-se na literatura específica (HE; GARCIA, 2009).</w:t>
      </w:r>
    </w:p>
    <w:p w14:paraId="17DEA6E8" w14:textId="77777777" w:rsidR="00E62C65" w:rsidRDefault="00474360">
      <w:pPr>
        <w:pStyle w:val="Ttulo2"/>
      </w:pPr>
      <w:bookmarkStart w:id="35" w:name="_Toc238759971"/>
      <w:r>
        <w:rPr>
          <w:rFonts w:ascii="Times New Roman" w:eastAsia="Times New Roman" w:hAnsi="Times New Roman"/>
        </w:rPr>
        <w:t>3.11 Procedimento de validação da integração Flutter → API → ML</w:t>
      </w:r>
      <w:bookmarkEnd w:id="35"/>
    </w:p>
    <w:p w14:paraId="53B5D052" w14:textId="77777777" w:rsidR="00E62C65" w:rsidRDefault="00474360">
      <w:pPr>
        <w:spacing w:after="0" w:line="360" w:lineRule="auto"/>
        <w:ind w:firstLine="709"/>
        <w:jc w:val="both"/>
      </w:pPr>
      <w:r>
        <w:t xml:space="preserve">O aplicativo integra o formulário DSS à API e ao modelo de ML: a resposta do modelo é uma </w:t>
      </w:r>
      <w:r>
        <w:rPr>
          <w:b/>
        </w:rPr>
        <w:t>probabilidade de descontinuidade</w:t>
      </w:r>
      <w:r>
        <w:t xml:space="preserve">, apresentada </w:t>
      </w:r>
      <w:r>
        <w:rPr>
          <w:b/>
        </w:rPr>
        <w:t>não</w:t>
      </w:r>
      <w:r>
        <w:t xml:space="preserve"> como diagnóstico. A integração foi </w:t>
      </w:r>
      <w:r>
        <w:rPr>
          <w:b/>
        </w:rPr>
        <w:t>implementada e validada</w:t>
      </w:r>
      <w:r>
        <w:t xml:space="preserve"> (seções 4.1 e 5.9). Adicionalmente, a </w:t>
      </w:r>
      <w:r>
        <w:rPr>
          <w:b/>
        </w:rPr>
        <w:t>infraestrutura de persistência</w:t>
      </w:r>
      <w:r>
        <w:t xml:space="preserve"> do backend foi submetida a um procedimento de validação técnica próprio, contra </w:t>
      </w:r>
      <w:r>
        <w:rPr>
          <w:b/>
        </w:rPr>
        <w:t>PostgreSQL real</w:t>
      </w:r>
      <w:r>
        <w:t xml:space="preserve">, cobrindo conexão, sessão, transação, rollback e encerramento de recursos. A </w:t>
      </w:r>
      <w:r>
        <w:rPr>
          <w:b/>
        </w:rPr>
        <w:t>autenticação</w:t>
      </w:r>
      <w:r>
        <w:t xml:space="preserve"> (backend) foi submetida a </w:t>
      </w:r>
      <w:r>
        <w:rPr>
          <w:b/>
        </w:rPr>
        <w:t>testes automatizados</w:t>
      </w:r>
      <w:r>
        <w:t xml:space="preserve"> e a um </w:t>
      </w:r>
      <w:r>
        <w:rPr>
          <w:b/>
        </w:rPr>
        <w:t>smoke HTTP</w:t>
      </w:r>
      <w:r>
        <w:t xml:space="preserve"> real (detalhado em 5.9).</w:t>
      </w:r>
    </w:p>
    <w:p w14:paraId="0105C2EB" w14:textId="77777777" w:rsidR="00E62C65" w:rsidRDefault="00474360">
      <w:pPr>
        <w:pStyle w:val="Ttulo2"/>
      </w:pPr>
      <w:bookmarkStart w:id="36" w:name="_Toc238759972"/>
      <w:r>
        <w:rPr>
          <w:rFonts w:ascii="Times New Roman" w:eastAsia="Times New Roman" w:hAnsi="Times New Roman"/>
        </w:rPr>
        <w:t>3.12 Aspectos éticos e limitações</w:t>
      </w:r>
      <w:bookmarkEnd w:id="36"/>
    </w:p>
    <w:p w14:paraId="55135EC7" w14:textId="77777777" w:rsidR="00114E20" w:rsidRDefault="00D41E34">
      <w:r>
        <w:t>O desenvolvimento de modelos preditivos em saúde deve observar princípios éticos e de governança (WORLD HEALTH ORGANIZATION, 2021), a proteção de dados pessoais (BRASIL, 2018) e práticas de relato transparente e de avaliação de risco de viés (COLLINS et al., 2015; WOLFF et al., 2019), incluindo atenção a vieses algorítmicos documentados na literatura (OBERMEYER et al., 2019). As limitações deste estudo, explicitadas a seguir, decorrem diretamente do caráter experimental e sintético da investigação.</w:t>
      </w:r>
    </w:p>
    <w:p w14:paraId="6327D4FB" w14:textId="77777777" w:rsidR="00E62C65" w:rsidRDefault="00474360">
      <w:pPr>
        <w:spacing w:line="360" w:lineRule="auto"/>
        <w:ind w:left="454" w:hanging="340"/>
      </w:pPr>
      <w:r>
        <w:rPr>
          <w:rFonts w:eastAsia="Times New Roman"/>
        </w:rPr>
        <w:t xml:space="preserve">1. Dados sintéticos </w:t>
      </w:r>
      <w:r>
        <w:rPr>
          <w:rFonts w:eastAsia="Times New Roman"/>
          <w:b/>
        </w:rPr>
        <w:t>≠</w:t>
      </w:r>
      <w:r>
        <w:rPr>
          <w:rFonts w:eastAsia="Times New Roman"/>
        </w:rPr>
        <w:t xml:space="preserve"> dados reais (sem validade externa clínica).</w:t>
      </w:r>
    </w:p>
    <w:p w14:paraId="0A227A94" w14:textId="77777777" w:rsidR="00E62C65" w:rsidRDefault="00474360">
      <w:pPr>
        <w:spacing w:line="360" w:lineRule="auto"/>
        <w:ind w:left="454" w:hanging="340"/>
      </w:pPr>
      <w:r>
        <w:rPr>
          <w:rFonts w:eastAsia="Times New Roman"/>
        </w:rPr>
        <w:t xml:space="preserve">2. Estimativa </w:t>
      </w:r>
      <w:r>
        <w:rPr>
          <w:rFonts w:eastAsia="Times New Roman"/>
          <w:b/>
        </w:rPr>
        <w:t>≠</w:t>
      </w:r>
      <w:r>
        <w:rPr>
          <w:rFonts w:eastAsia="Times New Roman"/>
        </w:rPr>
        <w:t xml:space="preserve"> diagnóstico médico.</w:t>
      </w:r>
    </w:p>
    <w:p w14:paraId="67C527A0" w14:textId="77777777" w:rsidR="00E62C65" w:rsidRDefault="00474360">
      <w:pPr>
        <w:spacing w:line="360" w:lineRule="auto"/>
        <w:ind w:left="454" w:hanging="340"/>
      </w:pPr>
      <w:r>
        <w:rPr>
          <w:rFonts w:eastAsia="Times New Roman"/>
        </w:rPr>
        <w:t xml:space="preserve">3. Associação estatística </w:t>
      </w:r>
      <w:r>
        <w:rPr>
          <w:rFonts w:eastAsia="Times New Roman"/>
          <w:b/>
        </w:rPr>
        <w:t>≠</w:t>
      </w:r>
      <w:r>
        <w:rPr>
          <w:rFonts w:eastAsia="Times New Roman"/>
        </w:rPr>
        <w:t xml:space="preserve"> causalidade.</w:t>
      </w:r>
    </w:p>
    <w:p w14:paraId="118E173E" w14:textId="77777777" w:rsidR="00E62C65" w:rsidRDefault="00474360">
      <w:pPr>
        <w:spacing w:line="360" w:lineRule="auto"/>
        <w:ind w:left="454" w:hanging="340"/>
      </w:pPr>
      <w:r>
        <w:rPr>
          <w:rFonts w:eastAsia="Times New Roman"/>
        </w:rPr>
        <w:t xml:space="preserve">4. O IV-DSS é um </w:t>
      </w:r>
      <w:r>
        <w:rPr>
          <w:rFonts w:eastAsia="Times New Roman"/>
          <w:b/>
        </w:rPr>
        <w:t>índice descritivo experimental</w:t>
      </w:r>
      <w:r>
        <w:rPr>
          <w:rFonts w:eastAsia="Times New Roman"/>
        </w:rPr>
        <w:t>, não validado; não é escala diagnóstica.</w:t>
      </w:r>
    </w:p>
    <w:p w14:paraId="131E7181" w14:textId="77777777" w:rsidR="00E62C65" w:rsidRDefault="00474360">
      <w:pPr>
        <w:spacing w:line="360" w:lineRule="auto"/>
        <w:ind w:left="454" w:hanging="340"/>
      </w:pPr>
      <w:r>
        <w:rPr>
          <w:rFonts w:eastAsia="Times New Roman"/>
        </w:rPr>
        <w:t xml:space="preserve">5. </w:t>
      </w:r>
      <w:r>
        <w:rPr>
          <w:rFonts w:ascii="Courier New" w:eastAsia="Courier New" w:hAnsi="Courier New"/>
          <w:sz w:val="22"/>
        </w:rPr>
        <w:t>faixa_renda</w:t>
      </w:r>
      <w:r>
        <w:rPr>
          <w:rFonts w:eastAsia="Times New Roman"/>
        </w:rPr>
        <w:t xml:space="preserve"> representa </w:t>
      </w:r>
      <w:r>
        <w:rPr>
          <w:rFonts w:eastAsia="Times New Roman"/>
          <w:b/>
        </w:rPr>
        <w:t>renda familiar</w:t>
      </w:r>
      <w:r>
        <w:rPr>
          <w:rFonts w:eastAsia="Times New Roman"/>
        </w:rPr>
        <w:t>, não renda per capita.</w:t>
      </w:r>
    </w:p>
    <w:p w14:paraId="11F51C63" w14:textId="77777777" w:rsidR="00E62C65" w:rsidRDefault="00474360">
      <w:pPr>
        <w:spacing w:line="360" w:lineRule="auto"/>
        <w:ind w:left="454" w:hanging="340"/>
      </w:pPr>
      <w:r>
        <w:rPr>
          <w:rFonts w:eastAsia="Times New Roman"/>
        </w:rPr>
        <w:lastRenderedPageBreak/>
        <w:t xml:space="preserve">6. A normalização ordinal com </w:t>
      </w:r>
      <w:r>
        <w:rPr>
          <w:rFonts w:eastAsia="Times New Roman"/>
          <w:b/>
        </w:rPr>
        <w:t>intervalos iguais</w:t>
      </w:r>
      <w:r>
        <w:rPr>
          <w:rFonts w:eastAsia="Times New Roman"/>
        </w:rPr>
        <w:t xml:space="preserve"> é operacional; não implica que as diferenças sociais entre níveis consecutivos sejam empiricamente iguais.</w:t>
      </w:r>
    </w:p>
    <w:p w14:paraId="034EB020" w14:textId="77777777" w:rsidR="00E62C65" w:rsidRDefault="00474360">
      <w:pPr>
        <w:spacing w:line="360" w:lineRule="auto"/>
        <w:ind w:left="454" w:hanging="340"/>
      </w:pPr>
      <w:r>
        <w:rPr>
          <w:rFonts w:eastAsia="Times New Roman"/>
        </w:rPr>
        <w:t xml:space="preserve">7. O mínimo de </w:t>
      </w:r>
      <w:r>
        <w:rPr>
          <w:rFonts w:eastAsia="Times New Roman"/>
          <w:b/>
        </w:rPr>
        <w:t>≥ 7 consultas</w:t>
      </w:r>
      <w:r>
        <w:rPr>
          <w:rFonts w:eastAsia="Times New Roman"/>
        </w:rPr>
        <w:t xml:space="preserve"> (Portaria GM/MS nº 5.350/2024, contexto </w:t>
      </w:r>
      <w:r>
        <w:rPr>
          <w:rFonts w:eastAsia="Times New Roman"/>
          <w:b/>
        </w:rPr>
        <w:t>Rede Alyne</w:t>
      </w:r>
      <w:r>
        <w:rPr>
          <w:rFonts w:eastAsia="Times New Roman"/>
        </w:rPr>
        <w:t xml:space="preserve">) é uma </w:t>
      </w:r>
      <w:r>
        <w:rPr>
          <w:rFonts w:eastAsia="Times New Roman"/>
          <w:b/>
        </w:rPr>
        <w:t>referência normativa contextual/preliminar</w:t>
      </w:r>
      <w:r>
        <w:rPr>
          <w:rFonts w:eastAsia="Times New Roman"/>
        </w:rPr>
        <w:t xml:space="preserve"> para a futura operacionalização longitudinal com dados reais. </w:t>
      </w:r>
      <w:r>
        <w:rPr>
          <w:rFonts w:eastAsia="Times New Roman"/>
          <w:b/>
        </w:rPr>
        <w:t>Não</w:t>
      </w:r>
      <w:r>
        <w:rPr>
          <w:rFonts w:eastAsia="Times New Roman"/>
        </w:rPr>
        <w:t xml:space="preserve"> gera o Y sintético do experimento atual (que provém do DGM) e </w:t>
      </w:r>
      <w:r>
        <w:rPr>
          <w:rFonts w:eastAsia="Times New Roman"/>
          <w:b/>
        </w:rPr>
        <w:t>não</w:t>
      </w:r>
      <w:r>
        <w:rPr>
          <w:rFonts w:eastAsia="Times New Roman"/>
        </w:rPr>
        <w:t xml:space="preserve"> é definição universal de abandono/descontinuidade; a Portaria também não estabelece, nesse dispositivo, ajuste pela duração gestacional.</w:t>
      </w:r>
    </w:p>
    <w:p w14:paraId="7CC76AE7" w14:textId="77777777" w:rsidR="00E62C65" w:rsidRDefault="00474360">
      <w:pPr>
        <w:spacing w:line="360" w:lineRule="auto"/>
        <w:ind w:left="454" w:hanging="340"/>
      </w:pPr>
      <w:r>
        <w:rPr>
          <w:rFonts w:eastAsia="Times New Roman"/>
        </w:rPr>
        <w:t xml:space="preserve">8. A </w:t>
      </w:r>
      <w:r>
        <w:rPr>
          <w:rFonts w:ascii="Courier New" w:eastAsia="Courier New" w:hAnsi="Courier New"/>
          <w:sz w:val="22"/>
        </w:rPr>
        <w:t>fonte_agua</w:t>
      </w:r>
      <w:r>
        <w:rPr>
          <w:rFonts w:eastAsia="Times New Roman"/>
        </w:rPr>
        <w:t xml:space="preserve"> isolada </w:t>
      </w:r>
      <w:r>
        <w:rPr>
          <w:rFonts w:eastAsia="Times New Roman"/>
          <w:b/>
        </w:rPr>
        <w:t>não</w:t>
      </w:r>
      <w:r>
        <w:rPr>
          <w:rFonts w:eastAsia="Times New Roman"/>
        </w:rPr>
        <w:t xml:space="preserve"> avalia potabilidade nem adequação total.</w:t>
      </w:r>
    </w:p>
    <w:p w14:paraId="095D115E" w14:textId="77777777" w:rsidR="00E62C65" w:rsidRDefault="00474360">
      <w:pPr>
        <w:spacing w:line="360" w:lineRule="auto"/>
        <w:ind w:left="454" w:hanging="340"/>
      </w:pPr>
      <w:r>
        <w:rPr>
          <w:rFonts w:eastAsia="Times New Roman"/>
        </w:rPr>
        <w:t xml:space="preserve">9. </w:t>
      </w:r>
      <w:r>
        <w:rPr>
          <w:rFonts w:ascii="Courier New" w:eastAsia="Courier New" w:hAnsi="Courier New"/>
          <w:sz w:val="22"/>
        </w:rPr>
        <w:t>fossa_septica</w:t>
      </w:r>
      <w:r>
        <w:rPr>
          <w:rFonts w:eastAsia="Times New Roman"/>
        </w:rPr>
        <w:t xml:space="preserve"> é tratada como equivalente a </w:t>
      </w:r>
      <w:r>
        <w:rPr>
          <w:rFonts w:ascii="Courier New" w:eastAsia="Courier New" w:hAnsi="Courier New"/>
          <w:sz w:val="22"/>
        </w:rPr>
        <w:t>rede_coletora</w:t>
      </w:r>
      <w:r>
        <w:rPr>
          <w:rFonts w:eastAsia="Times New Roman"/>
        </w:rPr>
        <w:t xml:space="preserve"> sem distinguir qualidade/conservação.</w:t>
      </w:r>
    </w:p>
    <w:p w14:paraId="526FE77D" w14:textId="77777777" w:rsidR="00E62C65" w:rsidRDefault="00474360">
      <w:pPr>
        <w:spacing w:line="360" w:lineRule="auto"/>
        <w:ind w:left="454" w:hanging="340"/>
      </w:pPr>
      <w:r>
        <w:rPr>
          <w:rFonts w:eastAsia="Times New Roman"/>
        </w:rPr>
        <w:t>10. O indicador alimentar (</w:t>
      </w:r>
      <w:r>
        <w:rPr>
          <w:rFonts w:ascii="Courier New" w:eastAsia="Courier New" w:hAnsi="Courier New"/>
          <w:sz w:val="22"/>
        </w:rPr>
        <w:t>deixou_de_comer_falta_dinheiro</w:t>
      </w:r>
      <w:r>
        <w:rPr>
          <w:rFonts w:eastAsia="Times New Roman"/>
        </w:rPr>
        <w:t xml:space="preserve">) é </w:t>
      </w:r>
      <w:r>
        <w:rPr>
          <w:rFonts w:eastAsia="Times New Roman"/>
          <w:b/>
        </w:rPr>
        <w:t>único</w:t>
      </w:r>
      <w:r>
        <w:rPr>
          <w:rFonts w:eastAsia="Times New Roman"/>
        </w:rPr>
        <w:t xml:space="preserve"> e </w:t>
      </w:r>
      <w:r>
        <w:rPr>
          <w:rFonts w:eastAsia="Times New Roman"/>
          <w:b/>
        </w:rPr>
        <w:t>não</w:t>
      </w:r>
      <w:r>
        <w:rPr>
          <w:rFonts w:eastAsia="Times New Roman"/>
        </w:rPr>
        <w:t xml:space="preserve"> constitui EBIA/FIES nem classifica insegurança alimentar leve/moderada/grave.</w:t>
      </w:r>
    </w:p>
    <w:p w14:paraId="2A1083EC" w14:textId="77777777" w:rsidR="00E62C65" w:rsidRDefault="00474360">
      <w:pPr>
        <w:spacing w:line="360" w:lineRule="auto"/>
        <w:ind w:left="454" w:hanging="340"/>
      </w:pPr>
      <w:r>
        <w:rPr>
          <w:rFonts w:eastAsia="Times New Roman"/>
        </w:rPr>
        <w:t xml:space="preserve">11. O </w:t>
      </w:r>
      <w:r>
        <w:rPr>
          <w:rFonts w:ascii="Courier New" w:eastAsia="Courier New" w:hAnsi="Courier New"/>
          <w:sz w:val="22"/>
        </w:rPr>
        <w:t>adensamento_habitacional</w:t>
      </w:r>
      <w:r>
        <w:rPr>
          <w:rFonts w:eastAsia="Times New Roman"/>
        </w:rPr>
        <w:t xml:space="preserve"> usa moradores/dormitório sem considerar outros fatores de inadequação habitacional.</w:t>
      </w:r>
    </w:p>
    <w:p w14:paraId="56A1C295" w14:textId="77777777" w:rsidR="00E62C65" w:rsidRDefault="00474360">
      <w:pPr>
        <w:spacing w:line="360" w:lineRule="auto"/>
        <w:ind w:left="454" w:hanging="340"/>
      </w:pPr>
      <w:r>
        <w:rPr>
          <w:rFonts w:eastAsia="Times New Roman"/>
        </w:rPr>
        <w:t xml:space="preserve">12. Os coeficientes do DGM são </w:t>
      </w:r>
      <w:r>
        <w:rPr>
          <w:rFonts w:eastAsia="Times New Roman"/>
          <w:b/>
        </w:rPr>
        <w:t>parâmetros de simulação</w:t>
      </w:r>
      <w:r>
        <w:rPr>
          <w:rFonts w:eastAsia="Times New Roman"/>
        </w:rPr>
        <w:t>, não efeitos epidemiológicos quantitativamente comprovados.</w:t>
      </w:r>
    </w:p>
    <w:p w14:paraId="16B2C3C5" w14:textId="77777777" w:rsidR="00E62C65" w:rsidRDefault="00474360">
      <w:pPr>
        <w:spacing w:line="360" w:lineRule="auto"/>
        <w:ind w:left="454" w:hanging="340"/>
      </w:pPr>
      <w:r>
        <w:rPr>
          <w:rFonts w:eastAsia="Times New Roman"/>
        </w:rPr>
        <w:t xml:space="preserve">13. A proporção sintética planejada (~25%) </w:t>
      </w:r>
      <w:r>
        <w:rPr>
          <w:rFonts w:eastAsia="Times New Roman"/>
          <w:b/>
        </w:rPr>
        <w:t>não</w:t>
      </w:r>
      <w:r>
        <w:rPr>
          <w:rFonts w:eastAsia="Times New Roman"/>
        </w:rPr>
        <w:t xml:space="preserve"> representa prevalência real.</w:t>
      </w:r>
    </w:p>
    <w:p w14:paraId="630D16C9" w14:textId="77777777" w:rsidR="00E62C65" w:rsidRDefault="00474360">
      <w:pPr>
        <w:spacing w:line="360" w:lineRule="auto"/>
        <w:ind w:left="454" w:hanging="340"/>
      </w:pPr>
      <w:r>
        <w:rPr>
          <w:rFonts w:eastAsia="Times New Roman"/>
        </w:rPr>
        <w:t xml:space="preserve">14. O modelo selecionado apresentou </w:t>
      </w:r>
      <w:r>
        <w:rPr>
          <w:rFonts w:eastAsia="Times New Roman"/>
          <w:b/>
        </w:rPr>
        <w:t>recall zero no limiar 0,5</w:t>
      </w:r>
      <w:r>
        <w:rPr>
          <w:rFonts w:eastAsia="Times New Roman"/>
        </w:rPr>
        <w:t xml:space="preserve"> (seção 5.3); isso é um resultado experimental e </w:t>
      </w:r>
      <w:r>
        <w:rPr>
          <w:rFonts w:eastAsia="Times New Roman"/>
          <w:b/>
        </w:rPr>
        <w:t>não</w:t>
      </w:r>
      <w:r>
        <w:rPr>
          <w:rFonts w:eastAsia="Times New Roman"/>
        </w:rPr>
        <w:t xml:space="preserve"> sustenta interpretação de desempenho clínico.</w:t>
      </w:r>
    </w:p>
    <w:p w14:paraId="082FFC08" w14:textId="77777777" w:rsidR="00E62C65" w:rsidRDefault="00474360">
      <w:pPr>
        <w:spacing w:line="360" w:lineRule="auto"/>
        <w:ind w:left="454" w:hanging="340"/>
      </w:pPr>
      <w:r>
        <w:rPr>
          <w:rFonts w:eastAsia="Times New Roman"/>
        </w:rPr>
        <w:t xml:space="preserve">15. </w:t>
      </w:r>
      <w:r>
        <w:rPr>
          <w:rFonts w:eastAsia="Times New Roman"/>
          <w:b/>
        </w:rPr>
        <w:t>Persistência operacional ≠ uso científico.</w:t>
      </w:r>
      <w:r>
        <w:rPr>
          <w:rFonts w:eastAsia="Times New Roman"/>
        </w:rPr>
        <w:t xml:space="preserve"> Armazenar futuramente as respostas DSS em servidor para o funcionamento do aplicativo é uma finalidade </w:t>
      </w:r>
      <w:r>
        <w:rPr>
          <w:rFonts w:eastAsia="Times New Roman"/>
          <w:b/>
        </w:rPr>
        <w:t>operacional</w:t>
      </w:r>
      <w:r>
        <w:rPr>
          <w:rFonts w:eastAsia="Times New Roman"/>
        </w:rPr>
        <w:t xml:space="preserve">, que </w:t>
      </w:r>
      <w:r>
        <w:rPr>
          <w:rFonts w:eastAsia="Times New Roman"/>
          <w:b/>
        </w:rPr>
        <w:t>não</w:t>
      </w:r>
      <w:r>
        <w:rPr>
          <w:rFonts w:eastAsia="Times New Roman"/>
        </w:rPr>
        <w:t xml:space="preserve"> autoriza automaticamente o uso desses dados como dataset de treinamento, validação científica ou publicação. Qualquer uso científico com dados reais deverá observar consentimento, privacidade/LGPD, metodologia e os requisitos éticos aplicáveis.</w:t>
      </w:r>
    </w:p>
    <w:p w14:paraId="33E47EAC" w14:textId="77777777" w:rsidR="00E62C65" w:rsidRDefault="00474360">
      <w:r>
        <w:br w:type="page"/>
      </w:r>
    </w:p>
    <w:p w14:paraId="5FDC5610" w14:textId="77777777" w:rsidR="00CD492F" w:rsidRDefault="0059251A">
      <w:pPr>
        <w:pStyle w:val="Ttulo2"/>
      </w:pPr>
      <w:bookmarkStart w:id="37" w:name="_Toc238759973"/>
      <w:r>
        <w:rPr>
          <w:rFonts w:ascii="Times New Roman" w:eastAsia="Times New Roman" w:hAnsi="Times New Roman" w:cs="Times New Roman"/>
          <w:b w:val="0"/>
        </w:rPr>
        <w:lastRenderedPageBreak/>
        <w:t>3.13 Análise exploratória não supervisionada com Self-Organizing Map (SOM)</w:t>
      </w:r>
      <w:bookmarkEnd w:id="37"/>
    </w:p>
    <w:p w14:paraId="22DE8BE4" w14:textId="77777777" w:rsidR="00CD492F" w:rsidRDefault="0059251A">
      <w:pPr>
        <w:ind w:firstLine="709"/>
        <w:jc w:val="both"/>
      </w:pPr>
      <w:r>
        <w:rPr>
          <w:rFonts w:eastAsia="Times New Roman" w:cs="Times New Roman"/>
        </w:rPr>
        <w:t>Como análise exploratória complementar ao modelo supervisionado, aplicou-se um Self-Organizing Map (SOM) sobre as mesmas 96 features derivadas de X_model (34 variáveis), com o objetivo de identificar perfis de registros com características DSS semelhantes. O SOM foi treinado apenas sobre os 4.000 registros de treino; os 1.000 registros do holdout foram posteriormente projetados sobre o mapa, sem participar do ajuste. A variável-alvo sintética descontinuou_pre_natal, a probabilidade do Random Forest e o IV-D</w:t>
      </w:r>
      <w:r>
        <w:rPr>
          <w:rFonts w:eastAsia="Times New Roman" w:cs="Times New Roman"/>
        </w:rPr>
        <w:t>SS não integraram a entrada do SOM.</w:t>
      </w:r>
    </w:p>
    <w:p w14:paraId="4EA968C4" w14:textId="77777777" w:rsidR="00CD492F" w:rsidRDefault="0059251A">
      <w:pPr>
        <w:ind w:firstLine="709"/>
        <w:jc w:val="both"/>
      </w:pPr>
      <w:r>
        <w:rPr>
          <w:rFonts w:eastAsia="Times New Roman" w:cs="Times New Roman"/>
        </w:rPr>
        <w:t>Diferentemente do Random Forest — que, como ensemble de árvores, é insensível à escala das features — o SOM calcula distâncias euclidianas entre os registros e os vetores de pesos, o que torna a análise sensível a diferenças de escala entre variáveis. Por essa razão, aplicou-se uma normalização exclusiva do SOM: as 87 features binárias/one-hot/multi-hot, já naturalmente no intervalo 0–1, foram mantidas inalteradas, e as 9 features não binárias — numero_pessoas, numero_comodos, numero_dormitorios, escolarida</w:t>
      </w:r>
      <w:r>
        <w:rPr>
          <w:rFonts w:eastAsia="Times New Roman" w:cs="Times New Roman"/>
        </w:rPr>
        <w:t>de, frequencia_coleta_lixo, distancia_ubs, seguranca_residencia, refeicoes_por_dia e avaliacao_alimentacao — foram normalizadas por min-max no intervalo [0,1]. A normalização foi ajustada somente sobre os 4.000 registros de treino; o holdout utilizou os mesmos mínimos e amplitudes do treino, sem reutilizar estatísticas do conjunto de teste. A Equação (5) expressa essa transformação:</w:t>
      </w:r>
    </w:p>
    <w:p w14:paraId="54251738" w14:textId="77777777" w:rsidR="00CD492F" w:rsidRDefault="0059251A">
      <w:pPr>
        <w:jc w:val="center"/>
      </w:pPr>
      <m:oMathPara>
        <m:oMath>
          <m:r>
            <w:rPr>
              <w:rFonts w:ascii="Cambria Math" w:hAnsi="Cambria Math"/>
            </w:rPr>
            <m:t>x</m:t>
          </m:r>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e>
              </m:d>
            </m:num>
            <m:den>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e>
              </m:d>
            </m:den>
          </m:f>
        </m:oMath>
      </m:oMathPara>
    </w:p>
    <w:p w14:paraId="2DF8AE64" w14:textId="77777777" w:rsidR="00CD492F" w:rsidRDefault="0059251A">
      <w:pPr>
        <w:jc w:val="both"/>
      </w:pPr>
      <w:r>
        <w:rPr>
          <w:rFonts w:eastAsia="Times New Roman" w:cs="Times New Roman"/>
          <w:sz w:val="22"/>
        </w:rPr>
        <w:t>Equação (5) — Normalização min-max (exclusiva do SOM). Onde: x é o valor original; x′ é o valor normalizado; x_min,treino e x_max,treino são, respectivamente, o mínimo e o máximo observados somente no conjunto de treino. Conforme a implementação, uma coluna constante no treino (amplitude igual a zero) é tratada com denominador unitário, resultando em valor normalizado 0,0.</w:t>
      </w:r>
    </w:p>
    <w:p w14:paraId="3846ED26" w14:textId="77777777" w:rsidR="00CD492F" w:rsidRDefault="0059251A">
      <w:pPr>
        <w:ind w:firstLine="709"/>
        <w:jc w:val="both"/>
      </w:pPr>
      <w:r>
        <w:rPr>
          <w:rFonts w:eastAsia="Times New Roman" w:cs="Times New Roman"/>
        </w:rPr>
        <w:t>A sequência de processamento do SOM foi a seguinte: a partir de X_model (34 variáveis), aplicou-se o pré-processamento congelado do Random Forest, produzindo as 96 features numéricas; em seguida, a normalização exclusiva do SOM; sobre os 4.000 registros de treino, treinou-se um SOM de grade 10×10 (100 neurônios), com sigma0 = 5,0, learning_rate0 = 0,5, 3.000 iterações e seed 42. Os 100 protótipos resultantes foram agrupados por K-means, e a escolha do número de grupos (k) foi orientada pelo coeficiente de S</w:t>
      </w:r>
      <w:r>
        <w:rPr>
          <w:rFonts w:eastAsia="Times New Roman" w:cs="Times New Roman"/>
        </w:rPr>
        <w:t>ilhouette. Por fim, os 1.000 registros do holdout foram transformados, normalizados com os parâmetros do treino e associados ao neurônio vencedor (BMU), herdando o grupo desse neurônio.</w:t>
      </w:r>
    </w:p>
    <w:p w14:paraId="140494D6" w14:textId="77777777" w:rsidR="00CD492F" w:rsidRDefault="0059251A">
      <w:pPr>
        <w:jc w:val="both"/>
      </w:pPr>
      <w:r>
        <w:rPr>
          <w:rFonts w:eastAsia="Times New Roman" w:cs="Times New Roman"/>
        </w:rPr>
        <w:t>A Figura 5 sintetiza a relação entre as três abordagens do experimento — SOM, IV-DSS e Random Forest — evidenciando que são leituras distintas e complementares, e que o SOM não alimenta o Random Forest.</w:t>
      </w:r>
    </w:p>
    <w:p w14:paraId="0ECE9AE8" w14:textId="77777777" w:rsidR="00CD492F" w:rsidRDefault="0059251A">
      <w:pPr>
        <w:jc w:val="center"/>
      </w:pPr>
      <w:r>
        <w:rPr>
          <w:noProof/>
        </w:rPr>
        <w:lastRenderedPageBreak/>
        <w:drawing>
          <wp:inline distT="0" distB="0" distL="0" distR="0" wp14:anchorId="7DDDE526" wp14:editId="44ACD90B">
            <wp:extent cx="5394960" cy="32053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fluxo_som_ivdss_rf.png"/>
                    <pic:cNvPicPr/>
                  </pic:nvPicPr>
                  <pic:blipFill>
                    <a:blip r:embed="rId12"/>
                    <a:stretch>
                      <a:fillRect/>
                    </a:stretch>
                  </pic:blipFill>
                  <pic:spPr>
                    <a:xfrm>
                      <a:off x="0" y="0"/>
                      <a:ext cx="5394960" cy="3205328"/>
                    </a:xfrm>
                    <a:prstGeom prst="rect">
                      <a:avLst/>
                    </a:prstGeom>
                  </pic:spPr>
                </pic:pic>
              </a:graphicData>
            </a:graphic>
          </wp:inline>
        </w:drawing>
      </w:r>
    </w:p>
    <w:p w14:paraId="27195C7F" w14:textId="77777777" w:rsidR="00CD492F" w:rsidRDefault="0059251A">
      <w:pPr>
        <w:jc w:val="center"/>
      </w:pPr>
      <w:r>
        <w:rPr>
          <w:rFonts w:eastAsia="Times New Roman" w:cs="Times New Roman"/>
        </w:rPr>
        <w:t>Figura 5 — Fluxo integrado do experimento: SOM, IV-DSS e Random Forest como leituras complementares</w:t>
      </w:r>
    </w:p>
    <w:p w14:paraId="12FE400B" w14:textId="77777777" w:rsidR="00CD492F" w:rsidRDefault="0059251A">
      <w:pPr>
        <w:spacing w:before="40" w:after="120"/>
      </w:pPr>
      <w:r>
        <w:rPr>
          <w:rFonts w:eastAsia="Times New Roman" w:cs="Times New Roman"/>
        </w:rPr>
        <w:t>Fonte: elaborado pelo autor (2026).</w:t>
      </w:r>
    </w:p>
    <w:p w14:paraId="3EEB998C" w14:textId="77777777" w:rsidR="00CD492F" w:rsidRDefault="0059251A">
      <w:pPr>
        <w:ind w:firstLine="709"/>
        <w:jc w:val="both"/>
      </w:pPr>
      <w:r>
        <w:rPr>
          <w:rFonts w:eastAsia="Times New Roman" w:cs="Times New Roman"/>
        </w:rPr>
        <w:t>A qualidade do mapa foi avaliada por duas métricas próprias do SOM, não comparáveis às métricas de classificação (ROC-AUC, PR-AUC, Brier). O erro de quantização (QE) mede a distância euclidiana média entre cada registro e o seu neurônio representativo, conforme a Equação (6):</w:t>
      </w:r>
    </w:p>
    <w:p w14:paraId="6F6E687F" w14:textId="77777777" w:rsidR="00CD492F" w:rsidRDefault="0059251A">
      <w:pPr>
        <w:jc w:val="center"/>
      </w:pPr>
      <m:oMathPara>
        <m:oMath>
          <m:r>
            <w:rPr>
              <w:rFonts w:ascii="Cambria Math" w:hAnsi="Cambria Math"/>
            </w:rPr>
            <m:t>QE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n</m:t>
              </m:r>
              <m:r>
                <w:rPr>
                  <w:rFonts w:ascii="Cambria Math" w:hAnsi="Cambria Math"/>
                </w:rPr>
                <m:t>=1</m:t>
              </m:r>
            </m:sub>
            <m:sup>
              <m:r>
                <w:rPr>
                  <w:rFonts w:ascii="Cambria Math" w:hAnsi="Cambria Math"/>
                </w:rPr>
                <m:t>N</m:t>
              </m:r>
            </m:sup>
            <m:e>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BMU</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d>
                    </m:e>
                  </m:d>
                </m:e>
                <m:sub>
                  <m:r>
                    <w:rPr>
                      <w:rFonts w:ascii="Cambria Math" w:hAnsi="Cambria Math"/>
                    </w:rPr>
                    <m:t>2</m:t>
                  </m:r>
                </m:sub>
              </m:sSub>
            </m:e>
          </m:nary>
        </m:oMath>
      </m:oMathPara>
    </w:p>
    <w:p w14:paraId="79ABCBC4" w14:textId="77777777" w:rsidR="00CD492F" w:rsidRDefault="0059251A">
      <w:pPr>
        <w:jc w:val="both"/>
      </w:pPr>
      <w:r>
        <w:rPr>
          <w:rFonts w:eastAsia="Times New Roman" w:cs="Times New Roman"/>
          <w:sz w:val="22"/>
        </w:rPr>
        <w:t>Equação (6) — Erro de quantização. Onde: N é o número de registros; xₙ é o n-ésimo registro; e w_BMU(xₙ) é o vetor de pesos do neurônio vencedor de xₙ. Quanto menor o QE, menor a distância média entre os registros e os neurônios que os representam.</w:t>
      </w:r>
    </w:p>
    <w:p w14:paraId="4EB51351" w14:textId="77777777" w:rsidR="00CD492F" w:rsidRDefault="0059251A">
      <w:pPr>
        <w:ind w:firstLine="709"/>
        <w:jc w:val="both"/>
      </w:pPr>
      <w:r>
        <w:rPr>
          <w:rFonts w:eastAsia="Times New Roman" w:cs="Times New Roman"/>
        </w:rPr>
        <w:t xml:space="preserve">O erro topográfico (TE) avalia a preservação da topologia: </w:t>
      </w:r>
      <w:r>
        <w:rPr>
          <w:rFonts w:eastAsia="Times New Roman" w:cs="Times New Roman"/>
        </w:rPr>
        <w:t>contabiliza a proporção de registros cujo primeiro e segundo melhores neurônios não são adjacentes na grade, conforme a regra implementada (adjacência de Chebyshev). A Equação (7) expressa o TE como um indicador:</w:t>
      </w:r>
    </w:p>
    <w:p w14:paraId="13B2E0AC" w14:textId="77777777" w:rsidR="00CD492F" w:rsidRDefault="0059251A">
      <w:pPr>
        <w:jc w:val="center"/>
      </w:pPr>
      <m:oMathPara>
        <m:oMath>
          <m:r>
            <w:rPr>
              <w:rFonts w:ascii="Cambria Math" w:hAnsi="Cambria Math"/>
            </w:rPr>
            <m:t>TE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n</m:t>
              </m:r>
              <m:r>
                <w:rPr>
                  <w:rFonts w:ascii="Cambria Math" w:hAnsi="Cambria Math"/>
                </w:rPr>
                <m:t>=1</m:t>
              </m:r>
            </m:sub>
            <m:sup>
              <m:r>
                <w:rPr>
                  <w:rFonts w:ascii="Cambria Math" w:hAnsi="Cambria Math"/>
                </w:rPr>
                <m:t>N</m:t>
              </m:r>
            </m:sup>
            <m:e>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e>
              </m:d>
            </m:e>
          </m:nary>
        </m:oMath>
      </m:oMathPara>
    </w:p>
    <w:p w14:paraId="5061DC95" w14:textId="77777777" w:rsidR="00CD492F" w:rsidRDefault="0059251A">
      <w:pPr>
        <w:jc w:val="both"/>
      </w:pPr>
      <w:r>
        <w:rPr>
          <w:rFonts w:eastAsia="Times New Roman" w:cs="Times New Roman"/>
          <w:sz w:val="22"/>
        </w:rPr>
        <w:t>Equação (7) — Erro topográfico. Onde: u(xₙ) = 1 se os dois melhores neurônios de xₙ não forem adjacentes na grade, e u(xₙ) = 0 caso contrário. O TE avalia preservação topológica, não qualidade preditiva.</w:t>
      </w:r>
    </w:p>
    <w:p w14:paraId="55581F83" w14:textId="77777777" w:rsidR="00CD492F" w:rsidRDefault="0059251A">
      <w:pPr>
        <w:ind w:firstLine="709"/>
        <w:jc w:val="both"/>
      </w:pPr>
      <w:r>
        <w:rPr>
          <w:rFonts w:eastAsia="Times New Roman" w:cs="Times New Roman"/>
        </w:rPr>
        <w:lastRenderedPageBreak/>
        <w:t>O SOM organiza os protótipos no espaço, mas não produz automaticamente os grupos interpretativos finais. Para tanto, aplicou-se o algoritmo K-means aos vetores de pesos dos 100 neurônios treinados — e não aos targets, nem à probabilidade do Random Forest, nem ao IV-DSS —, particionando os protótipos em k grupos. A função objetivo do K-means é expressa pela Equação (8):</w:t>
      </w:r>
    </w:p>
    <w:p w14:paraId="30BDC732" w14:textId="77777777" w:rsidR="00CD492F" w:rsidRDefault="0059251A">
      <w:pPr>
        <w:jc w:val="center"/>
      </w:pPr>
      <m:oMathPara>
        <m:oMath>
          <m:r>
            <w:rPr>
              <w:rFonts w:ascii="Cambria Math" w:hAnsi="Cambria Math"/>
            </w:rPr>
            <m:t>J</m:t>
          </m:r>
          <m:r>
            <w:rPr>
              <w:rFonts w:ascii="Cambria Math" w:hAnsi="Cambria Math"/>
            </w:rPr>
            <m:t>=</m:t>
          </m:r>
          <m:nary>
            <m:naryPr>
              <m:chr m:val="∑"/>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k</m:t>
              </m:r>
            </m:sup>
            <m:e>
              <m:nary>
                <m:naryPr>
                  <m:chr m:val="∑"/>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sub>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e>
                      </m:d>
                    </m:e>
                    <m:sup>
                      <m:r>
                        <w:rPr>
                          <w:rFonts w:ascii="Cambria Math" w:hAnsi="Cambria Math"/>
                        </w:rPr>
                        <m:t>2</m:t>
                      </m:r>
                    </m:sup>
                  </m:sSup>
                </m:e>
              </m:nary>
            </m:e>
          </m:nary>
        </m:oMath>
      </m:oMathPara>
    </w:p>
    <w:p w14:paraId="7B8FA480" w14:textId="77777777" w:rsidR="00CD492F" w:rsidRDefault="0059251A">
      <w:pPr>
        <w:jc w:val="both"/>
      </w:pPr>
      <w:r>
        <w:rPr>
          <w:rFonts w:eastAsia="Times New Roman" w:cs="Times New Roman"/>
          <w:sz w:val="22"/>
        </w:rPr>
        <w:t>Equação (8) — Função objetivo do K-means. Onde: k é o número de grupos; Cⱼ é o grupo j; μⱼ é o centroide do grupo j; e xᵢ, nesta etapa, são os protótipos (neurônios) treinados pelo SOM.</w:t>
      </w:r>
    </w:p>
    <w:p w14:paraId="50A6AC73" w14:textId="77777777" w:rsidR="00CD492F" w:rsidRDefault="0059251A">
      <w:pPr>
        <w:ind w:firstLine="709"/>
        <w:jc w:val="both"/>
      </w:pPr>
      <w:r>
        <w:rPr>
          <w:rFonts w:eastAsia="Times New Roman" w:cs="Times New Roman"/>
        </w:rPr>
        <w:t>O número de grupos k foi avaliado entre 2 e 6 por meio do coeficiente de Silhouette, que mensura a separação relativa entre os grupos, conforme a Equação (9):</w:t>
      </w:r>
    </w:p>
    <w:p w14:paraId="25328BA0" w14:textId="77777777" w:rsidR="00CD492F" w:rsidRDefault="0059251A">
      <w:pPr>
        <w:jc w:val="center"/>
      </w:pPr>
      <m:oMathPara>
        <m:oMath>
          <m:r>
            <w:rPr>
              <w:rFonts w:ascii="Cambria Math" w:hAnsi="Cambria Math"/>
            </w:rPr>
            <m:t>s</m:t>
          </m:r>
          <m:d>
            <m:dPr>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i</m:t>
                  </m:r>
                </m:e>
              </m:d>
            </m:num>
            <m:den>
              <m:r>
                <w:rPr>
                  <w:rFonts w:ascii="Cambria Math" w:hAnsi="Cambria Math"/>
                </w:rPr>
                <m:t>max</m:t>
              </m:r>
              <m:d>
                <m:dPr>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i</m:t>
                      </m:r>
                    </m:e>
                  </m:d>
                  <m:r>
                    <w:rPr>
                      <w:rFonts w:ascii="Cambria Math" w:hAnsi="Cambria Math"/>
                    </w:rPr>
                    <m:t>,</m:t>
                  </m:r>
                  <m:r>
                    <w:rPr>
                      <w:rFonts w:ascii="Cambria Math" w:hAnsi="Cambria Math"/>
                    </w:rPr>
                    <m:t>b</m:t>
                  </m:r>
                  <m:d>
                    <m:dPr>
                      <m:ctrlPr>
                        <w:rPr>
                          <w:rFonts w:ascii="Cambria Math" w:hAnsi="Cambria Math"/>
                        </w:rPr>
                      </m:ctrlPr>
                    </m:dPr>
                    <m:e>
                      <m:r>
                        <w:rPr>
                          <w:rFonts w:ascii="Cambria Math" w:hAnsi="Cambria Math"/>
                        </w:rPr>
                        <m:t>i</m:t>
                      </m:r>
                    </m:e>
                  </m:d>
                </m:e>
              </m:d>
            </m:den>
          </m:f>
        </m:oMath>
      </m:oMathPara>
    </w:p>
    <w:p w14:paraId="1F23366B" w14:textId="77777777" w:rsidR="00CD492F" w:rsidRDefault="0059251A">
      <w:pPr>
        <w:jc w:val="both"/>
      </w:pPr>
      <w:r>
        <w:rPr>
          <w:rFonts w:eastAsia="Times New Roman" w:cs="Times New Roman"/>
          <w:sz w:val="22"/>
        </w:rPr>
        <w:t>Equação (9) — Coeficiente de Silhouette. Onde: a(i) é a distância média do elemento i aos elementos do próprio grupo; e b(i) é a menor distância média do elemento i aos elementos de outro grupo. Valores próximos de 1 indicam melhor separação relativa; próximos de 0, sobreposição; e negativos, possível alocação inadequada.</w:t>
      </w:r>
    </w:p>
    <w:p w14:paraId="24EB70AD" w14:textId="77777777" w:rsidR="00CD492F" w:rsidRDefault="0059251A">
      <w:pPr>
        <w:ind w:firstLine="709"/>
        <w:jc w:val="both"/>
      </w:pPr>
      <w:r>
        <w:rPr>
          <w:rFonts w:eastAsia="Times New Roman" w:cs="Times New Roman"/>
        </w:rPr>
        <w:t>O desenho holdout/pós-hoc assegura a independência da análise: o SOM foi treinado apenas sobre os 4.000 registros de treino, e os 1.000 registros do holdout não ajustaram o SOM, não escolheram k e não ajustaram a normalização. Somente após receberem o grupo SOM, os registros do holdout tiveram anexadas — exclusivamente para a leitura pós-hoc — a probabilidade estimada pelo Random Forest, o IV-DSS e a variável-alvo sintética.</w:t>
      </w:r>
    </w:p>
    <w:p w14:paraId="774E7376" w14:textId="77777777" w:rsidR="00CD492F" w:rsidRDefault="0059251A">
      <w:pPr>
        <w:ind w:firstLine="709"/>
        <w:jc w:val="both"/>
      </w:pPr>
      <w:r>
        <w:rPr>
          <w:rFonts w:eastAsia="Times New Roman" w:cs="Times New Roman"/>
        </w:rPr>
        <w:t>Para a visualização bidimensional dos registros, aplicou-se uma Análise de Componentes Principais (PCA) restrita a dois componentes, ajustada somente sobre o treino e com o holdout projetado. A PCA foi utilizada exclusivamente para visualização: os dois primeiros componentes explicam 16,4% e 4,5% da variância, respectivamente, de modo que o gráfico resultante não representa toda a variância dos dados. Os grupos continuam sendo definidos pelo SOM seguido de K-means, não pela PCA.</w:t>
      </w:r>
    </w:p>
    <w:p w14:paraId="17B0752C" w14:textId="77777777" w:rsidR="00E62C65" w:rsidRDefault="00474360">
      <w:pPr>
        <w:pStyle w:val="Ttulo1"/>
        <w:spacing w:before="0"/>
      </w:pPr>
      <w:bookmarkStart w:id="38" w:name="_Toc238759974"/>
      <w:r>
        <w:rPr>
          <w:rFonts w:ascii="Times New Roman" w:eastAsia="Times New Roman" w:hAnsi="Times New Roman"/>
        </w:rPr>
        <w:t>4 DESENVOLVIMENTO DA SOLUÇÃO</w:t>
      </w:r>
      <w:bookmarkEnd w:id="38"/>
    </w:p>
    <w:p w14:paraId="678BE3D6" w14:textId="77777777" w:rsidR="00E62C65" w:rsidRDefault="00474360">
      <w:r>
        <w:t>Este capítulo descreve o estado implementado da solução. O eixo DSS encontra-se integrado de ponta a ponta a FastAPI e ao modelo de aprendizado de máquina; o backend dispõe de infraestrutura de persistência (PostgreSQL, SQLAlchemy e Alembic), de autenticação real e do domínio de acompanhamento pré-natal (GESTANTE, GESTAÇÃO e HISTÓRICO OBSTÉTRICO), implementados e validados. O aplicativo Flutter, por sua vez, ainda persiste o acompanhamento localmente (SQLite), e a integração do aplicativo à nova API de acompanhamento permanece etapa futura (seção 4.7). A Figura 6 sintetiza essa arquitetura.</w:t>
      </w:r>
    </w:p>
    <w:p w14:paraId="7CB07430" w14:textId="77777777" w:rsidR="00E62C65" w:rsidRDefault="00474360">
      <w:pPr>
        <w:pStyle w:val="Ttulo2"/>
      </w:pPr>
      <w:bookmarkStart w:id="39" w:name="_Toc238759975"/>
      <w:r>
        <w:rPr>
          <w:rFonts w:ascii="Times New Roman" w:eastAsia="Times New Roman" w:hAnsi="Times New Roman"/>
        </w:rPr>
        <w:lastRenderedPageBreak/>
        <w:t>4.1 Arquitetura</w:t>
      </w:r>
      <w:bookmarkEnd w:id="39"/>
    </w:p>
    <w:p w14:paraId="18664169" w14:textId="77777777" w:rsidR="00E62C65" w:rsidRDefault="00474360">
      <w:pPr>
        <w:spacing w:after="0" w:line="360" w:lineRule="auto"/>
        <w:ind w:firstLine="709"/>
        <w:jc w:val="both"/>
      </w:pPr>
      <w:r>
        <w:rPr>
          <w:rFonts w:eastAsia="Times New Roman"/>
        </w:rPr>
        <w:t xml:space="preserve">A solução é composta por um </w:t>
      </w:r>
      <w:r>
        <w:rPr>
          <w:rFonts w:eastAsia="Times New Roman"/>
          <w:b/>
        </w:rPr>
        <w:t>aplicativo móvel</w:t>
      </w:r>
      <w:r>
        <w:rPr>
          <w:rFonts w:eastAsia="Times New Roman"/>
        </w:rPr>
        <w:t xml:space="preserve"> (Flutter), um </w:t>
      </w:r>
      <w:r>
        <w:rPr>
          <w:rFonts w:eastAsia="Times New Roman"/>
          <w:b/>
        </w:rPr>
        <w:t>backend</w:t>
      </w:r>
      <w:r>
        <w:rPr>
          <w:rFonts w:eastAsia="Times New Roman"/>
        </w:rPr>
        <w:t xml:space="preserve"> (FastAPI) e um </w:t>
      </w:r>
      <w:r>
        <w:rPr>
          <w:rFonts w:eastAsia="Times New Roman"/>
          <w:b/>
        </w:rPr>
        <w:t>pacote de aprendizado de máquina</w:t>
      </w:r>
      <w:r>
        <w:rPr>
          <w:rFonts w:eastAsia="Times New Roman"/>
        </w:rPr>
        <w:t xml:space="preserve"> (</w:t>
      </w:r>
      <w:r>
        <w:rPr>
          <w:rFonts w:ascii="Courier New" w:eastAsia="Courier New" w:hAnsi="Courier New"/>
          <w:sz w:val="22"/>
        </w:rPr>
        <w:t>meu_bebe_ml</w:t>
      </w:r>
      <w:r>
        <w:rPr>
          <w:rFonts w:eastAsia="Times New Roman"/>
        </w:rPr>
        <w:t xml:space="preserve">, Python). O aplicativo reúne dois eixos funcionais: (i) o </w:t>
      </w:r>
      <w:r>
        <w:rPr>
          <w:rFonts w:eastAsia="Times New Roman"/>
          <w:b/>
        </w:rPr>
        <w:t>questionário DSS</w:t>
      </w:r>
      <w:r>
        <w:rPr>
          <w:rFonts w:eastAsia="Times New Roman"/>
        </w:rPr>
        <w:t xml:space="preserve"> com a estimativa experimental; e (ii) o </w:t>
      </w:r>
      <w:r>
        <w:rPr>
          <w:rFonts w:eastAsia="Times New Roman"/>
          <w:b/>
        </w:rPr>
        <w:t>acompanhamento do pré-natal</w:t>
      </w:r>
      <w:r>
        <w:rPr>
          <w:rFonts w:eastAsia="Times New Roman"/>
        </w:rPr>
        <w:t>, com armazenamento local.</w:t>
      </w:r>
    </w:p>
    <w:p w14:paraId="25E8293F" w14:textId="77777777" w:rsidR="00E62C65" w:rsidRDefault="00474360">
      <w:pPr>
        <w:spacing w:after="0" w:line="360" w:lineRule="auto"/>
        <w:ind w:firstLine="709"/>
        <w:jc w:val="both"/>
      </w:pPr>
      <w:r>
        <w:rPr>
          <w:rFonts w:eastAsia="Times New Roman"/>
        </w:rPr>
        <w:t xml:space="preserve">O eixo DSS é </w:t>
      </w:r>
      <w:r>
        <w:rPr>
          <w:rFonts w:eastAsia="Times New Roman"/>
          <w:b/>
        </w:rPr>
        <w:t>integrado de ponta a ponta</w:t>
      </w:r>
      <w:r>
        <w:rPr>
          <w:rFonts w:eastAsia="Times New Roman"/>
        </w:rPr>
        <w:t xml:space="preserve"> e segue o fluxo:</w:t>
      </w:r>
    </w:p>
    <w:p w14:paraId="56831008" w14:textId="77777777" w:rsidR="00E62C65" w:rsidRDefault="00474360">
      <w:pPr>
        <w:pStyle w:val="CodeBlock"/>
        <w:shd w:val="clear" w:color="auto" w:fill="F2F2F2"/>
      </w:pPr>
      <w:r>
        <w:rPr>
          <w:rFonts w:eastAsia="Courier New"/>
        </w:rPr>
        <w:t>Flutter</w:t>
      </w:r>
      <w:r>
        <w:rPr>
          <w:rFonts w:eastAsia="Courier New"/>
        </w:rPr>
        <w:br/>
        <w:t>→ formulário DSS</w:t>
      </w:r>
      <w:r>
        <w:rPr>
          <w:rFonts w:eastAsia="Courier New"/>
        </w:rPr>
        <w:br/>
        <w:t>→ FormularioData (contrato versionado)</w:t>
      </w:r>
      <w:r>
        <w:rPr>
          <w:rFonts w:eastAsia="Courier New"/>
        </w:rPr>
        <w:br/>
        <w:t>→ RiskEstimateRepository</w:t>
      </w:r>
      <w:r>
        <w:rPr>
          <w:rFonts w:eastAsia="Courier New"/>
        </w:rPr>
        <w:br/>
        <w:t>→ cliente HTTP dedicado</w:t>
      </w:r>
      <w:r>
        <w:rPr>
          <w:rFonts w:eastAsia="Courier New"/>
        </w:rPr>
        <w:br/>
        <w:t>→ FastAPI (POST /api/v1/risk-estimate)</w:t>
      </w:r>
      <w:r>
        <w:rPr>
          <w:rFonts w:eastAsia="Courier New"/>
        </w:rPr>
        <w:br/>
        <w:t>→ meu_bebe_ml (pipeline congelado)</w:t>
      </w:r>
      <w:r>
        <w:rPr>
          <w:rFonts w:eastAsia="Courier New"/>
        </w:rPr>
        <w:br/>
        <w:t>→ RandomForestClassifier → predict_proba</w:t>
      </w:r>
      <w:r>
        <w:rPr>
          <w:rFonts w:eastAsia="Courier New"/>
        </w:rPr>
        <w:br/>
        <w:t>→ probability (classe positiva)</w:t>
      </w:r>
      <w:r>
        <w:rPr>
          <w:rFonts w:eastAsia="Courier New"/>
        </w:rPr>
        <w:br/>
        <w:t>→ resposta HTTP</w:t>
      </w:r>
      <w:r>
        <w:rPr>
          <w:rFonts w:eastAsia="Courier New"/>
        </w:rPr>
        <w:br/>
        <w:t>→ Flutter (bottom sheet de resultado)</w:t>
      </w:r>
    </w:p>
    <w:p w14:paraId="7D0ADAF2" w14:textId="77777777" w:rsidR="00E62C65" w:rsidRDefault="00474360">
      <w:pPr>
        <w:spacing w:after="0" w:line="360" w:lineRule="auto"/>
        <w:ind w:firstLine="709"/>
        <w:jc w:val="both"/>
      </w:pPr>
      <w:r>
        <w:rPr>
          <w:rFonts w:eastAsia="Times New Roman"/>
        </w:rPr>
        <w:t xml:space="preserve">A API expõe os seguintes endpoints: </w:t>
      </w:r>
      <w:r>
        <w:rPr>
          <w:rFonts w:ascii="Courier New" w:eastAsia="Courier New" w:hAnsi="Courier New"/>
          <w:sz w:val="22"/>
        </w:rPr>
        <w:t>GET /health</w:t>
      </w:r>
      <w:r>
        <w:rPr>
          <w:rFonts w:eastAsia="Times New Roman"/>
        </w:rPr>
        <w:t xml:space="preserve"> (status do serviço), </w:t>
      </w:r>
      <w:r>
        <w:rPr>
          <w:rFonts w:ascii="Courier New" w:eastAsia="Courier New" w:hAnsi="Courier New"/>
          <w:sz w:val="22"/>
        </w:rPr>
        <w:t>GET /ready</w:t>
      </w:r>
      <w:r>
        <w:rPr>
          <w:rFonts w:eastAsia="Times New Roman"/>
        </w:rPr>
        <w:t xml:space="preserve"> (disponibilidade do modelo) e </w:t>
      </w:r>
      <w:r>
        <w:rPr>
          <w:rFonts w:ascii="Courier New" w:eastAsia="Courier New" w:hAnsi="Courier New"/>
          <w:sz w:val="22"/>
        </w:rPr>
        <w:t>POST /api/v1/risk-estimate</w:t>
      </w:r>
      <w:r>
        <w:rPr>
          <w:rFonts w:eastAsia="Times New Roman"/>
        </w:rPr>
        <w:t xml:space="preserve"> (estimativa). A API utiliza o pacote de ML como dependência, sem duplicar o código do modelo no aplicativo.</w:t>
      </w:r>
    </w:p>
    <w:p w14:paraId="247E602A" w14:textId="77777777" w:rsidR="00E62C65" w:rsidRDefault="00474360">
      <w:pPr>
        <w:spacing w:after="0" w:line="360" w:lineRule="auto"/>
        <w:ind w:firstLine="709"/>
        <w:jc w:val="both"/>
      </w:pPr>
      <w:r>
        <w:rPr>
          <w:rFonts w:eastAsia="Times New Roman"/>
        </w:rPr>
        <w:t xml:space="preserve">A camada de apresentação é construída com </w:t>
      </w:r>
      <w:r>
        <w:rPr>
          <w:rFonts w:eastAsia="Times New Roman"/>
          <w:b/>
        </w:rPr>
        <w:t>flutter_modular + MobX</w:t>
      </w:r>
      <w:r>
        <w:rPr>
          <w:rFonts w:eastAsia="Times New Roman"/>
        </w:rPr>
        <w:t>, com contratos de dados canônicos versionados.</w:t>
      </w:r>
    </w:p>
    <w:p w14:paraId="1F3BF49D" w14:textId="77777777" w:rsidR="00E62C65" w:rsidRDefault="00474360">
      <w:r>
        <w:t>O backend conta, adicionalmente, com uma infraestrutura de persistência já implementada e validada, que recebeu as suas primeiras funcionalidades reais conectadas — a autenticação (seção 4.5) e o domínio de acompanhamento pré-natal (GESTANTE, GESTAÇÃO e HISTÓRICO OBSTÉTRICO, seção 4.7) —, com as tabelas users, auth_refresh_sessions, gestantes, gestacoes e historicos_obstetricos no PostgreSQL. O aplicativo Flutter, por sua vez, ainda persiste o acompanhamento em SQLite local (seção 4.4). Essa infraestrutura organiza o acesso ao banco de dados relacional em uma camada própria da API, com ciclo de vida centralizado:</w:t>
      </w:r>
    </w:p>
    <w:p w14:paraId="5A23FE34" w14:textId="77777777" w:rsidR="00E62C65" w:rsidRDefault="00474360">
      <w:pPr>
        <w:pStyle w:val="CodeBlock"/>
      </w:pPr>
      <w:r>
        <w:t>FastAPI</w:t>
      </w:r>
      <w:r>
        <w:br/>
        <w:t>├── Fluxo DSS atual (implementado):</w:t>
      </w:r>
      <w:r>
        <w:br/>
        <w:t>│     POST /api/v1/risk-estimate (stateless)</w:t>
      </w:r>
      <w:r>
        <w:br/>
        <w:t>│     → meu_bebe_ml (pipeline congelado)</w:t>
      </w:r>
      <w:r>
        <w:br/>
        <w:t>│     → RandomForestClassifier → predict_proba</w:t>
      </w:r>
      <w:r>
        <w:br/>
        <w:t>│     → probability (classe positiva)</w:t>
      </w:r>
      <w:r>
        <w:br/>
        <w:t>└── Infraestrutura persistente (implementada e validada):</w:t>
      </w:r>
      <w:r>
        <w:br/>
        <w:t xml:space="preserve">      SQLAlchemy 2.x (síncrono) → psycopg 3 → PostgreSQL 16</w:t>
      </w:r>
      <w:r>
        <w:br/>
        <w:t xml:space="preserve">      Alembic (migrações; 0001 = users + auth_refresh_sessions;</w:t>
      </w:r>
      <w:r>
        <w:br/>
        <w:t xml:space="preserve">              0002 = gestantes + gestacoes;</w:t>
      </w:r>
      <w:r>
        <w:br/>
        <w:t xml:space="preserve">              0003 = historicos_obstetricos)</w:t>
      </w:r>
    </w:p>
    <w:p w14:paraId="31DC028F" w14:textId="77777777" w:rsidR="00E62C65" w:rsidRDefault="00474360">
      <w:r>
        <w:t xml:space="preserve">O ramo superior representa o fluxo DSS atual, já operacional e independente de banco de dados. O ramo inferior representa a infraestrutura de persistência, que nesta etapa suporta a autenticação e o domínio de acompanhamento pré-natal. A migration 0001 criou as duas primeiras tabelas reais (users e auth_refresh_sessions), a migration 0002 criou as tabelas do domínio de acompanhamento pré-natal (gestantes e gestacoes) e a migration 0003 criou a tabela do histórico obstétrico (historicos_obstetricos). Permanecem, contudo, não persistidas </w:t>
      </w:r>
      <w:r>
        <w:lastRenderedPageBreak/>
        <w:t>as demais entidades do acompanhamento (consultas, exames, vacinas, medicamentos e plano de parto). Essa infraestrutura emprega os seguintes componentes:</w:t>
      </w:r>
    </w:p>
    <w:p w14:paraId="605AF07A" w14:textId="77777777" w:rsidR="00E62C65" w:rsidRDefault="00474360">
      <w:pPr>
        <w:keepNext/>
      </w:pPr>
      <w:r>
        <w:rPr>
          <w:b/>
        </w:rPr>
        <w:t>Quadro 3 – Componentes tecnológicos da infraestrutura de persistência do backend</w:t>
      </w:r>
    </w:p>
    <w:tbl>
      <w:tblPr>
        <w:tblStyle w:val="Tabelacomgrade"/>
        <w:tblW w:w="0" w:type="auto"/>
        <w:tblLook w:val="04A0" w:firstRow="1" w:lastRow="0" w:firstColumn="1" w:lastColumn="0" w:noHBand="0" w:noVBand="1"/>
      </w:tblPr>
      <w:tblGrid>
        <w:gridCol w:w="3024"/>
        <w:gridCol w:w="3024"/>
        <w:gridCol w:w="3024"/>
      </w:tblGrid>
      <w:tr w:rsidR="00E62C65" w14:paraId="7B76B472" w14:textId="77777777">
        <w:tc>
          <w:tcPr>
            <w:tcW w:w="3024" w:type="dxa"/>
          </w:tcPr>
          <w:p w14:paraId="1BC871EE" w14:textId="77777777" w:rsidR="00E62C65" w:rsidRDefault="00474360">
            <w:r>
              <w:rPr>
                <w:b/>
              </w:rPr>
              <w:t>Componente</w:t>
            </w:r>
          </w:p>
        </w:tc>
        <w:tc>
          <w:tcPr>
            <w:tcW w:w="3024" w:type="dxa"/>
          </w:tcPr>
          <w:p w14:paraId="73C789BB" w14:textId="77777777" w:rsidR="00E62C65" w:rsidRDefault="00474360">
            <w:r>
              <w:rPr>
                <w:b/>
              </w:rPr>
              <w:t>Tecnologia</w:t>
            </w:r>
          </w:p>
        </w:tc>
        <w:tc>
          <w:tcPr>
            <w:tcW w:w="3024" w:type="dxa"/>
          </w:tcPr>
          <w:p w14:paraId="48FBB5B5" w14:textId="77777777" w:rsidR="00E62C65" w:rsidRDefault="00474360">
            <w:r>
              <w:rPr>
                <w:b/>
              </w:rPr>
              <w:t>Função</w:t>
            </w:r>
          </w:p>
        </w:tc>
      </w:tr>
      <w:tr w:rsidR="00E62C65" w14:paraId="70D0D088" w14:textId="77777777">
        <w:tc>
          <w:tcPr>
            <w:tcW w:w="3024" w:type="dxa"/>
          </w:tcPr>
          <w:p w14:paraId="13F57580" w14:textId="77777777" w:rsidR="00E62C65" w:rsidRDefault="00474360">
            <w:r>
              <w:t>API</w:t>
            </w:r>
          </w:p>
        </w:tc>
        <w:tc>
          <w:tcPr>
            <w:tcW w:w="3024" w:type="dxa"/>
          </w:tcPr>
          <w:p w14:paraId="4AA95B2F" w14:textId="77777777" w:rsidR="00E62C65" w:rsidRDefault="00474360">
            <w:r>
              <w:t>FastAPI</w:t>
            </w:r>
          </w:p>
        </w:tc>
        <w:tc>
          <w:tcPr>
            <w:tcW w:w="3024" w:type="dxa"/>
          </w:tcPr>
          <w:p w14:paraId="5E1BEFF1" w14:textId="77777777" w:rsidR="00E62C65" w:rsidRDefault="00474360">
            <w:r>
              <w:t>comunicação HTTP e orquestração dos endpoints</w:t>
            </w:r>
          </w:p>
        </w:tc>
      </w:tr>
      <w:tr w:rsidR="00E62C65" w14:paraId="3A3CC299" w14:textId="77777777">
        <w:tc>
          <w:tcPr>
            <w:tcW w:w="3024" w:type="dxa"/>
          </w:tcPr>
          <w:p w14:paraId="15DCE566" w14:textId="77777777" w:rsidR="00E62C65" w:rsidRDefault="00474360">
            <w:r>
              <w:t>ORM</w:t>
            </w:r>
          </w:p>
        </w:tc>
        <w:tc>
          <w:tcPr>
            <w:tcW w:w="3024" w:type="dxa"/>
          </w:tcPr>
          <w:p w14:paraId="5659346C" w14:textId="77777777" w:rsidR="00E62C65" w:rsidRDefault="00474360">
            <w:r>
              <w:t>SQLAlchemy 2.x</w:t>
            </w:r>
          </w:p>
        </w:tc>
        <w:tc>
          <w:tcPr>
            <w:tcW w:w="3024" w:type="dxa"/>
          </w:tcPr>
          <w:p w14:paraId="373D002E" w14:textId="77777777" w:rsidR="00E62C65" w:rsidRDefault="00474360">
            <w:r>
              <w:t>acesso estruturado aos dados, em modo síncrono</w:t>
            </w:r>
          </w:p>
        </w:tc>
      </w:tr>
      <w:tr w:rsidR="00E62C65" w14:paraId="52A408BC" w14:textId="77777777">
        <w:tc>
          <w:tcPr>
            <w:tcW w:w="3024" w:type="dxa"/>
          </w:tcPr>
          <w:p w14:paraId="480231E9" w14:textId="77777777" w:rsidR="00E62C65" w:rsidRDefault="00474360">
            <w:r>
              <w:t>Driver</w:t>
            </w:r>
          </w:p>
        </w:tc>
        <w:tc>
          <w:tcPr>
            <w:tcW w:w="3024" w:type="dxa"/>
          </w:tcPr>
          <w:p w14:paraId="174198AE" w14:textId="77777777" w:rsidR="00E62C65" w:rsidRDefault="00474360">
            <w:r>
              <w:t>psycopg 3</w:t>
            </w:r>
          </w:p>
        </w:tc>
        <w:tc>
          <w:tcPr>
            <w:tcW w:w="3024" w:type="dxa"/>
          </w:tcPr>
          <w:p w14:paraId="4A8B074E" w14:textId="77777777" w:rsidR="00E62C65" w:rsidRDefault="00474360">
            <w:r>
              <w:t>comunicação entre o ORM e o banco</w:t>
            </w:r>
          </w:p>
        </w:tc>
      </w:tr>
      <w:tr w:rsidR="00E62C65" w14:paraId="44A5EC0E" w14:textId="77777777">
        <w:tc>
          <w:tcPr>
            <w:tcW w:w="3024" w:type="dxa"/>
          </w:tcPr>
          <w:p w14:paraId="79F0067C" w14:textId="77777777" w:rsidR="00E62C65" w:rsidRDefault="00474360">
            <w:r>
              <w:t>Banco</w:t>
            </w:r>
          </w:p>
        </w:tc>
        <w:tc>
          <w:tcPr>
            <w:tcW w:w="3024" w:type="dxa"/>
          </w:tcPr>
          <w:p w14:paraId="0835BC5C" w14:textId="77777777" w:rsidR="00E62C65" w:rsidRDefault="00474360">
            <w:r>
              <w:t>PostgreSQL 16</w:t>
            </w:r>
          </w:p>
        </w:tc>
        <w:tc>
          <w:tcPr>
            <w:tcW w:w="3024" w:type="dxa"/>
          </w:tcPr>
          <w:p w14:paraId="1087CBE6" w14:textId="77777777" w:rsidR="00114E20" w:rsidRDefault="00D41E34">
            <w:r>
              <w:t>banco relacional da persistência do backend</w:t>
            </w:r>
          </w:p>
        </w:tc>
      </w:tr>
      <w:tr w:rsidR="00E62C65" w14:paraId="24E84E32" w14:textId="77777777">
        <w:tc>
          <w:tcPr>
            <w:tcW w:w="3024" w:type="dxa"/>
          </w:tcPr>
          <w:p w14:paraId="2C5DA316" w14:textId="77777777" w:rsidR="00E62C65" w:rsidRDefault="00474360">
            <w:r>
              <w:t>Migrações</w:t>
            </w:r>
          </w:p>
        </w:tc>
        <w:tc>
          <w:tcPr>
            <w:tcW w:w="3024" w:type="dxa"/>
          </w:tcPr>
          <w:p w14:paraId="1F466035" w14:textId="77777777" w:rsidR="00E62C65" w:rsidRDefault="00474360">
            <w:r>
              <w:t>Alembic</w:t>
            </w:r>
          </w:p>
        </w:tc>
        <w:tc>
          <w:tcPr>
            <w:tcW w:w="3024" w:type="dxa"/>
          </w:tcPr>
          <w:p w14:paraId="69E5833B" w14:textId="77777777" w:rsidR="00E62C65" w:rsidRDefault="00474360">
            <w:r>
              <w:t>controle versionado da evolução do esquema</w:t>
            </w:r>
          </w:p>
        </w:tc>
      </w:tr>
    </w:tbl>
    <w:p w14:paraId="7F0C8CE2" w14:textId="77777777" w:rsidR="00E62C65" w:rsidRDefault="00474360">
      <w:r>
        <w:t>Fonte: elaboração própria (2026).</w:t>
      </w:r>
    </w:p>
    <w:p w14:paraId="1F85A733" w14:textId="77777777" w:rsidR="00E62C65" w:rsidRDefault="00474360">
      <w:pPr>
        <w:spacing w:after="0" w:line="360" w:lineRule="auto"/>
        <w:ind w:firstLine="709"/>
        <w:jc w:val="both"/>
      </w:pPr>
      <w:r>
        <w:t>A arquitetura aqui descrita corresponde ao estado implementado. Além da infraestrutura de persistência (PostgreSQL, SQLAlchemy e Alembic), o backend já conta com autenticação real — cadastro, login, access/refresh token, logout e consulta do usuário autenticado (/auth/me) — persistida nas tabelas users e auth_refresh_sessions (seção 4.5), e com o domínio de acompanhamento pré-natal — perfil GESTANTE, gestações (GESTAÇÃO) e histórico obstétrico (HISTÓRICO OBSTÉTRICO) — persistido nas tabelas gestantes, gestacoes e historicos_obstetricos, com operações CRUD protegidas por propriedade de dados (seção 4.7). Distingue-se, portanto, a API DSS atual (que recebe a estimativa experimental, de forma stateless) da API CRUD do acompanhamento pré-natal, cujas entidades de domínio GESTANTE, GESTAÇÃO e HISTÓRICO OBSTÉTRICO já foram implementadas e validadas; as demais entidades (consultas, exames, vacinas, medicamentos e plano de parto) permanecem futuras (seção 4.7).</w:t>
      </w:r>
    </w:p>
    <w:p w14:paraId="656C14FC" w14:textId="77777777" w:rsidR="00114E20" w:rsidRDefault="00D41E34">
      <w:pPr>
        <w:jc w:val="center"/>
      </w:pPr>
      <w:r>
        <w:t>Figura 6 — Arquitetura geral da solução (Flutter → FastAPI → ML e persistência)</w:t>
      </w:r>
    </w:p>
    <w:p w14:paraId="7E6DEFFE" w14:textId="77777777" w:rsidR="00114E20" w:rsidRDefault="00D41E34">
      <w:pPr>
        <w:jc w:val="center"/>
      </w:pPr>
      <w:r>
        <w:rPr>
          <w:noProof/>
        </w:rPr>
        <w:lastRenderedPageBreak/>
        <w:drawing>
          <wp:inline distT="0" distB="0" distL="0" distR="0" wp14:anchorId="360F46C0" wp14:editId="0319FFBB">
            <wp:extent cx="5400000" cy="31227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arquitetura.png"/>
                    <pic:cNvPicPr/>
                  </pic:nvPicPr>
                  <pic:blipFill>
                    <a:blip r:embed="rId13"/>
                    <a:stretch>
                      <a:fillRect/>
                    </a:stretch>
                  </pic:blipFill>
                  <pic:spPr>
                    <a:xfrm>
                      <a:off x="0" y="0"/>
                      <a:ext cx="5400000" cy="3122735"/>
                    </a:xfrm>
                    <a:prstGeom prst="rect">
                      <a:avLst/>
                    </a:prstGeom>
                  </pic:spPr>
                </pic:pic>
              </a:graphicData>
            </a:graphic>
          </wp:inline>
        </w:drawing>
      </w:r>
    </w:p>
    <w:p w14:paraId="5A9CEB6B" w14:textId="77777777" w:rsidR="00114E20" w:rsidRDefault="00D41E34">
      <w:pPr>
        <w:jc w:val="center"/>
      </w:pPr>
      <w:r>
        <w:rPr>
          <w:sz w:val="18"/>
        </w:rPr>
        <w:t>Fonte: elaborado pelo autor.</w:t>
      </w:r>
    </w:p>
    <w:p w14:paraId="5100435C" w14:textId="77777777" w:rsidR="00E62C65" w:rsidRDefault="00474360">
      <w:pPr>
        <w:pStyle w:val="Ttulo2"/>
      </w:pPr>
      <w:bookmarkStart w:id="40" w:name="_Toc238759976"/>
      <w:r>
        <w:rPr>
          <w:rFonts w:ascii="Times New Roman" w:eastAsia="Times New Roman" w:hAnsi="Times New Roman"/>
        </w:rPr>
        <w:t>4.2 Eixo 1 — Questionário dos DSS</w:t>
      </w:r>
      <w:bookmarkEnd w:id="40"/>
    </w:p>
    <w:p w14:paraId="1224F1F2" w14:textId="77777777" w:rsidR="00E62C65" w:rsidRDefault="00474360">
      <w:pPr>
        <w:spacing w:after="0" w:line="360" w:lineRule="auto"/>
        <w:ind w:firstLine="709"/>
        <w:jc w:val="both"/>
      </w:pPr>
      <w:r>
        <w:rPr>
          <w:rFonts w:eastAsia="Times New Roman"/>
        </w:rPr>
        <w:t xml:space="preserve">Formulário estruturado das seis dimensões; coleta informações usadas na caracterização (IV-DSS) e na estimativa experimental do modelo. O resultado apresentado no aplicativo é denominado </w:t>
      </w:r>
      <w:r>
        <w:rPr>
          <w:rFonts w:eastAsia="Times New Roman"/>
          <w:b/>
        </w:rPr>
        <w:t>"Estimativa de acompanhamento"</w:t>
      </w:r>
      <w:r>
        <w:rPr>
          <w:rFonts w:eastAsia="Times New Roman"/>
        </w:rPr>
        <w:t xml:space="preserve">, contendo </w:t>
      </w:r>
      <w:r>
        <w:rPr>
          <w:rFonts w:eastAsia="Times New Roman"/>
          <w:b/>
        </w:rPr>
        <w:t>probabilidade percentual</w:t>
      </w:r>
      <w:r>
        <w:rPr>
          <w:rFonts w:eastAsia="Times New Roman"/>
        </w:rPr>
        <w:t xml:space="preserve">, </w:t>
      </w:r>
      <w:r>
        <w:rPr>
          <w:rFonts w:eastAsia="Times New Roman"/>
          <w:b/>
        </w:rPr>
        <w:t>texto explicativo</w:t>
      </w:r>
      <w:r>
        <w:rPr>
          <w:rFonts w:eastAsia="Times New Roman"/>
        </w:rPr>
        <w:t xml:space="preserve"> e um </w:t>
      </w:r>
      <w:r>
        <w:rPr>
          <w:rFonts w:eastAsia="Times New Roman"/>
          <w:b/>
        </w:rPr>
        <w:t>notice metodológico</w:t>
      </w:r>
      <w:r>
        <w:rPr>
          <w:rFonts w:eastAsia="Times New Roman"/>
        </w:rPr>
        <w:t xml:space="preserve"> que esclarece o caráter experimental, a base em dados sintéticos e a ausência de diagnóstico ou certeza. </w:t>
      </w:r>
      <w:r>
        <w:rPr>
          <w:rFonts w:eastAsia="Times New Roman"/>
          <w:b/>
        </w:rPr>
        <w:t>Não</w:t>
      </w:r>
      <w:r>
        <w:rPr>
          <w:rFonts w:eastAsia="Times New Roman"/>
        </w:rPr>
        <w:t xml:space="preserve"> há tela de "risco" nem classificação de risco.</w:t>
      </w:r>
    </w:p>
    <w:p w14:paraId="2E629C5E" w14:textId="77777777" w:rsidR="00114E20" w:rsidRDefault="00D41E34">
      <w:r>
        <w:rPr>
          <w:i/>
        </w:rPr>
        <w:t>[CAPTURA PENDENTE — tela do questionário DSS (Eixo 1); captura a ser incluída na versão final.]</w:t>
      </w:r>
    </w:p>
    <w:p w14:paraId="1815989E" w14:textId="77777777" w:rsidR="00E62C65" w:rsidRDefault="00474360">
      <w:pPr>
        <w:pStyle w:val="Ttulo2"/>
      </w:pPr>
      <w:bookmarkStart w:id="41" w:name="_Toc238759977"/>
      <w:r>
        <w:rPr>
          <w:rFonts w:ascii="Times New Roman" w:eastAsia="Times New Roman" w:hAnsi="Times New Roman"/>
        </w:rPr>
        <w:t>4.3 Eixo 2 — Módulo de acompanhamento do pré-natal</w:t>
      </w:r>
      <w:bookmarkEnd w:id="41"/>
    </w:p>
    <w:p w14:paraId="0F8CB068" w14:textId="77777777" w:rsidR="00E62C65" w:rsidRDefault="00474360">
      <w:pPr>
        <w:spacing w:after="0" w:line="360" w:lineRule="auto"/>
        <w:ind w:firstLine="709"/>
        <w:jc w:val="both"/>
      </w:pPr>
      <w:r>
        <w:rPr>
          <w:rFonts w:eastAsia="Times New Roman"/>
        </w:rPr>
        <w:t xml:space="preserve">O aplicativo integra, em uma mesma solução, o gerenciamento do acompanhamento pré-natal, organizado em </w:t>
      </w:r>
      <w:r>
        <w:rPr>
          <w:rFonts w:eastAsia="Times New Roman"/>
          <w:b/>
        </w:rPr>
        <w:t>quatro abas principais</w:t>
      </w:r>
      <w:r>
        <w:rPr>
          <w:rFonts w:eastAsia="Times New Roman"/>
        </w:rPr>
        <w:t xml:space="preserve">: </w:t>
      </w:r>
      <w:r>
        <w:rPr>
          <w:rFonts w:eastAsia="Times New Roman"/>
          <w:b/>
        </w:rPr>
        <w:t>Home</w:t>
      </w:r>
      <w:r>
        <w:rPr>
          <w:rFonts w:eastAsia="Times New Roman"/>
        </w:rPr>
        <w:t xml:space="preserve">, </w:t>
      </w:r>
      <w:r>
        <w:rPr>
          <w:rFonts w:eastAsia="Times New Roman"/>
          <w:b/>
        </w:rPr>
        <w:t>Gestação</w:t>
      </w:r>
      <w:r>
        <w:rPr>
          <w:rFonts w:eastAsia="Times New Roman"/>
        </w:rPr>
        <w:t xml:space="preserve">, </w:t>
      </w:r>
      <w:r>
        <w:rPr>
          <w:rFonts w:eastAsia="Times New Roman"/>
          <w:b/>
        </w:rPr>
        <w:t>Parto</w:t>
      </w:r>
      <w:r>
        <w:rPr>
          <w:rFonts w:eastAsia="Times New Roman"/>
        </w:rPr>
        <w:t xml:space="preserve"> e </w:t>
      </w:r>
      <w:r>
        <w:rPr>
          <w:rFonts w:eastAsia="Times New Roman"/>
          <w:b/>
        </w:rPr>
        <w:t>Perfil</w:t>
      </w:r>
      <w:r>
        <w:rPr>
          <w:rFonts w:eastAsia="Times New Roman"/>
        </w:rPr>
        <w:t>.</w:t>
      </w:r>
    </w:p>
    <w:p w14:paraId="23583271" w14:textId="77777777" w:rsidR="00E62C65" w:rsidRDefault="00474360">
      <w:pPr>
        <w:pStyle w:val="Commarcadores"/>
        <w:spacing w:line="360" w:lineRule="auto"/>
        <w:ind w:left="454" w:hanging="227"/>
      </w:pPr>
      <w:r>
        <w:rPr>
          <w:rFonts w:eastAsia="Times New Roman"/>
          <w:b/>
        </w:rPr>
        <w:t>Home</w:t>
      </w:r>
      <w:r>
        <w:rPr>
          <w:rFonts w:eastAsia="Times New Roman"/>
        </w:rPr>
        <w:t xml:space="preserve"> — reúne </w:t>
      </w:r>
      <w:r>
        <w:rPr>
          <w:rFonts w:eastAsia="Times New Roman"/>
          <w:b/>
        </w:rPr>
        <w:t>Consultas e exames</w:t>
      </w:r>
      <w:r>
        <w:rPr>
          <w:rFonts w:eastAsia="Times New Roman"/>
        </w:rPr>
        <w:t xml:space="preserve"> (cadastro, listagem e exclusão local), </w:t>
      </w:r>
      <w:r>
        <w:rPr>
          <w:rFonts w:eastAsia="Times New Roman"/>
          <w:b/>
        </w:rPr>
        <w:t>Minhas vacinas</w:t>
      </w:r>
      <w:r>
        <w:rPr>
          <w:rFonts w:eastAsia="Times New Roman"/>
        </w:rPr>
        <w:t xml:space="preserve"> (catálogo pré-cadastrado com controle de realização), </w:t>
      </w:r>
      <w:r>
        <w:rPr>
          <w:rFonts w:eastAsia="Times New Roman"/>
          <w:b/>
        </w:rPr>
        <w:t>Meus medicamentos</w:t>
      </w:r>
      <w:r>
        <w:rPr>
          <w:rFonts w:eastAsia="Times New Roman"/>
        </w:rPr>
        <w:t xml:space="preserve"> (cadastro, listagem e exclusão local) e </w:t>
      </w:r>
      <w:r>
        <w:rPr>
          <w:rFonts w:eastAsia="Times New Roman"/>
          <w:b/>
        </w:rPr>
        <w:t>Informações básicas</w:t>
      </w:r>
      <w:r>
        <w:rPr>
          <w:rFonts w:eastAsia="Times New Roman"/>
        </w:rPr>
        <w:t xml:space="preserve"> (conteúdo educativo estático, sem persistência).</w:t>
      </w:r>
    </w:p>
    <w:p w14:paraId="0993D66C" w14:textId="77777777" w:rsidR="00E62C65" w:rsidRDefault="00474360">
      <w:pPr>
        <w:pStyle w:val="Commarcadores"/>
        <w:spacing w:line="360" w:lineRule="auto"/>
        <w:ind w:left="454" w:hanging="227"/>
      </w:pPr>
      <w:r>
        <w:rPr>
          <w:rFonts w:eastAsia="Times New Roman"/>
          <w:b/>
        </w:rPr>
        <w:t>Gestação</w:t>
      </w:r>
      <w:r>
        <w:rPr>
          <w:rFonts w:eastAsia="Times New Roman"/>
        </w:rPr>
        <w:t xml:space="preserve"> — agrega identificação da gestante, </w:t>
      </w:r>
      <w:r>
        <w:rPr>
          <w:rFonts w:eastAsia="Times New Roman"/>
          <w:b/>
        </w:rPr>
        <w:t>idade gestacional (IG)</w:t>
      </w:r>
      <w:r>
        <w:rPr>
          <w:rFonts w:eastAsia="Times New Roman"/>
        </w:rPr>
        <w:t xml:space="preserve">, </w:t>
      </w:r>
      <w:r>
        <w:rPr>
          <w:rFonts w:eastAsia="Times New Roman"/>
          <w:b/>
        </w:rPr>
        <w:t>data provável do parto (DPP)</w:t>
      </w:r>
      <w:r>
        <w:rPr>
          <w:rFonts w:eastAsia="Times New Roman"/>
        </w:rPr>
        <w:t xml:space="preserve">, local do pré-natal, profissional, consultas, exames e histórico obstétrico. IG e DPP são </w:t>
      </w:r>
      <w:r>
        <w:rPr>
          <w:rFonts w:eastAsia="Times New Roman"/>
          <w:b/>
        </w:rPr>
        <w:t>calculadas em tempo de execução</w:t>
      </w:r>
      <w:r>
        <w:rPr>
          <w:rFonts w:eastAsia="Times New Roman"/>
        </w:rPr>
        <w:t xml:space="preserve"> a partir dos dados da gestação (data da última menstruação), e </w:t>
      </w:r>
      <w:r>
        <w:rPr>
          <w:rFonts w:eastAsia="Times New Roman"/>
          <w:b/>
        </w:rPr>
        <w:t>não</w:t>
      </w:r>
      <w:r>
        <w:rPr>
          <w:rFonts w:eastAsia="Times New Roman"/>
        </w:rPr>
        <w:t xml:space="preserve"> são persistidas como valores independentes.</w:t>
      </w:r>
    </w:p>
    <w:p w14:paraId="079597A6" w14:textId="77777777" w:rsidR="00E62C65" w:rsidRDefault="00474360">
      <w:pPr>
        <w:pStyle w:val="Commarcadores"/>
        <w:spacing w:line="360" w:lineRule="auto"/>
        <w:ind w:left="454" w:hanging="227"/>
      </w:pPr>
      <w:r>
        <w:rPr>
          <w:rFonts w:eastAsia="Times New Roman"/>
          <w:b/>
        </w:rPr>
        <w:lastRenderedPageBreak/>
        <w:t>Parto</w:t>
      </w:r>
      <w:r>
        <w:rPr>
          <w:rFonts w:eastAsia="Times New Roman"/>
        </w:rPr>
        <w:t xml:space="preserve"> — representa um </w:t>
      </w:r>
      <w:r>
        <w:rPr>
          <w:rFonts w:eastAsia="Times New Roman"/>
          <w:b/>
        </w:rPr>
        <w:t>plano de parto</w:t>
      </w:r>
      <w:r>
        <w:rPr>
          <w:rFonts w:eastAsia="Times New Roman"/>
        </w:rPr>
        <w:t>, com seções de identificação, histórico, gestação atual, expectativas, parto, alívio da dor, nascimento, observações e resumo.</w:t>
      </w:r>
    </w:p>
    <w:p w14:paraId="10E76771" w14:textId="77777777" w:rsidR="00E62C65" w:rsidRDefault="00474360">
      <w:pPr>
        <w:pStyle w:val="Commarcadores"/>
        <w:spacing w:line="360" w:lineRule="auto"/>
        <w:ind w:left="454" w:hanging="227"/>
      </w:pPr>
      <w:r>
        <w:rPr>
          <w:rFonts w:eastAsia="Times New Roman"/>
          <w:b/>
        </w:rPr>
        <w:t>Perfil</w:t>
      </w:r>
      <w:r>
        <w:rPr>
          <w:rFonts w:eastAsia="Times New Roman"/>
        </w:rPr>
        <w:t xml:space="preserve"> — reúne </w:t>
      </w:r>
      <w:r>
        <w:rPr>
          <w:rFonts w:eastAsia="Times New Roman"/>
          <w:b/>
        </w:rPr>
        <w:t>Meus Dados</w:t>
      </w:r>
      <w:r>
        <w:rPr>
          <w:rFonts w:eastAsia="Times New Roman"/>
        </w:rPr>
        <w:t xml:space="preserve">, </w:t>
      </w:r>
      <w:r>
        <w:rPr>
          <w:rFonts w:eastAsia="Times New Roman"/>
          <w:b/>
        </w:rPr>
        <w:t>Notificações</w:t>
      </w:r>
      <w:r>
        <w:rPr>
          <w:rFonts w:eastAsia="Times New Roman"/>
        </w:rPr>
        <w:t xml:space="preserve">, </w:t>
      </w:r>
      <w:r>
        <w:rPr>
          <w:rFonts w:eastAsia="Times New Roman"/>
          <w:b/>
        </w:rPr>
        <w:t>Configurações</w:t>
      </w:r>
      <w:r>
        <w:rPr>
          <w:rFonts w:eastAsia="Times New Roman"/>
        </w:rPr>
        <w:t xml:space="preserve">, </w:t>
      </w:r>
      <w:r>
        <w:rPr>
          <w:rFonts w:eastAsia="Times New Roman"/>
          <w:b/>
        </w:rPr>
        <w:t>Sobre o app</w:t>
      </w:r>
      <w:r>
        <w:rPr>
          <w:rFonts w:eastAsia="Times New Roman"/>
        </w:rPr>
        <w:t xml:space="preserve"> e </w:t>
      </w:r>
      <w:r>
        <w:rPr>
          <w:rFonts w:eastAsia="Times New Roman"/>
          <w:b/>
        </w:rPr>
        <w:t>Sair</w:t>
      </w:r>
      <w:r>
        <w:rPr>
          <w:rFonts w:eastAsia="Times New Roman"/>
        </w:rPr>
        <w:t>.</w:t>
      </w:r>
    </w:p>
    <w:p w14:paraId="18780D01" w14:textId="77777777" w:rsidR="00E62C65" w:rsidRDefault="00474360">
      <w:pPr>
        <w:spacing w:after="0" w:line="360" w:lineRule="auto"/>
        <w:ind w:firstLine="709"/>
        <w:jc w:val="both"/>
      </w:pPr>
      <w:r>
        <w:rPr>
          <w:rFonts w:eastAsia="Times New Roman"/>
        </w:rPr>
        <w:t xml:space="preserve">Conceitualmente, no plano de parto, </w:t>
      </w:r>
      <w:r>
        <w:rPr>
          <w:rFonts w:eastAsia="Times New Roman"/>
          <w:b/>
        </w:rPr>
        <w:t>identificação</w:t>
      </w:r>
      <w:r>
        <w:rPr>
          <w:rFonts w:eastAsia="Times New Roman"/>
        </w:rPr>
        <w:t xml:space="preserve">, </w:t>
      </w:r>
      <w:r>
        <w:rPr>
          <w:rFonts w:eastAsia="Times New Roman"/>
          <w:b/>
        </w:rPr>
        <w:t>histórico</w:t>
      </w:r>
      <w:r>
        <w:rPr>
          <w:rFonts w:eastAsia="Times New Roman"/>
        </w:rPr>
        <w:t xml:space="preserve"> e </w:t>
      </w:r>
      <w:r>
        <w:rPr>
          <w:rFonts w:eastAsia="Times New Roman"/>
          <w:b/>
        </w:rPr>
        <w:t>gestação atual</w:t>
      </w:r>
      <w:r>
        <w:rPr>
          <w:rFonts w:eastAsia="Times New Roman"/>
        </w:rPr>
        <w:t xml:space="preserve"> são </w:t>
      </w:r>
      <w:r>
        <w:rPr>
          <w:rFonts w:eastAsia="Times New Roman"/>
          <w:b/>
        </w:rPr>
        <w:t>dados de contexto</w:t>
      </w:r>
      <w:r>
        <w:rPr>
          <w:rFonts w:eastAsia="Times New Roman"/>
        </w:rPr>
        <w:t xml:space="preserve"> reutilizados de outras entidades; as </w:t>
      </w:r>
      <w:r>
        <w:rPr>
          <w:rFonts w:eastAsia="Times New Roman"/>
          <w:b/>
        </w:rPr>
        <w:t>preferências específicas do plano</w:t>
      </w:r>
      <w:r>
        <w:rPr>
          <w:rFonts w:eastAsia="Times New Roman"/>
        </w:rPr>
        <w:t xml:space="preserve"> são: </w:t>
      </w:r>
      <w:r>
        <w:rPr>
          <w:rFonts w:eastAsia="Times New Roman"/>
          <w:b/>
        </w:rPr>
        <w:t>expectativas</w:t>
      </w:r>
      <w:r>
        <w:rPr>
          <w:rFonts w:eastAsia="Times New Roman"/>
        </w:rPr>
        <w:t xml:space="preserve">, </w:t>
      </w:r>
      <w:r>
        <w:rPr>
          <w:rFonts w:eastAsia="Times New Roman"/>
          <w:b/>
        </w:rPr>
        <w:t>momento do parto</w:t>
      </w:r>
      <w:r>
        <w:rPr>
          <w:rFonts w:eastAsia="Times New Roman"/>
        </w:rPr>
        <w:t xml:space="preserve">, </w:t>
      </w:r>
      <w:r>
        <w:rPr>
          <w:rFonts w:eastAsia="Times New Roman"/>
          <w:b/>
        </w:rPr>
        <w:t>alívio da dor</w:t>
      </w:r>
      <w:r>
        <w:rPr>
          <w:rFonts w:eastAsia="Times New Roman"/>
        </w:rPr>
        <w:t xml:space="preserve">, </w:t>
      </w:r>
      <w:r>
        <w:rPr>
          <w:rFonts w:eastAsia="Times New Roman"/>
          <w:b/>
        </w:rPr>
        <w:t>nascimento</w:t>
      </w:r>
      <w:r>
        <w:rPr>
          <w:rFonts w:eastAsia="Times New Roman"/>
        </w:rPr>
        <w:t xml:space="preserve"> e </w:t>
      </w:r>
      <w:r>
        <w:rPr>
          <w:rFonts w:eastAsia="Times New Roman"/>
          <w:b/>
        </w:rPr>
        <w:t>observações</w:t>
      </w:r>
      <w:r>
        <w:rPr>
          <w:rFonts w:eastAsia="Times New Roman"/>
        </w:rPr>
        <w:t xml:space="preserve">. Essas informações representam </w:t>
      </w:r>
      <w:r>
        <w:rPr>
          <w:rFonts w:eastAsia="Times New Roman"/>
          <w:b/>
        </w:rPr>
        <w:t>preferências e expectativas</w:t>
      </w:r>
      <w:r>
        <w:rPr>
          <w:rFonts w:eastAsia="Times New Roman"/>
        </w:rPr>
        <w:t xml:space="preserve">, e </w:t>
      </w:r>
      <w:r>
        <w:rPr>
          <w:rFonts w:eastAsia="Times New Roman"/>
          <w:b/>
        </w:rPr>
        <w:t>não</w:t>
      </w:r>
      <w:r>
        <w:rPr>
          <w:rFonts w:eastAsia="Times New Roman"/>
        </w:rPr>
        <w:t xml:space="preserve"> o registro do desfecho real do parto.</w:t>
      </w:r>
    </w:p>
    <w:p w14:paraId="5097A69F" w14:textId="77777777" w:rsidR="00114E20" w:rsidRDefault="00D41E34">
      <w:r>
        <w:rPr>
          <w:i/>
        </w:rPr>
        <w:t>[CAPTURA PENDENTE — telas das abas Home, Gestação, Parto e Perfil (Eixo 2); capturas a serem incluídas na versão final.]</w:t>
      </w:r>
    </w:p>
    <w:p w14:paraId="64DFF1A2" w14:textId="77777777" w:rsidR="00E62C65" w:rsidRDefault="00474360">
      <w:pPr>
        <w:pStyle w:val="Ttulo2"/>
      </w:pPr>
      <w:bookmarkStart w:id="42" w:name="_Toc238759978"/>
      <w:r>
        <w:rPr>
          <w:rFonts w:ascii="Times New Roman" w:eastAsia="Times New Roman" w:hAnsi="Times New Roman"/>
        </w:rPr>
        <w:t>4.4 Armazenamento local / offline</w:t>
      </w:r>
      <w:bookmarkEnd w:id="42"/>
    </w:p>
    <w:p w14:paraId="7E45C5D0" w14:textId="77777777" w:rsidR="00E62C65" w:rsidRDefault="00474360">
      <w:pPr>
        <w:spacing w:after="0" w:line="360" w:lineRule="auto"/>
        <w:ind w:firstLine="709"/>
        <w:jc w:val="both"/>
      </w:pPr>
      <w:r>
        <w:rPr>
          <w:rFonts w:eastAsia="Times New Roman"/>
        </w:rPr>
        <w:t xml:space="preserve">O módulo de acompanhamento </w:t>
      </w:r>
      <w:r>
        <w:rPr>
          <w:rFonts w:eastAsia="Times New Roman"/>
          <w:b/>
        </w:rPr>
        <w:t>não depende de API</w:t>
      </w:r>
      <w:r>
        <w:rPr>
          <w:rFonts w:eastAsia="Times New Roman"/>
        </w:rPr>
        <w:t xml:space="preserve"> para armazenar essas informações; funciona offline. Esta é uma característica arquitetural e funcional — </w:t>
      </w:r>
      <w:r>
        <w:rPr>
          <w:rFonts w:eastAsia="Times New Roman"/>
          <w:b/>
        </w:rPr>
        <w:t>não</w:t>
      </w:r>
      <w:r>
        <w:rPr>
          <w:rFonts w:eastAsia="Times New Roman"/>
        </w:rPr>
        <w:t xml:space="preserve"> um preditor do modelo.</w:t>
      </w:r>
    </w:p>
    <w:p w14:paraId="55C2C754" w14:textId="77777777" w:rsidR="00E62C65" w:rsidRDefault="00474360">
      <w:r>
        <w:t>O módulo de acompanhamento é funcionalidade da aplicação e não faz parte diretamente do modelo de predição.</w:t>
      </w:r>
    </w:p>
    <w:p w14:paraId="2C65CAA4" w14:textId="77777777" w:rsidR="00E62C65" w:rsidRDefault="00E62C65"/>
    <w:p w14:paraId="581BC959" w14:textId="77777777" w:rsidR="00E62C65" w:rsidRDefault="00474360">
      <w:pPr>
        <w:spacing w:after="0" w:line="360" w:lineRule="auto"/>
        <w:ind w:firstLine="709"/>
        <w:jc w:val="both"/>
      </w:pPr>
      <w:r>
        <w:rPr>
          <w:rFonts w:eastAsia="Times New Roman"/>
        </w:rPr>
        <w:t xml:space="preserve">A persistência local é realizada com </w:t>
      </w:r>
      <w:r>
        <w:rPr>
          <w:rFonts w:eastAsia="Times New Roman"/>
          <w:b/>
        </w:rPr>
        <w:t>SQLite</w:t>
      </w:r>
      <w:r>
        <w:rPr>
          <w:rFonts w:eastAsia="Times New Roman"/>
        </w:rPr>
        <w:t xml:space="preserve"> por meio do pacote </w:t>
      </w:r>
      <w:r>
        <w:rPr>
          <w:rFonts w:eastAsia="Times New Roman"/>
          <w:b/>
        </w:rPr>
        <w:t>sqflite</w:t>
      </w:r>
      <w:r>
        <w:rPr>
          <w:rFonts w:eastAsia="Times New Roman"/>
        </w:rPr>
        <w:t xml:space="preserve">, com </w:t>
      </w:r>
      <w:r>
        <w:rPr>
          <w:rFonts w:eastAsia="Times New Roman"/>
          <w:b/>
        </w:rPr>
        <w:t>SQL bruto</w:t>
      </w:r>
      <w:r>
        <w:rPr>
          <w:rFonts w:eastAsia="Times New Roman"/>
        </w:rPr>
        <w:t xml:space="preserve"> (sem Drift/codegen). O banco </w:t>
      </w:r>
      <w:r>
        <w:rPr>
          <w:rFonts w:ascii="Courier New" w:eastAsia="Courier New" w:hAnsi="Courier New"/>
          <w:sz w:val="22"/>
        </w:rPr>
        <w:t>meu_bebe.db</w:t>
      </w:r>
      <w:r>
        <w:rPr>
          <w:rFonts w:eastAsia="Times New Roman"/>
        </w:rPr>
        <w:t xml:space="preserve"> (versão 1) contém </w:t>
      </w:r>
      <w:r>
        <w:rPr>
          <w:rFonts w:eastAsia="Times New Roman"/>
          <w:b/>
        </w:rPr>
        <w:t>13 models</w:t>
      </w:r>
      <w:r>
        <w:rPr>
          <w:rFonts w:eastAsia="Times New Roman"/>
        </w:rPr>
        <w:t xml:space="preserve"> e </w:t>
      </w:r>
      <w:r>
        <w:rPr>
          <w:rFonts w:eastAsia="Times New Roman"/>
          <w:b/>
        </w:rPr>
        <w:t>13 tabelas</w:t>
      </w:r>
      <w:r>
        <w:rPr>
          <w:rFonts w:eastAsia="Times New Roman"/>
        </w:rPr>
        <w:t xml:space="preserve"> locais.</w:t>
      </w:r>
    </w:p>
    <w:p w14:paraId="3D083805" w14:textId="77777777" w:rsidR="00E62C65" w:rsidRDefault="00474360">
      <w:r>
        <w:t>Observa-se uma limitação relacional da implementação local: as tabelas não possuem relacionamentos formais (chaves estrangeiras) entre os registros de domínio. Embora a configuração do banco ative o PRAGMA foreign_keys, nenhuma restrição de FOREIGN KEY/REFERENCES foi declarada. A implementação local assume implicitamente uma única gestante/gestação por instalação/dispositivo — uma limitação da implementação atual, e não uma decisão desejada para a arquitetura de persistência no backend (seção 4.7).</w:t>
      </w:r>
    </w:p>
    <w:p w14:paraId="7F59E5BD" w14:textId="77777777" w:rsidR="00E62C65" w:rsidRDefault="00E62C65"/>
    <w:p w14:paraId="36CF8044" w14:textId="77777777" w:rsidR="00E62C65" w:rsidRDefault="00E62C65"/>
    <w:p w14:paraId="51788D3D" w14:textId="77777777" w:rsidR="00E62C65" w:rsidRDefault="00E62C65"/>
    <w:p w14:paraId="18CF4384" w14:textId="77777777" w:rsidR="00E62C65" w:rsidRDefault="00E62C65"/>
    <w:p w14:paraId="625DD713" w14:textId="77777777" w:rsidR="00E62C65" w:rsidRDefault="00E62C65"/>
    <w:p w14:paraId="4510CF9D" w14:textId="77777777" w:rsidR="00E62C65" w:rsidRDefault="00E62C65"/>
    <w:p w14:paraId="30F9A077" w14:textId="77777777" w:rsidR="00E62C65" w:rsidRDefault="00474360">
      <w:pPr>
        <w:spacing w:after="0" w:line="360" w:lineRule="auto"/>
        <w:ind w:firstLine="709"/>
        <w:jc w:val="both"/>
      </w:pPr>
      <w:r>
        <w:rPr>
          <w:rFonts w:eastAsia="Times New Roman"/>
        </w:rPr>
        <w:lastRenderedPageBreak/>
        <w:t>A estratégia de evolução aprovada para a persistência do acompanhamento prevê que a API/backend passe a ser a fonte de verdade, substituindo progressivamente a dependência do SQLite local. A transição será feature por feature: cada recurso migra da implementação local para uma implementação REST, validada de ponta a ponta, e só então a API passa a ser a fonte de verdade daquela feature. Não haverá, nesta etapa, migração automática dos registros SQLite existentes, nem offline-first, sincronização ou cache distribuído (seção 4.7).</w:t>
      </w:r>
    </w:p>
    <w:p w14:paraId="738DB451" w14:textId="77777777" w:rsidR="00E62C65" w:rsidRDefault="00474360">
      <w:r>
        <w:t>A infraestrutura de persistência do backend — PostgreSQL 16, SQLAlchemy 2.x (síncrono) e Alembic — já foi implementada e validada (seções 4.1 e 5.9). Ainda assim, o SQLite continua sendo o estado atual da persistência no aplicativo: a troca por essa infraestrutura permanece planejada para etapas posteriores, feature por feature, por meio da API.</w:t>
      </w:r>
    </w:p>
    <w:p w14:paraId="1E4B8562" w14:textId="77777777" w:rsidR="00E62C65" w:rsidRDefault="00474360">
      <w:pPr>
        <w:pStyle w:val="Ttulo2"/>
      </w:pPr>
      <w:bookmarkStart w:id="43" w:name="_Toc238759979"/>
      <w:r>
        <w:rPr>
          <w:rFonts w:ascii="Times New Roman" w:eastAsia="Times New Roman" w:hAnsi="Times New Roman"/>
        </w:rPr>
        <w:t>4.5 Autenticação e estado atual do DSS</w:t>
      </w:r>
      <w:bookmarkEnd w:id="43"/>
    </w:p>
    <w:p w14:paraId="5248C11D" w14:textId="77777777" w:rsidR="00E62C65" w:rsidRDefault="00474360">
      <w:pPr>
        <w:spacing w:after="0" w:line="360" w:lineRule="auto"/>
        <w:ind w:firstLine="709"/>
        <w:jc w:val="both"/>
      </w:pPr>
      <w:r>
        <w:t xml:space="preserve">A </w:t>
      </w:r>
      <w:r>
        <w:rPr>
          <w:b/>
        </w:rPr>
        <w:t>autenticação</w:t>
      </w:r>
      <w:r>
        <w:t xml:space="preserve"> foi </w:t>
      </w:r>
      <w:r>
        <w:rPr>
          <w:b/>
        </w:rPr>
        <w:t>implementada no backend</w:t>
      </w:r>
      <w:r>
        <w:t xml:space="preserve"> (FastAPI) e é a primeira funcionalidade persistente conectada à infraestrutura de banco de dados da API.</w:t>
      </w:r>
    </w:p>
    <w:p w14:paraId="4C255E6F" w14:textId="77777777" w:rsidR="00E62C65" w:rsidRDefault="00474360">
      <w:r>
        <w:rPr>
          <w:b/>
        </w:rPr>
        <w:t>Backend — implementado.</w:t>
      </w:r>
      <w:r>
        <w:t xml:space="preserve"> A API expõe os endpoints de autenticação sob o prefixo /api/v1/auth:</w:t>
      </w:r>
    </w:p>
    <w:p w14:paraId="50A4AD8D" w14:textId="77777777" w:rsidR="00E62C65" w:rsidRDefault="00474360">
      <w:pPr>
        <w:pStyle w:val="Commarcadores"/>
      </w:pPr>
      <w:r>
        <w:t xml:space="preserve">POST /api/v1/auth/register — cadastro do usuário, com </w:t>
      </w:r>
      <w:r>
        <w:rPr>
          <w:b/>
        </w:rPr>
        <w:t>e-mail normalizado</w:t>
      </w:r>
      <w:r>
        <w:t xml:space="preserve"> e </w:t>
      </w:r>
      <w:r>
        <w:rPr>
          <w:b/>
        </w:rPr>
        <w:t>senha com hash Argon2id</w:t>
      </w:r>
      <w:r>
        <w:t xml:space="preserve"> (nunca armazenada em claro), devolvendo os tokens de acesso e de renovação;</w:t>
      </w:r>
    </w:p>
    <w:p w14:paraId="58A2E345" w14:textId="77777777" w:rsidR="00E62C65" w:rsidRDefault="00474360">
      <w:pPr>
        <w:pStyle w:val="Commarcadores"/>
      </w:pPr>
      <w:r>
        <w:t>POST /api/v1/auth/login — autenticação por e-mail e senha, com respostas equivalentes para e-mail inexistente e senha incorreta (anti-enumeração);</w:t>
      </w:r>
    </w:p>
    <w:p w14:paraId="7BF5C13A" w14:textId="77777777" w:rsidR="00E62C65" w:rsidRDefault="00474360">
      <w:pPr>
        <w:pStyle w:val="Commarcadores"/>
      </w:pPr>
      <w:r>
        <w:t xml:space="preserve">POST /api/v1/auth/refresh — renovação do par de tokens, com </w:t>
      </w:r>
      <w:r>
        <w:rPr>
          <w:b/>
        </w:rPr>
        <w:t>rotação simples</w:t>
      </w:r>
      <w:r>
        <w:t xml:space="preserve"> (a sessão utilizada é revogada e uma nova é emitida);</w:t>
      </w:r>
    </w:p>
    <w:p w14:paraId="1E02D53E" w14:textId="77777777" w:rsidR="00E62C65" w:rsidRDefault="00474360">
      <w:pPr>
        <w:pStyle w:val="Commarcadores"/>
      </w:pPr>
      <w:r>
        <w:t>POST /api/v1/auth/logout — revogação da sessão de renovação (o token de acesso permanece válido até sua expiração curta);</w:t>
      </w:r>
    </w:p>
    <w:p w14:paraId="6DBB7912" w14:textId="77777777" w:rsidR="00E62C65" w:rsidRDefault="00474360">
      <w:pPr>
        <w:pStyle w:val="Commarcadores"/>
      </w:pPr>
      <w:r>
        <w:t>GET /api/v1/auth/me — devolve o usuário autenticado a partir do token de acesso.</w:t>
      </w:r>
    </w:p>
    <w:p w14:paraId="4C20A7AB" w14:textId="77777777" w:rsidR="00E62C65" w:rsidRDefault="00474360">
      <w:r>
        <w:t xml:space="preserve">O </w:t>
      </w:r>
      <w:r>
        <w:rPr>
          <w:b/>
        </w:rPr>
        <w:t>usuário persistente</w:t>
      </w:r>
      <w:r>
        <w:t xml:space="preserve"> (USER) contém apenas </w:t>
      </w:r>
      <w:r>
        <w:rPr>
          <w:b/>
        </w:rPr>
        <w:t>identidade/autenticação</w:t>
      </w:r>
      <w:r>
        <w:t xml:space="preserve"> — identificador UUID, e-mail, hash de senha, flag de atividade e timestamps — e </w:t>
      </w:r>
      <w:r>
        <w:rPr>
          <w:b/>
        </w:rPr>
        <w:t>não</w:t>
      </w:r>
      <w:r>
        <w:t xml:space="preserve"> contém dados clínicos/pessoais da gestante (nome, CPF, CNS, nascimento ou histórico obstétrico), que pertencem ao domínio GESTANTE (seção 4.7). As </w:t>
      </w:r>
      <w:r>
        <w:rPr>
          <w:b/>
        </w:rPr>
        <w:t>sessões de renovação</w:t>
      </w:r>
      <w:r>
        <w:t xml:space="preserve"> são persistidas em AUTH_REFRESH_SESSION, guardando apenas identificadores e metadados — nunca o token em claro. Os tokens são </w:t>
      </w:r>
      <w:r>
        <w:rPr>
          <w:b/>
        </w:rPr>
        <w:t>JWT (HS256)</w:t>
      </w:r>
      <w:r>
        <w:t xml:space="preserve">, com </w:t>
      </w:r>
      <w:r>
        <w:rPr>
          <w:b/>
        </w:rPr>
        <w:t>separação obrigatória</w:t>
      </w:r>
      <w:r>
        <w:t xml:space="preserve"> entre token de </w:t>
      </w:r>
      <w:r>
        <w:rPr>
          <w:b/>
        </w:rPr>
        <w:t>acesso</w:t>
      </w:r>
      <w:r>
        <w:t xml:space="preserve"> (15 minutos) e token de </w:t>
      </w:r>
      <w:r>
        <w:rPr>
          <w:b/>
        </w:rPr>
        <w:t>renovação</w:t>
      </w:r>
      <w:r>
        <w:t xml:space="preserve"> (30 dias). A criação dessas tabelas corresponde à </w:t>
      </w:r>
      <w:r>
        <w:rPr>
          <w:b/>
        </w:rPr>
        <w:t>primeira migration real</w:t>
      </w:r>
      <w:r>
        <w:t xml:space="preserve"> do Alembic (0001).</w:t>
      </w:r>
    </w:p>
    <w:p w14:paraId="1BCD15FA" w14:textId="77777777" w:rsidR="00E62C65" w:rsidRDefault="00474360">
      <w:r>
        <w:rPr>
          <w:b/>
        </w:rPr>
        <w:t>Flutter — ainda não integrado.</w:t>
      </w:r>
      <w:r>
        <w:t xml:space="preserve"> A tela atual de login do aplicativo </w:t>
      </w:r>
      <w:r>
        <w:rPr>
          <w:b/>
        </w:rPr>
        <w:t>não</w:t>
      </w:r>
      <w:r>
        <w:t xml:space="preserve"> é conectada à nova API: os botões "Entrar" e "Criar nova conta" ainda navegam sem autenticar de fato, e o item "Sair" da aba Perfil ainda corresponde a navegação para a tela de login — </w:t>
      </w:r>
      <w:r>
        <w:rPr>
          <w:b/>
        </w:rPr>
        <w:t>não</w:t>
      </w:r>
      <w:r>
        <w:t xml:space="preserve"> a um logout autenticado real. O armazenamento seguro de tokens e a integração do aplicativo com os endpoints acima permanecem </w:t>
      </w:r>
      <w:r>
        <w:rPr>
          <w:b/>
        </w:rPr>
        <w:t>etapa futura</w:t>
      </w:r>
      <w:r>
        <w:t xml:space="preserve"> (seção 4.7).</w:t>
      </w:r>
    </w:p>
    <w:p w14:paraId="25D0DCE8" w14:textId="77777777" w:rsidR="00E62C65" w:rsidRDefault="00474360">
      <w:pPr>
        <w:spacing w:after="0" w:line="360" w:lineRule="auto"/>
        <w:ind w:firstLine="709"/>
        <w:jc w:val="both"/>
      </w:pPr>
      <w:r>
        <w:lastRenderedPageBreak/>
        <w:t xml:space="preserve">O fluxo DSS atual é </w:t>
      </w:r>
      <w:r>
        <w:rPr>
          <w:b/>
        </w:rPr>
        <w:t>stateless</w:t>
      </w:r>
      <w:r>
        <w:t xml:space="preserve"> e </w:t>
      </w:r>
      <w:r>
        <w:rPr>
          <w:b/>
        </w:rPr>
        <w:t>independente da autenticação</w:t>
      </w:r>
      <w:r>
        <w:t xml:space="preserve">: o endpoint POST /api/v1/risk-estimate </w:t>
      </w:r>
      <w:r>
        <w:rPr>
          <w:b/>
        </w:rPr>
        <w:t>não</w:t>
      </w:r>
      <w:r>
        <w:t xml:space="preserve"> exige login, </w:t>
      </w:r>
      <w:r>
        <w:rPr>
          <w:b/>
        </w:rPr>
        <w:t>não</w:t>
      </w:r>
      <w:r>
        <w:t xml:space="preserve"> envia token, </w:t>
      </w:r>
      <w:r>
        <w:rPr>
          <w:b/>
        </w:rPr>
        <w:t>não</w:t>
      </w:r>
      <w:r>
        <w:t xml:space="preserve"> possui identificador de usuária/gestante/gestação e </w:t>
      </w:r>
      <w:r>
        <w:rPr>
          <w:b/>
        </w:rPr>
        <w:t>não</w:t>
      </w:r>
      <w:r>
        <w:t xml:space="preserve"> persiste a avaliação. A autenticação </w:t>
      </w:r>
      <w:r>
        <w:rPr>
          <w:b/>
        </w:rPr>
        <w:t>não</w:t>
      </w:r>
      <w:r>
        <w:t xml:space="preserve"> é aplicada globalmente — apenas nas rotas que a exigem — e sua indisponibilidade </w:t>
      </w:r>
      <w:r>
        <w:rPr>
          <w:b/>
        </w:rPr>
        <w:t>não</w:t>
      </w:r>
      <w:r>
        <w:t xml:space="preserve"> afeta o fluxo de inferência DSS.</w:t>
      </w:r>
    </w:p>
    <w:p w14:paraId="58B775E3" w14:textId="77777777" w:rsidR="00E62C65" w:rsidRDefault="00474360">
      <w:pPr>
        <w:pStyle w:val="Ttulo2"/>
      </w:pPr>
      <w:bookmarkStart w:id="44" w:name="_Toc238759980"/>
      <w:r>
        <w:rPr>
          <w:rFonts w:ascii="Times New Roman" w:eastAsia="Times New Roman" w:hAnsi="Times New Roman"/>
        </w:rPr>
        <w:t>4.6 Onde o IV-DSS é calculado</w:t>
      </w:r>
      <w:bookmarkEnd w:id="44"/>
    </w:p>
    <w:p w14:paraId="11327BDB" w14:textId="77777777" w:rsidR="00E62C65" w:rsidRDefault="00474360">
      <w:pPr>
        <w:spacing w:after="0" w:line="360" w:lineRule="auto"/>
        <w:ind w:firstLine="709"/>
        <w:jc w:val="both"/>
      </w:pPr>
      <w:r>
        <w:rPr>
          <w:rFonts w:eastAsia="Times New Roman"/>
        </w:rPr>
        <w:t xml:space="preserve">O IV-DSS é calculado em </w:t>
      </w:r>
      <w:r>
        <w:rPr>
          <w:rFonts w:eastAsia="Times New Roman"/>
          <w:b/>
        </w:rPr>
        <w:t>etapa analítica independente</w:t>
      </w:r>
      <w:r>
        <w:rPr>
          <w:rFonts w:eastAsia="Times New Roman"/>
        </w:rPr>
        <w:t xml:space="preserve"> no pipeline Python (</w:t>
      </w:r>
      <w:r>
        <w:rPr>
          <w:rFonts w:ascii="Courier New" w:eastAsia="Courier New" w:hAnsi="Courier New"/>
          <w:sz w:val="22"/>
        </w:rPr>
        <w:t>meu_bebe_ml</w:t>
      </w:r>
      <w:r>
        <w:rPr>
          <w:rFonts w:eastAsia="Times New Roman"/>
        </w:rPr>
        <w:t xml:space="preserve">), e </w:t>
      </w:r>
      <w:r>
        <w:rPr>
          <w:rFonts w:eastAsia="Times New Roman"/>
          <w:b/>
        </w:rPr>
        <w:t>não</w:t>
      </w:r>
      <w:r>
        <w:rPr>
          <w:rFonts w:eastAsia="Times New Roman"/>
        </w:rPr>
        <w:t xml:space="preserve"> no aplicativo nem na API — nesta versão. Distinção explícita:</w:t>
      </w:r>
    </w:p>
    <w:p w14:paraId="58C633BC" w14:textId="77777777" w:rsidR="00E62C65" w:rsidRDefault="00474360">
      <w:pPr>
        <w:pStyle w:val="Commarcadores"/>
        <w:spacing w:line="360" w:lineRule="auto"/>
        <w:ind w:left="454" w:hanging="227"/>
      </w:pPr>
      <w:r>
        <w:rPr>
          <w:rFonts w:eastAsia="Times New Roman"/>
          <w:b/>
        </w:rPr>
        <w:t>IV-DSS</w:t>
      </w:r>
      <w:r>
        <w:rPr>
          <w:rFonts w:eastAsia="Times New Roman"/>
        </w:rPr>
        <w:t xml:space="preserve"> = cálculo analítico independente a partir de </w:t>
      </w:r>
      <w:r>
        <w:rPr>
          <w:rFonts w:ascii="Courier New" w:eastAsia="Courier New" w:hAnsi="Courier New"/>
          <w:sz w:val="22"/>
        </w:rPr>
        <w:t>Q_full</w:t>
      </w:r>
      <w:r>
        <w:rPr>
          <w:rFonts w:eastAsia="Times New Roman"/>
        </w:rPr>
        <w:t xml:space="preserve">; </w:t>
      </w:r>
      <w:r>
        <w:rPr>
          <w:rFonts w:eastAsia="Times New Roman"/>
          <w:b/>
        </w:rPr>
        <w:t>não</w:t>
      </w:r>
      <w:r>
        <w:rPr>
          <w:rFonts w:eastAsia="Times New Roman"/>
        </w:rPr>
        <w:t xml:space="preserve"> entra no pré-processamento do modelo principal como feature.</w:t>
      </w:r>
    </w:p>
    <w:p w14:paraId="46BB8F75" w14:textId="77777777" w:rsidR="00E62C65" w:rsidRDefault="00474360">
      <w:pPr>
        <w:pStyle w:val="Commarcadores"/>
        <w:spacing w:line="360" w:lineRule="auto"/>
        <w:ind w:left="454" w:hanging="227"/>
      </w:pPr>
      <w:r>
        <w:rPr>
          <w:rFonts w:eastAsia="Times New Roman"/>
          <w:b/>
        </w:rPr>
        <w:t>Pré-processamento de ML</w:t>
      </w:r>
      <w:r>
        <w:rPr>
          <w:rFonts w:eastAsia="Times New Roman"/>
        </w:rPr>
        <w:t xml:space="preserve"> = preparação de </w:t>
      </w:r>
      <w:r>
        <w:rPr>
          <w:rFonts w:ascii="Courier New" w:eastAsia="Courier New" w:hAnsi="Courier New"/>
          <w:sz w:val="22"/>
        </w:rPr>
        <w:t>X_model</w:t>
      </w:r>
      <w:r>
        <w:rPr>
          <w:rFonts w:eastAsia="Times New Roman"/>
        </w:rPr>
        <w:t xml:space="preserve"> para os classificadores (one-hot, multi-hot, ordinais, booleanos).</w:t>
      </w:r>
    </w:p>
    <w:p w14:paraId="247B6561" w14:textId="77777777" w:rsidR="00E62C65" w:rsidRDefault="00474360">
      <w:pPr>
        <w:pStyle w:val="Ttulo2"/>
      </w:pPr>
      <w:bookmarkStart w:id="45" w:name="_Toc238759981"/>
      <w:r>
        <w:t>4.7 Domínio de acompanhamento: implementação e evolução planejada</w:t>
      </w:r>
      <w:bookmarkEnd w:id="45"/>
    </w:p>
    <w:p w14:paraId="2CED06F7" w14:textId="77777777" w:rsidR="00E62C65" w:rsidRDefault="00474360">
      <w:pPr>
        <w:spacing w:after="0" w:line="360" w:lineRule="auto"/>
        <w:ind w:firstLine="709"/>
        <w:jc w:val="both"/>
      </w:pPr>
      <w:r>
        <w:t>A arquitetura descrita até aqui corresponde ao estado atual implementado — o aplicativo persiste o acompanhamento localmente em SQLite, o fluxo DSS utiliza a API apenas para a estimativa experimental (de forma stateless), e o backend já conta com autenticação real (seção 4.5) e com o domínio de acompanhamento pré-natal parcialmente implementado: as entidades GESTANTE, GESTAÇÃO e HISTÓRICO OBSTÉTRICO, com persistência em PostgreSQL (migrations 0002 e 0003) e operações CRUD protegidas por propriedade de dados. A seguir apresentam-se as entidades e relacionamentos que estruturam o domínio, distinguindo o que já foi implementado do que permanece planejado. A Figura 7 apresenta o diagrama entidade-relacionamento correspondente.</w:t>
      </w:r>
    </w:p>
    <w:p w14:paraId="1C310B92" w14:textId="77777777" w:rsidR="00E62C65" w:rsidRDefault="00474360">
      <w:pPr>
        <w:spacing w:after="0" w:line="360" w:lineRule="auto"/>
        <w:ind w:firstLine="709"/>
        <w:jc w:val="both"/>
      </w:pPr>
      <w:r>
        <w:rPr>
          <w:rFonts w:eastAsia="Times New Roman"/>
        </w:rPr>
        <w:t>Conceitualmente, o domínio evoluirá para as seguintes entidades e relacionamentos:</w:t>
      </w:r>
    </w:p>
    <w:p w14:paraId="2095B1B7" w14:textId="77777777" w:rsidR="00E62C65" w:rsidRDefault="00474360">
      <w:pPr>
        <w:pStyle w:val="CodeBlock"/>
        <w:shd w:val="clear" w:color="auto" w:fill="F2F2F2"/>
      </w:pPr>
      <w:r>
        <w:t>USER 1 ─ 1 GESTANTE                     (implementado — migration 0002)</w:t>
      </w:r>
      <w:r>
        <w:br/>
        <w:t>GESTANTE 1 ─ N GESTACAO                 (implementado — migration 0002)</w:t>
      </w:r>
      <w:r>
        <w:br/>
        <w:t>GESTANTE 1 ─ 1 HISTORICO_OBSTETRICO     (implementado — migration 0003)</w:t>
      </w:r>
      <w:r>
        <w:br/>
        <w:t>GESTACAO 1 ─ N CONSULTA                 (planejado)</w:t>
      </w:r>
      <w:r>
        <w:br/>
        <w:t>GESTACAO 1 ─ N EXAME                    (planejado)</w:t>
      </w:r>
      <w:r>
        <w:br/>
        <w:t>GESTACAO 1 ─ N MEDICACAO                (planejado)</w:t>
      </w:r>
      <w:r>
        <w:br/>
        <w:t>GESTACAO 1 ─ N VACINA                   (planejado)</w:t>
      </w:r>
      <w:r>
        <w:br/>
        <w:t>GESTACAO 1 ─ 0..1 PLANO_DE_PARTO        (planejado)</w:t>
      </w:r>
      <w:r>
        <w:br/>
        <w:t>GESTACAO 1 ─ N AVALIACAO_DSS            (planejado)</w:t>
      </w:r>
    </w:p>
    <w:p w14:paraId="29CF6C82" w14:textId="77777777" w:rsidR="00E62C65" w:rsidRDefault="00474360">
      <w:pPr>
        <w:spacing w:after="0" w:line="360" w:lineRule="auto"/>
        <w:ind w:firstLine="709"/>
        <w:jc w:val="both"/>
      </w:pPr>
      <w:r>
        <w:t xml:space="preserve">Nessa arquitetura, USER representa a identidade/autenticação e GESTANTE o perfil pessoal (nome, nome social, data de nascimento, CPF — se utilizado — e Cartão Nacional de Saúde); GESTAÇÃO representa cada gestação individual, com data da última menstruação, local do pré-natal, profissional, contato do local e data de encerramento (quando encerrada). </w:t>
      </w:r>
      <w:r>
        <w:lastRenderedPageBreak/>
        <w:t>O histórico obstétrico atual — o número de gestações, o número de partos e o número de abortos — pertence à GESTANTE e não representa a gestação corrente nem uma gestação anterior individual, sendo modelado como HISTORICO_OBSTETRICO, em relacionamento 1—1 com a GESTANTE. Cada GESTACAO possui identidade própria, e as demais entidades do pré-natal (consultas, exames, medicamentos, vacinas, plano de parto e avaliação DSS) ficam associadas à gestação.</w:t>
      </w:r>
    </w:p>
    <w:p w14:paraId="15828574" w14:textId="77777777" w:rsidR="00E62C65" w:rsidRDefault="00474360">
      <w:pPr>
        <w:spacing w:after="0" w:line="360" w:lineRule="auto"/>
        <w:ind w:firstLine="709"/>
        <w:jc w:val="both"/>
      </w:pPr>
      <w:r>
        <w:t>A persistência do domínio de acompanhamento adota PostgreSQL como banco, SQLAlchemy 2.x como camada ORM e Alembic para migrações versionadas, com integridade referencial formal (chaves estrangeiras), timestamps e identificadores UUID v4. A infraestrutura de persistência correspondente já foi implementada e validada — PostgreSQL 16, SQLAlchemy 2.x em modo síncrono e Alembic configurado (seções 4.1 e 5.9) — e a migration 0002 criou as tabelas gestantes e gestacoes, com o índice único parcial uq_gestacoes_active_per_gestante (gestante_id WHERE ended_at IS NULL), que garante uma única gestação ativa por gestante, e a migration 0003 criou a tabela historicos_obstetricos, com chave estrangeira para gestantes e restrição UNIQUE em gestante_id (1—1). Permanecem futuras as demais entidades de domínio (CONSULTA, EXAME, MEDICACAO, VACINA, PLANO_DE_PARTO, AVALIACAO_DSS), suas migrations e o CRUD correspondente. A adoção do modo síncrono decorreu da adequação às características desta solução — endpoints síncronos, ausência de demanda concreta por I/O concorrente intenso, menor complexidade de implementação e maior simplicidade em transações, testes e manutenção — sem que isso constitua juízo de que a abordagem assíncrona seja inferior em geral. O CPF, quando utilizado, pertence ao perfil da gestante e não é chave primária nem credencial de login automática.</w:t>
      </w:r>
    </w:p>
    <w:p w14:paraId="4B467EE5" w14:textId="77777777" w:rsidR="00E62C65" w:rsidRDefault="00474360">
      <w:pPr>
        <w:spacing w:after="0" w:line="360" w:lineRule="auto"/>
        <w:ind w:firstLine="709"/>
        <w:jc w:val="both"/>
      </w:pPr>
      <w:r>
        <w:t xml:space="preserve">A API/backend constitui a fonte de verdade do acompanhamento pré-natal no backend, com autorização por propriedade de dados (ownership) aplicada pelo caminho USER → GESTANTE → {GESTACAO, HISTÓRICO OBSTÉTRICO}, impedindo o acesso a registros de outra usuária — sobre a autenticação já implementada (seção 4.5). Para GESTANTE, GESTAÇÃO e HISTÓRICO OBSTÉTRICO, essa autorização já foi implementada e validada: um usuário autenticado acessa exclusivamente o próprio perfil, as próprias gestações e o próprio histórico obstétrico, e a tentativa de acessar registro alheio é indistinguível de recurso inexistente (404). O histórico obstétrico é acessado por GET e PUT em /api/v1/gestantes/me/historico-obstetrico; o PUT opera como UPSERT de singleton — a primeira escrita cria o registro e as seguintes atualizam a mesma linha, preservando o identificador e o vínculo com a GESTANTE. Distinguem-se, assim, autenticação (“quem é a </w:t>
      </w:r>
      <w:r>
        <w:lastRenderedPageBreak/>
        <w:t>usuária”) — já implementada no backend — de autorização (“quais registros ela pode acessar”), que para o domínio GESTANTE/GESTAÇÃO/HISTÓRICO OBSTÉTRICO já se encontra implementada; trata-se de controle de propriedade/autorização, e não de “multi-tenancy”.</w:t>
      </w:r>
    </w:p>
    <w:p w14:paraId="6A7EE32B" w14:textId="77777777" w:rsidR="00E62C65" w:rsidRDefault="00474360">
      <w:pPr>
        <w:spacing w:after="0" w:line="360" w:lineRule="auto"/>
        <w:ind w:firstLine="709"/>
        <w:jc w:val="both"/>
      </w:pPr>
      <w:r>
        <w:t>A transição do SQLite para a API será incremental, feature por feature: cada recurso migra da implementação local para a implementação REST, validado de ponta a ponta, e só então a API passa a ser a fonte de verdade daquela feature. As primeiras features a migrar — o perfil da gestante (GESTANTE), a gestação corrente (GESTAÇÃO) e o histórico obstétrico (HISTÓRICO OBSTÉTRICO) — já foram implementadas e validadas no backend. Não haverá, nesta etapa, migração automática dos registros SQLite existentes, nem offline-first, sincronização ou cache distribuído; essas capacidades poderão ser avaliadas apenas posteriormente.</w:t>
      </w:r>
    </w:p>
    <w:p w14:paraId="20DDC981" w14:textId="77777777" w:rsidR="00E62C65" w:rsidRDefault="00474360">
      <w:r>
        <w:t>Em síntese, esta subseção registra uma arquitetura de domínio da qual já se encontram implementados e validados no backend: a autenticação (USER e AUTH_REFRESH_SESSION, seções 4.5 e 5.9) e as entidades GESTANTE, GESTAÇÃO e HISTÓRICO OBSTÉTRICO, com persistência (migrations 0002 e 0003), regra de gestação ativa única e autorização por propriedade de dados (seções 4.7 e 5.9). As demais entidades (consultas, exames, medicamentos, vacinas, plano de parto e avaliação DSS) permanecem planejadas. O fluxo DSS (POST /api/v1/risk-estimate) permanece inalterado: stateless, sem autenticação e sem persistência operacional.</w:t>
      </w:r>
    </w:p>
    <w:p w14:paraId="77882E61" w14:textId="77777777" w:rsidR="00E62C65" w:rsidRDefault="00474360">
      <w:r>
        <w:br w:type="page"/>
      </w:r>
    </w:p>
    <w:p w14:paraId="3E683B3F" w14:textId="77777777" w:rsidR="00114E20" w:rsidRDefault="00D41E34">
      <w:pPr>
        <w:jc w:val="center"/>
      </w:pPr>
      <w:r>
        <w:lastRenderedPageBreak/>
        <w:t>Figura 7 — Diagrama entidade-relacionamento do domínio de acompanhamento (USER → GESTANTE → HISTÓRICO OBSTÉTRICO e GESTAÇÃO)</w:t>
      </w:r>
    </w:p>
    <w:p w14:paraId="3FB5AB0A" w14:textId="77777777" w:rsidR="00114E20" w:rsidRDefault="00D41E34">
      <w:pPr>
        <w:jc w:val="center"/>
      </w:pPr>
      <w:r>
        <w:rPr>
          <w:noProof/>
        </w:rPr>
        <w:drawing>
          <wp:inline distT="0" distB="0" distL="0" distR="0" wp14:anchorId="17746375" wp14:editId="67182DA9">
            <wp:extent cx="5400000" cy="3507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dominio.png"/>
                    <pic:cNvPicPr/>
                  </pic:nvPicPr>
                  <pic:blipFill>
                    <a:blip r:embed="rId14"/>
                    <a:stretch>
                      <a:fillRect/>
                    </a:stretch>
                  </pic:blipFill>
                  <pic:spPr>
                    <a:xfrm>
                      <a:off x="0" y="0"/>
                      <a:ext cx="5400000" cy="3507835"/>
                    </a:xfrm>
                    <a:prstGeom prst="rect">
                      <a:avLst/>
                    </a:prstGeom>
                  </pic:spPr>
                </pic:pic>
              </a:graphicData>
            </a:graphic>
          </wp:inline>
        </w:drawing>
      </w:r>
    </w:p>
    <w:p w14:paraId="376F7F97" w14:textId="77777777" w:rsidR="00114E20" w:rsidRDefault="00D41E34">
      <w:pPr>
        <w:jc w:val="center"/>
      </w:pPr>
      <w:r>
        <w:rPr>
          <w:sz w:val="18"/>
        </w:rPr>
        <w:t>Fonte: elaborado pelo autor.</w:t>
      </w:r>
    </w:p>
    <w:p w14:paraId="4B7E9F58" w14:textId="77777777" w:rsidR="00E62C65" w:rsidRDefault="00474360">
      <w:pPr>
        <w:pStyle w:val="Ttulo1"/>
        <w:spacing w:before="0"/>
      </w:pPr>
      <w:bookmarkStart w:id="46" w:name="_Toc238759982"/>
      <w:r>
        <w:rPr>
          <w:rFonts w:ascii="Times New Roman" w:eastAsia="Times New Roman" w:hAnsi="Times New Roman"/>
        </w:rPr>
        <w:t>5 RESULTADOS E DISCUSSÃO</w:t>
      </w:r>
      <w:bookmarkEnd w:id="46"/>
    </w:p>
    <w:p w14:paraId="53B3C47D" w14:textId="77777777" w:rsidR="00E62C65" w:rsidRDefault="00E62C65"/>
    <w:p w14:paraId="3285E13A" w14:textId="77777777" w:rsidR="00E62C65" w:rsidRDefault="00474360">
      <w:pPr>
        <w:pStyle w:val="Ttulo2"/>
      </w:pPr>
      <w:bookmarkStart w:id="47" w:name="_Toc238759983"/>
      <w:r>
        <w:rPr>
          <w:rFonts w:ascii="Times New Roman" w:eastAsia="Times New Roman" w:hAnsi="Times New Roman"/>
        </w:rPr>
        <w:t>5.1 Conjunto sintético e protocolo</w:t>
      </w:r>
      <w:bookmarkEnd w:id="47"/>
    </w:p>
    <w:p w14:paraId="551E4489" w14:textId="77777777" w:rsidR="00E62C65" w:rsidRDefault="00474360">
      <w:pPr>
        <w:spacing w:after="0" w:line="360" w:lineRule="auto"/>
        <w:ind w:firstLine="709"/>
        <w:jc w:val="both"/>
      </w:pPr>
      <w:r>
        <w:rPr>
          <w:rFonts w:eastAsia="Times New Roman"/>
        </w:rPr>
        <w:t xml:space="preserve">O experimento utilizou um dataset sintético de </w:t>
      </w:r>
      <w:r>
        <w:rPr>
          <w:rFonts w:eastAsia="Times New Roman"/>
          <w:b/>
        </w:rPr>
        <w:t>5.000 registros</w:t>
      </w:r>
      <w:r>
        <w:rPr>
          <w:rFonts w:eastAsia="Times New Roman"/>
        </w:rPr>
        <w:t xml:space="preserve"> (seed fixa </w:t>
      </w:r>
      <w:r>
        <w:rPr>
          <w:rFonts w:ascii="Courier New" w:eastAsia="Courier New" w:hAnsi="Courier New"/>
          <w:sz w:val="22"/>
        </w:rPr>
        <w:t>42</w:t>
      </w:r>
      <w:r>
        <w:rPr>
          <w:rFonts w:eastAsia="Times New Roman"/>
        </w:rPr>
        <w:t xml:space="preserve">), com proporção sintética planejada de ~25% de casos positivos. A divisão estratificada resultou em </w:t>
      </w:r>
      <w:r>
        <w:rPr>
          <w:rFonts w:eastAsia="Times New Roman"/>
          <w:b/>
        </w:rPr>
        <w:t>4.000 registros de treino</w:t>
      </w:r>
      <w:r>
        <w:rPr>
          <w:rFonts w:eastAsia="Times New Roman"/>
        </w:rPr>
        <w:t xml:space="preserve"> e </w:t>
      </w:r>
      <w:r>
        <w:rPr>
          <w:rFonts w:eastAsia="Times New Roman"/>
          <w:b/>
        </w:rPr>
        <w:t>1.000 de teste</w:t>
      </w:r>
      <w:r>
        <w:rPr>
          <w:rFonts w:eastAsia="Times New Roman"/>
        </w:rPr>
        <w:t xml:space="preserve">, com razão de positivos preservada (~24,4%). O pré-processamento transformou as </w:t>
      </w:r>
      <w:r>
        <w:rPr>
          <w:rFonts w:eastAsia="Times New Roman"/>
          <w:b/>
        </w:rPr>
        <w:t>34 variáveis brutas</w:t>
      </w:r>
      <w:r>
        <w:rPr>
          <w:rFonts w:eastAsia="Times New Roman"/>
        </w:rPr>
        <w:t xml:space="preserve"> de </w:t>
      </w:r>
      <w:r>
        <w:rPr>
          <w:rFonts w:ascii="Courier New" w:eastAsia="Courier New" w:hAnsi="Courier New"/>
          <w:sz w:val="22"/>
        </w:rPr>
        <w:t>X_model</w:t>
      </w:r>
      <w:r>
        <w:rPr>
          <w:rFonts w:eastAsia="Times New Roman"/>
        </w:rPr>
        <w:t xml:space="preserve"> em </w:t>
      </w:r>
      <w:r>
        <w:rPr>
          <w:rFonts w:eastAsia="Times New Roman"/>
          <w:b/>
        </w:rPr>
        <w:t>96 features</w:t>
      </w:r>
      <w:r>
        <w:rPr>
          <w:rFonts w:eastAsia="Times New Roman"/>
        </w:rPr>
        <w:t xml:space="preserve"> numéricas.</w:t>
      </w:r>
    </w:p>
    <w:p w14:paraId="05382D24" w14:textId="77777777" w:rsidR="00114E20" w:rsidRDefault="00D41E34">
      <w:r>
        <w:rPr>
          <w:b/>
        </w:rPr>
        <w:t>Tabela 3 – Configuração do dataset sintético experimental</w:t>
      </w:r>
    </w:p>
    <w:tbl>
      <w:tblPr>
        <w:tblStyle w:val="Tabelacomgrade"/>
        <w:tblW w:w="0" w:type="auto"/>
        <w:tblLook w:val="04A0" w:firstRow="1" w:lastRow="0" w:firstColumn="1" w:lastColumn="0" w:noHBand="0" w:noVBand="1"/>
      </w:tblPr>
      <w:tblGrid>
        <w:gridCol w:w="4535"/>
        <w:gridCol w:w="4535"/>
      </w:tblGrid>
      <w:tr w:rsidR="00114E20" w14:paraId="6C55E750" w14:textId="77777777">
        <w:tc>
          <w:tcPr>
            <w:tcW w:w="4535" w:type="dxa"/>
          </w:tcPr>
          <w:p w14:paraId="57286ABC" w14:textId="77777777" w:rsidR="00114E20" w:rsidRDefault="00D41E34">
            <w:r>
              <w:rPr>
                <w:b/>
                <w:sz w:val="18"/>
              </w:rPr>
              <w:t>Parâmetro</w:t>
            </w:r>
          </w:p>
        </w:tc>
        <w:tc>
          <w:tcPr>
            <w:tcW w:w="4535" w:type="dxa"/>
          </w:tcPr>
          <w:p w14:paraId="44939207" w14:textId="77777777" w:rsidR="00114E20" w:rsidRDefault="00D41E34">
            <w:r>
              <w:rPr>
                <w:b/>
                <w:sz w:val="18"/>
              </w:rPr>
              <w:t>Valor</w:t>
            </w:r>
          </w:p>
        </w:tc>
      </w:tr>
      <w:tr w:rsidR="00114E20" w14:paraId="415E74DA" w14:textId="77777777">
        <w:tc>
          <w:tcPr>
            <w:tcW w:w="4535" w:type="dxa"/>
          </w:tcPr>
          <w:p w14:paraId="3697E0EC" w14:textId="77777777" w:rsidR="00114E20" w:rsidRDefault="00D41E34">
            <w:r>
              <w:rPr>
                <w:sz w:val="18"/>
              </w:rPr>
              <w:t>Versão do schema</w:t>
            </w:r>
          </w:p>
        </w:tc>
        <w:tc>
          <w:tcPr>
            <w:tcW w:w="4535" w:type="dxa"/>
          </w:tcPr>
          <w:p w14:paraId="7B9C971F" w14:textId="77777777" w:rsidR="00114E20" w:rsidRDefault="00D41E34">
            <w:r>
              <w:rPr>
                <w:sz w:val="18"/>
              </w:rPr>
              <w:t>1.13</w:t>
            </w:r>
          </w:p>
        </w:tc>
      </w:tr>
      <w:tr w:rsidR="00114E20" w14:paraId="6843267E" w14:textId="77777777">
        <w:tc>
          <w:tcPr>
            <w:tcW w:w="4535" w:type="dxa"/>
          </w:tcPr>
          <w:p w14:paraId="5FB59AF2" w14:textId="77777777" w:rsidR="00114E20" w:rsidRDefault="00D41E34">
            <w:r>
              <w:rPr>
                <w:sz w:val="18"/>
              </w:rPr>
              <w:t>Registros gerados (n)</w:t>
            </w:r>
          </w:p>
        </w:tc>
        <w:tc>
          <w:tcPr>
            <w:tcW w:w="4535" w:type="dxa"/>
          </w:tcPr>
          <w:p w14:paraId="55062841" w14:textId="77777777" w:rsidR="00114E20" w:rsidRDefault="00D41E34">
            <w:r>
              <w:rPr>
                <w:sz w:val="18"/>
              </w:rPr>
              <w:t>5.000</w:t>
            </w:r>
          </w:p>
        </w:tc>
      </w:tr>
      <w:tr w:rsidR="00114E20" w14:paraId="62B0EC00" w14:textId="77777777">
        <w:tc>
          <w:tcPr>
            <w:tcW w:w="4535" w:type="dxa"/>
          </w:tcPr>
          <w:p w14:paraId="7328AAA7" w14:textId="77777777" w:rsidR="00114E20" w:rsidRDefault="00D41E34">
            <w:r>
              <w:rPr>
                <w:sz w:val="18"/>
              </w:rPr>
              <w:t>Seed</w:t>
            </w:r>
          </w:p>
        </w:tc>
        <w:tc>
          <w:tcPr>
            <w:tcW w:w="4535" w:type="dxa"/>
          </w:tcPr>
          <w:p w14:paraId="7A27C4AC" w14:textId="77777777" w:rsidR="00114E20" w:rsidRDefault="00D41E34">
            <w:r>
              <w:rPr>
                <w:sz w:val="18"/>
              </w:rPr>
              <w:t>42</w:t>
            </w:r>
          </w:p>
        </w:tc>
      </w:tr>
      <w:tr w:rsidR="00114E20" w14:paraId="4E64A32F" w14:textId="77777777">
        <w:tc>
          <w:tcPr>
            <w:tcW w:w="4535" w:type="dxa"/>
          </w:tcPr>
          <w:p w14:paraId="385A9D08" w14:textId="77777777" w:rsidR="00114E20" w:rsidRDefault="00D41E34">
            <w:r>
              <w:rPr>
                <w:sz w:val="18"/>
              </w:rPr>
              <w:t>Registros de treino</w:t>
            </w:r>
          </w:p>
        </w:tc>
        <w:tc>
          <w:tcPr>
            <w:tcW w:w="4535" w:type="dxa"/>
          </w:tcPr>
          <w:p w14:paraId="07471E5E" w14:textId="77777777" w:rsidR="00114E20" w:rsidRDefault="00D41E34">
            <w:r>
              <w:rPr>
                <w:sz w:val="18"/>
              </w:rPr>
              <w:t>4.000</w:t>
            </w:r>
          </w:p>
        </w:tc>
      </w:tr>
      <w:tr w:rsidR="00114E20" w14:paraId="24BDA811" w14:textId="77777777">
        <w:tc>
          <w:tcPr>
            <w:tcW w:w="4535" w:type="dxa"/>
          </w:tcPr>
          <w:p w14:paraId="05D53445" w14:textId="77777777" w:rsidR="00114E20" w:rsidRDefault="00D41E34">
            <w:r>
              <w:rPr>
                <w:sz w:val="18"/>
              </w:rPr>
              <w:t>Registros de teste</w:t>
            </w:r>
          </w:p>
        </w:tc>
        <w:tc>
          <w:tcPr>
            <w:tcW w:w="4535" w:type="dxa"/>
          </w:tcPr>
          <w:p w14:paraId="5F42E7A6" w14:textId="77777777" w:rsidR="00114E20" w:rsidRDefault="00D41E34">
            <w:r>
              <w:rPr>
                <w:sz w:val="18"/>
              </w:rPr>
              <w:t>1.000</w:t>
            </w:r>
          </w:p>
        </w:tc>
      </w:tr>
      <w:tr w:rsidR="00114E20" w14:paraId="1105953C" w14:textId="77777777">
        <w:tc>
          <w:tcPr>
            <w:tcW w:w="4535" w:type="dxa"/>
          </w:tcPr>
          <w:p w14:paraId="1AE56912" w14:textId="77777777" w:rsidR="00114E20" w:rsidRDefault="00D41E34">
            <w:r>
              <w:rPr>
                <w:sz w:val="18"/>
              </w:rPr>
              <w:lastRenderedPageBreak/>
              <w:t>Taxa de positivos (sintética)</w:t>
            </w:r>
          </w:p>
        </w:tc>
        <w:tc>
          <w:tcPr>
            <w:tcW w:w="4535" w:type="dxa"/>
          </w:tcPr>
          <w:p w14:paraId="6DFCA9A8" w14:textId="77777777" w:rsidR="00114E20" w:rsidRDefault="00D41E34">
            <w:r>
              <w:rPr>
                <w:sz w:val="18"/>
              </w:rPr>
              <w:t>24,42%</w:t>
            </w:r>
          </w:p>
        </w:tc>
      </w:tr>
      <w:tr w:rsidR="00114E20" w14:paraId="4F2EE8C6" w14:textId="77777777">
        <w:tc>
          <w:tcPr>
            <w:tcW w:w="4535" w:type="dxa"/>
          </w:tcPr>
          <w:p w14:paraId="1E3AD45F" w14:textId="77777777" w:rsidR="00114E20" w:rsidRDefault="00D41E34">
            <w:r>
              <w:rPr>
                <w:sz w:val="18"/>
              </w:rPr>
              <w:t>Variáveis de entrada (X_model)</w:t>
            </w:r>
          </w:p>
        </w:tc>
        <w:tc>
          <w:tcPr>
            <w:tcW w:w="4535" w:type="dxa"/>
          </w:tcPr>
          <w:p w14:paraId="51F2157B" w14:textId="77777777" w:rsidR="00114E20" w:rsidRDefault="00D41E34">
            <w:r>
              <w:rPr>
                <w:sz w:val="18"/>
              </w:rPr>
              <w:t>34</w:t>
            </w:r>
          </w:p>
        </w:tc>
      </w:tr>
      <w:tr w:rsidR="00114E20" w14:paraId="28FF5931" w14:textId="77777777">
        <w:tc>
          <w:tcPr>
            <w:tcW w:w="4535" w:type="dxa"/>
          </w:tcPr>
          <w:p w14:paraId="55A4CCA5" w14:textId="77777777" w:rsidR="00114E20" w:rsidRDefault="00D41E34">
            <w:r>
              <w:rPr>
                <w:sz w:val="18"/>
              </w:rPr>
              <w:t>Features após transformação</w:t>
            </w:r>
          </w:p>
        </w:tc>
        <w:tc>
          <w:tcPr>
            <w:tcW w:w="4535" w:type="dxa"/>
          </w:tcPr>
          <w:p w14:paraId="2E4BB22E" w14:textId="77777777" w:rsidR="00114E20" w:rsidRDefault="00D41E34">
            <w:r>
              <w:rPr>
                <w:sz w:val="18"/>
              </w:rPr>
              <w:t>96</w:t>
            </w:r>
          </w:p>
        </w:tc>
      </w:tr>
    </w:tbl>
    <w:p w14:paraId="670D7567" w14:textId="77777777" w:rsidR="00114E20" w:rsidRDefault="00D41E34">
      <w:r>
        <w:t>Fonte: elaboração própria (2026), a partir dos artefatos do experimento.</w:t>
      </w:r>
    </w:p>
    <w:p w14:paraId="0A5DF100" w14:textId="77777777" w:rsidR="00E62C65" w:rsidRDefault="00474360">
      <w:pPr>
        <w:pStyle w:val="Ttulo2"/>
      </w:pPr>
      <w:bookmarkStart w:id="48" w:name="_Toc238759984"/>
      <w:r>
        <w:rPr>
          <w:rFonts w:ascii="Times New Roman" w:eastAsia="Times New Roman" w:hAnsi="Times New Roman"/>
        </w:rPr>
        <w:t>5.2 Comparação e seleção de modelos</w:t>
      </w:r>
      <w:bookmarkEnd w:id="48"/>
    </w:p>
    <w:p w14:paraId="50F334C9" w14:textId="77777777" w:rsidR="00E62C65" w:rsidRDefault="00474360">
      <w:pPr>
        <w:spacing w:after="0" w:line="360" w:lineRule="auto"/>
        <w:ind w:firstLine="709"/>
        <w:jc w:val="both"/>
      </w:pPr>
      <w:r>
        <w:rPr>
          <w:rFonts w:eastAsia="Times New Roman"/>
        </w:rPr>
        <w:t xml:space="preserve">Três modelos foram comparados por validação cruzada 5-fold (folds congelados, somente sobre o treino), tendo como métrica primária a </w:t>
      </w:r>
      <w:r>
        <w:rPr>
          <w:rFonts w:eastAsia="Times New Roman"/>
          <w:b/>
        </w:rPr>
        <w:t>PR-AUC média</w:t>
      </w:r>
      <w:r>
        <w:rPr>
          <w:rFonts w:eastAsia="Times New Roman"/>
        </w:rPr>
        <w:t>:</w:t>
      </w:r>
    </w:p>
    <w:p w14:paraId="1D3CEE2B" w14:textId="77777777" w:rsidR="00E62C65" w:rsidRDefault="00474360">
      <w:pPr>
        <w:keepNext/>
      </w:pPr>
      <w:r>
        <w:rPr>
          <w:b/>
        </w:rPr>
        <w:t>Tabela 4 – Comparação dos modelos na validação cruzada</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2083788C" w14:textId="77777777">
        <w:trPr>
          <w:tblHeader/>
          <w:jc w:val="center"/>
        </w:trPr>
        <w:tc>
          <w:tcPr>
            <w:tcW w:w="3024" w:type="dxa"/>
            <w:shd w:val="clear" w:color="auto" w:fill="E7E6E6"/>
            <w:vAlign w:val="center"/>
          </w:tcPr>
          <w:p w14:paraId="4589B7B8" w14:textId="77777777" w:rsidR="00E62C65" w:rsidRDefault="00474360">
            <w:pPr>
              <w:spacing w:after="0" w:line="240" w:lineRule="auto"/>
              <w:jc w:val="center"/>
              <w:rPr>
                <w:rFonts w:eastAsia="MS Mincho"/>
              </w:rPr>
            </w:pPr>
            <w:r>
              <w:rPr>
                <w:rFonts w:eastAsia="Times New Roman"/>
                <w:b/>
                <w:sz w:val="18"/>
              </w:rPr>
              <w:t>Modelo</w:t>
            </w:r>
          </w:p>
        </w:tc>
        <w:tc>
          <w:tcPr>
            <w:tcW w:w="3024" w:type="dxa"/>
            <w:shd w:val="clear" w:color="auto" w:fill="E7E6E6"/>
            <w:vAlign w:val="center"/>
          </w:tcPr>
          <w:p w14:paraId="4F59EE5A" w14:textId="77777777" w:rsidR="00E62C65" w:rsidRDefault="00474360">
            <w:pPr>
              <w:spacing w:after="0" w:line="240" w:lineRule="auto"/>
              <w:jc w:val="center"/>
              <w:rPr>
                <w:rFonts w:eastAsia="MS Mincho"/>
              </w:rPr>
            </w:pPr>
            <w:r>
              <w:rPr>
                <w:rFonts w:eastAsia="Times New Roman"/>
                <w:b/>
                <w:sz w:val="18"/>
              </w:rPr>
              <w:t>PR-AUC média (CV)</w:t>
            </w:r>
          </w:p>
        </w:tc>
        <w:tc>
          <w:tcPr>
            <w:tcW w:w="3024" w:type="dxa"/>
            <w:shd w:val="clear" w:color="auto" w:fill="E7E6E6"/>
            <w:vAlign w:val="center"/>
          </w:tcPr>
          <w:p w14:paraId="4819CABC" w14:textId="77777777" w:rsidR="00E62C65" w:rsidRDefault="00474360">
            <w:pPr>
              <w:spacing w:after="0" w:line="240" w:lineRule="auto"/>
              <w:jc w:val="center"/>
              <w:rPr>
                <w:rFonts w:eastAsia="MS Mincho"/>
              </w:rPr>
            </w:pPr>
            <w:r>
              <w:rPr>
                <w:rFonts w:eastAsia="Times New Roman"/>
                <w:b/>
                <w:sz w:val="18"/>
              </w:rPr>
              <w:t>ROC-AUC média (CV)</w:t>
            </w:r>
          </w:p>
        </w:tc>
      </w:tr>
      <w:tr w:rsidR="00E62C65" w14:paraId="13FAA616" w14:textId="77777777">
        <w:trPr>
          <w:jc w:val="center"/>
        </w:trPr>
        <w:tc>
          <w:tcPr>
            <w:tcW w:w="3024" w:type="dxa"/>
            <w:vAlign w:val="center"/>
          </w:tcPr>
          <w:p w14:paraId="6EB45C10" w14:textId="77777777" w:rsidR="00E62C65" w:rsidRDefault="00474360">
            <w:pPr>
              <w:spacing w:after="0" w:line="240" w:lineRule="auto"/>
              <w:rPr>
                <w:rFonts w:eastAsia="MS Mincho"/>
              </w:rPr>
            </w:pPr>
            <w:r>
              <w:rPr>
                <w:rFonts w:eastAsia="Times New Roman"/>
                <w:sz w:val="18"/>
              </w:rPr>
              <w:t>Regressão logística</w:t>
            </w:r>
          </w:p>
        </w:tc>
        <w:tc>
          <w:tcPr>
            <w:tcW w:w="3024" w:type="dxa"/>
            <w:vAlign w:val="center"/>
          </w:tcPr>
          <w:p w14:paraId="183CBD6A" w14:textId="77777777" w:rsidR="00E62C65" w:rsidRDefault="00474360">
            <w:pPr>
              <w:spacing w:after="0" w:line="240" w:lineRule="auto"/>
              <w:rPr>
                <w:rFonts w:eastAsia="MS Mincho"/>
              </w:rPr>
            </w:pPr>
            <w:r>
              <w:rPr>
                <w:rFonts w:eastAsia="Times New Roman"/>
                <w:sz w:val="18"/>
              </w:rPr>
              <w:t>0,3370</w:t>
            </w:r>
          </w:p>
        </w:tc>
        <w:tc>
          <w:tcPr>
            <w:tcW w:w="3024" w:type="dxa"/>
            <w:vAlign w:val="center"/>
          </w:tcPr>
          <w:p w14:paraId="6D3B38B0" w14:textId="77777777" w:rsidR="00E62C65" w:rsidRDefault="00474360">
            <w:pPr>
              <w:spacing w:after="0" w:line="240" w:lineRule="auto"/>
              <w:rPr>
                <w:rFonts w:eastAsia="MS Mincho"/>
              </w:rPr>
            </w:pPr>
            <w:r>
              <w:rPr>
                <w:rFonts w:eastAsia="Times New Roman"/>
                <w:sz w:val="18"/>
              </w:rPr>
              <w:t>0,6087</w:t>
            </w:r>
          </w:p>
        </w:tc>
      </w:tr>
      <w:tr w:rsidR="00E62C65" w14:paraId="0FC90092" w14:textId="77777777">
        <w:trPr>
          <w:jc w:val="center"/>
        </w:trPr>
        <w:tc>
          <w:tcPr>
            <w:tcW w:w="3024" w:type="dxa"/>
            <w:vAlign w:val="center"/>
          </w:tcPr>
          <w:p w14:paraId="11C24E12" w14:textId="77777777" w:rsidR="00E62C65" w:rsidRDefault="00474360">
            <w:pPr>
              <w:spacing w:after="0" w:line="240" w:lineRule="auto"/>
              <w:rPr>
                <w:rFonts w:eastAsia="MS Mincho"/>
              </w:rPr>
            </w:pPr>
            <w:r>
              <w:rPr>
                <w:rFonts w:eastAsia="Times New Roman"/>
                <w:b/>
                <w:sz w:val="18"/>
              </w:rPr>
              <w:t>Random Forest</w:t>
            </w:r>
          </w:p>
        </w:tc>
        <w:tc>
          <w:tcPr>
            <w:tcW w:w="3024" w:type="dxa"/>
            <w:vAlign w:val="center"/>
          </w:tcPr>
          <w:p w14:paraId="6639C53B" w14:textId="77777777" w:rsidR="00E62C65" w:rsidRDefault="00474360">
            <w:pPr>
              <w:spacing w:after="0" w:line="240" w:lineRule="auto"/>
              <w:rPr>
                <w:rFonts w:eastAsia="MS Mincho"/>
              </w:rPr>
            </w:pPr>
            <w:r>
              <w:rPr>
                <w:rFonts w:eastAsia="Times New Roman"/>
                <w:b/>
                <w:sz w:val="18"/>
              </w:rPr>
              <w:t>0,3508</w:t>
            </w:r>
          </w:p>
        </w:tc>
        <w:tc>
          <w:tcPr>
            <w:tcW w:w="3024" w:type="dxa"/>
            <w:vAlign w:val="center"/>
          </w:tcPr>
          <w:p w14:paraId="51504738" w14:textId="77777777" w:rsidR="00E62C65" w:rsidRDefault="00474360">
            <w:pPr>
              <w:spacing w:after="0" w:line="240" w:lineRule="auto"/>
              <w:rPr>
                <w:rFonts w:eastAsia="MS Mincho"/>
              </w:rPr>
            </w:pPr>
            <w:r>
              <w:rPr>
                <w:rFonts w:eastAsia="Times New Roman"/>
                <w:sz w:val="18"/>
              </w:rPr>
              <w:t>0,6098</w:t>
            </w:r>
          </w:p>
        </w:tc>
      </w:tr>
      <w:tr w:rsidR="00E62C65" w14:paraId="1145F7A3" w14:textId="77777777">
        <w:trPr>
          <w:jc w:val="center"/>
        </w:trPr>
        <w:tc>
          <w:tcPr>
            <w:tcW w:w="3024" w:type="dxa"/>
            <w:vAlign w:val="center"/>
          </w:tcPr>
          <w:p w14:paraId="2D27909F" w14:textId="77777777" w:rsidR="00E62C65" w:rsidRDefault="00474360">
            <w:pPr>
              <w:spacing w:after="0" w:line="240" w:lineRule="auto"/>
              <w:rPr>
                <w:rFonts w:eastAsia="MS Mincho"/>
              </w:rPr>
            </w:pPr>
            <w:r>
              <w:rPr>
                <w:rFonts w:eastAsia="Times New Roman"/>
                <w:sz w:val="18"/>
              </w:rPr>
              <w:t>XGBoost</w:t>
            </w:r>
          </w:p>
        </w:tc>
        <w:tc>
          <w:tcPr>
            <w:tcW w:w="3024" w:type="dxa"/>
            <w:vAlign w:val="center"/>
          </w:tcPr>
          <w:p w14:paraId="61E3E459" w14:textId="77777777" w:rsidR="00E62C65" w:rsidRDefault="00474360">
            <w:pPr>
              <w:spacing w:after="0" w:line="240" w:lineRule="auto"/>
              <w:rPr>
                <w:rFonts w:eastAsia="MS Mincho"/>
              </w:rPr>
            </w:pPr>
            <w:r>
              <w:rPr>
                <w:rFonts w:eastAsia="Times New Roman"/>
                <w:sz w:val="18"/>
              </w:rPr>
              <w:t>0,3346</w:t>
            </w:r>
          </w:p>
        </w:tc>
        <w:tc>
          <w:tcPr>
            <w:tcW w:w="3024" w:type="dxa"/>
            <w:vAlign w:val="center"/>
          </w:tcPr>
          <w:p w14:paraId="7EBC1A32" w14:textId="77777777" w:rsidR="00E62C65" w:rsidRDefault="00474360">
            <w:pPr>
              <w:spacing w:after="0" w:line="240" w:lineRule="auto"/>
              <w:rPr>
                <w:rFonts w:eastAsia="MS Mincho"/>
              </w:rPr>
            </w:pPr>
            <w:r>
              <w:rPr>
                <w:rFonts w:eastAsia="Times New Roman"/>
                <w:sz w:val="18"/>
              </w:rPr>
              <w:t>0,6054</w:t>
            </w:r>
          </w:p>
        </w:tc>
      </w:tr>
    </w:tbl>
    <w:p w14:paraId="4439EB47" w14:textId="77777777" w:rsidR="00E62C65" w:rsidRDefault="00474360">
      <w:pPr>
        <w:spacing w:before="40" w:after="120"/>
      </w:pPr>
      <w:r>
        <w:rPr>
          <w:rFonts w:eastAsia="Times New Roman"/>
          <w:sz w:val="18"/>
        </w:rPr>
        <w:t>Fonte: elaboração própria (2026), a partir dos artefatos técnicos do projeto.</w:t>
      </w:r>
    </w:p>
    <w:p w14:paraId="7D03CC12" w14:textId="77777777" w:rsidR="00BD1FD8" w:rsidRDefault="0033527E">
      <w:pPr>
        <w:jc w:val="both"/>
      </w:pPr>
      <w:r>
        <w:t>A Figura 8 apresenta a comparação da PR-AUC média entre os três modelos avaliados na validação cruzada.</w:t>
      </w:r>
    </w:p>
    <w:p w14:paraId="15B8C11B" w14:textId="77777777" w:rsidR="00114E20" w:rsidRDefault="00D41E34">
      <w:pPr>
        <w:jc w:val="center"/>
      </w:pPr>
      <w:r>
        <w:t>Figura 8 — Comparação da PR-AUC média (validação cruzada 5-fold) entre os três modelos</w:t>
      </w:r>
    </w:p>
    <w:p w14:paraId="6BD4F84E" w14:textId="77777777" w:rsidR="00114E20" w:rsidRDefault="00D41E34">
      <w:pPr>
        <w:jc w:val="center"/>
      </w:pPr>
      <w:r>
        <w:rPr>
          <w:noProof/>
        </w:rPr>
        <w:drawing>
          <wp:inline distT="0" distB="0" distL="0" distR="0" wp14:anchorId="259C990B" wp14:editId="03A7FD03">
            <wp:extent cx="5400000" cy="35052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omparacao_modelos.png"/>
                    <pic:cNvPicPr/>
                  </pic:nvPicPr>
                  <pic:blipFill>
                    <a:blip r:embed="rId15"/>
                    <a:stretch>
                      <a:fillRect/>
                    </a:stretch>
                  </pic:blipFill>
                  <pic:spPr>
                    <a:xfrm>
                      <a:off x="0" y="0"/>
                      <a:ext cx="5400000" cy="3505263"/>
                    </a:xfrm>
                    <a:prstGeom prst="rect">
                      <a:avLst/>
                    </a:prstGeom>
                  </pic:spPr>
                </pic:pic>
              </a:graphicData>
            </a:graphic>
          </wp:inline>
        </w:drawing>
      </w:r>
    </w:p>
    <w:p w14:paraId="6446BDD2" w14:textId="77777777" w:rsidR="00114E20" w:rsidRDefault="00D41E34">
      <w:pPr>
        <w:jc w:val="center"/>
      </w:pPr>
      <w:r>
        <w:rPr>
          <w:sz w:val="18"/>
        </w:rPr>
        <w:t>Fonte: elaboração própria (2026), a partir dos artefatos técnicos do projeto.</w:t>
      </w:r>
    </w:p>
    <w:p w14:paraId="08ED1A4D" w14:textId="77777777" w:rsidR="00E62C65" w:rsidRDefault="00474360">
      <w:pPr>
        <w:spacing w:after="0" w:line="360" w:lineRule="auto"/>
        <w:ind w:firstLine="709"/>
        <w:jc w:val="both"/>
      </w:pPr>
      <w:r>
        <w:rPr>
          <w:rFonts w:eastAsia="Times New Roman"/>
        </w:rPr>
        <w:t xml:space="preserve">O </w:t>
      </w:r>
      <w:r>
        <w:rPr>
          <w:rFonts w:eastAsia="Times New Roman"/>
          <w:b/>
        </w:rPr>
        <w:t>Random Forest</w:t>
      </w:r>
      <w:r>
        <w:rPr>
          <w:rFonts w:eastAsia="Times New Roman"/>
        </w:rPr>
        <w:t xml:space="preserve"> foi selecionado por apresentar a maior PR-AUC média, sem empate numérico no critério de desempate (recall → F1). Esse é o </w:t>
      </w:r>
      <w:r>
        <w:rPr>
          <w:rFonts w:eastAsia="Times New Roman"/>
          <w:b/>
        </w:rPr>
        <w:t xml:space="preserve">modelo selecionado para </w:t>
      </w:r>
      <w:r>
        <w:rPr>
          <w:rFonts w:eastAsia="Times New Roman"/>
          <w:b/>
        </w:rPr>
        <w:lastRenderedPageBreak/>
        <w:t>o experimento técnico</w:t>
      </w:r>
      <w:r>
        <w:rPr>
          <w:rFonts w:eastAsia="Times New Roman"/>
        </w:rPr>
        <w:t xml:space="preserve"> realizado sobre dados sintéticos — não um modelo validado clinicamente, nem superior para a população real, nem uma ferramenta diagnóstica.</w:t>
      </w:r>
    </w:p>
    <w:p w14:paraId="0B16BCDD" w14:textId="77777777" w:rsidR="00E62C65" w:rsidRDefault="00474360">
      <w:pPr>
        <w:pStyle w:val="Ttulo2"/>
      </w:pPr>
      <w:bookmarkStart w:id="49" w:name="_Toc238759985"/>
      <w:r>
        <w:rPr>
          <w:rFonts w:ascii="Times New Roman" w:eastAsia="Times New Roman" w:hAnsi="Times New Roman"/>
        </w:rPr>
        <w:t>5.3 Desempenho do modelo selecionado (hold-out)</w:t>
      </w:r>
      <w:bookmarkEnd w:id="49"/>
    </w:p>
    <w:p w14:paraId="0258294E" w14:textId="77777777" w:rsidR="00E62C65" w:rsidRDefault="00474360">
      <w:pPr>
        <w:spacing w:after="0" w:line="360" w:lineRule="auto"/>
        <w:ind w:firstLine="709"/>
        <w:jc w:val="both"/>
      </w:pPr>
      <w:r>
        <w:rPr>
          <w:rFonts w:eastAsia="Times New Roman"/>
        </w:rPr>
        <w:t xml:space="preserve">O modelo selecionado foi avaliado </w:t>
      </w:r>
      <w:r>
        <w:rPr>
          <w:rFonts w:eastAsia="Times New Roman"/>
          <w:b/>
        </w:rPr>
        <w:t>uma única vez</w:t>
      </w:r>
      <w:r>
        <w:rPr>
          <w:rFonts w:eastAsia="Times New Roman"/>
        </w:rPr>
        <w:t xml:space="preserve"> no conjunto de teste (1.000 registros), após a seleção. Resultados históricos:</w:t>
      </w:r>
    </w:p>
    <w:p w14:paraId="0B353F99" w14:textId="77777777" w:rsidR="00E62C65" w:rsidRDefault="00474360">
      <w:pPr>
        <w:keepNext/>
      </w:pPr>
      <w:r>
        <w:rPr>
          <w:b/>
        </w:rPr>
        <w:t>Tabela 5 – Desempenho do modelo selecionado no conjunto hold-out</w:t>
      </w:r>
    </w:p>
    <w:tbl>
      <w:tblPr>
        <w:tblStyle w:val="Tabelacomgrade"/>
        <w:tblW w:w="9070" w:type="dxa"/>
        <w:jc w:val="center"/>
        <w:tblLayout w:type="fixed"/>
        <w:tblCellMar>
          <w:top w:w="80" w:type="dxa"/>
          <w:left w:w="80" w:type="dxa"/>
          <w:bottom w:w="80" w:type="dxa"/>
          <w:right w:w="80" w:type="dxa"/>
        </w:tblCellMar>
        <w:tblLook w:val="04A0" w:firstRow="1" w:lastRow="0" w:firstColumn="1" w:lastColumn="0" w:noHBand="0" w:noVBand="1"/>
      </w:tblPr>
      <w:tblGrid>
        <w:gridCol w:w="4536"/>
        <w:gridCol w:w="4534"/>
      </w:tblGrid>
      <w:tr w:rsidR="00E62C65" w14:paraId="6051BB0B" w14:textId="77777777">
        <w:trPr>
          <w:tblHeader/>
          <w:jc w:val="center"/>
        </w:trPr>
        <w:tc>
          <w:tcPr>
            <w:tcW w:w="4535" w:type="dxa"/>
            <w:shd w:val="clear" w:color="auto" w:fill="E7E6E6"/>
            <w:vAlign w:val="center"/>
          </w:tcPr>
          <w:p w14:paraId="14D59526" w14:textId="77777777" w:rsidR="00E62C65" w:rsidRDefault="00474360">
            <w:pPr>
              <w:spacing w:after="0" w:line="240" w:lineRule="auto"/>
              <w:jc w:val="center"/>
              <w:rPr>
                <w:rFonts w:eastAsia="MS Mincho"/>
              </w:rPr>
            </w:pPr>
            <w:r>
              <w:rPr>
                <w:rFonts w:eastAsia="Times New Roman"/>
                <w:b/>
                <w:sz w:val="18"/>
              </w:rPr>
              <w:t>Métrica</w:t>
            </w:r>
          </w:p>
        </w:tc>
        <w:tc>
          <w:tcPr>
            <w:tcW w:w="4534" w:type="dxa"/>
            <w:shd w:val="clear" w:color="auto" w:fill="E7E6E6"/>
            <w:vAlign w:val="center"/>
          </w:tcPr>
          <w:p w14:paraId="60C77EA0" w14:textId="77777777" w:rsidR="00E62C65" w:rsidRDefault="00474360">
            <w:pPr>
              <w:spacing w:after="0" w:line="240" w:lineRule="auto"/>
              <w:jc w:val="center"/>
              <w:rPr>
                <w:rFonts w:eastAsia="MS Mincho"/>
              </w:rPr>
            </w:pPr>
            <w:r>
              <w:rPr>
                <w:rFonts w:eastAsia="Times New Roman"/>
                <w:b/>
                <w:sz w:val="18"/>
              </w:rPr>
              <w:t>Valor</w:t>
            </w:r>
          </w:p>
        </w:tc>
      </w:tr>
      <w:tr w:rsidR="00E62C65" w14:paraId="19E2BBE5" w14:textId="77777777">
        <w:trPr>
          <w:jc w:val="center"/>
        </w:trPr>
        <w:tc>
          <w:tcPr>
            <w:tcW w:w="4535" w:type="dxa"/>
            <w:vAlign w:val="center"/>
          </w:tcPr>
          <w:p w14:paraId="3A818158" w14:textId="77777777" w:rsidR="00E62C65" w:rsidRDefault="00474360">
            <w:pPr>
              <w:spacing w:after="0" w:line="240" w:lineRule="auto"/>
              <w:rPr>
                <w:rFonts w:eastAsia="MS Mincho"/>
              </w:rPr>
            </w:pPr>
            <w:r>
              <w:rPr>
                <w:rFonts w:eastAsia="Times New Roman"/>
                <w:sz w:val="18"/>
              </w:rPr>
              <w:t>ROC-AUC</w:t>
            </w:r>
          </w:p>
        </w:tc>
        <w:tc>
          <w:tcPr>
            <w:tcW w:w="4534" w:type="dxa"/>
            <w:vAlign w:val="center"/>
          </w:tcPr>
          <w:p w14:paraId="154BD979" w14:textId="77777777" w:rsidR="00E62C65" w:rsidRDefault="00474360">
            <w:pPr>
              <w:spacing w:after="0" w:line="240" w:lineRule="auto"/>
              <w:rPr>
                <w:rFonts w:eastAsia="MS Mincho"/>
              </w:rPr>
            </w:pPr>
            <w:r>
              <w:rPr>
                <w:rFonts w:eastAsia="Times New Roman"/>
                <w:sz w:val="18"/>
              </w:rPr>
              <w:t>≈ 0,6174</w:t>
            </w:r>
          </w:p>
        </w:tc>
      </w:tr>
      <w:tr w:rsidR="00E62C65" w14:paraId="1AB34704" w14:textId="77777777">
        <w:trPr>
          <w:jc w:val="center"/>
        </w:trPr>
        <w:tc>
          <w:tcPr>
            <w:tcW w:w="4535" w:type="dxa"/>
            <w:vAlign w:val="center"/>
          </w:tcPr>
          <w:p w14:paraId="2A4EF7DD" w14:textId="77777777" w:rsidR="00E62C65" w:rsidRDefault="00474360">
            <w:pPr>
              <w:spacing w:after="0" w:line="240" w:lineRule="auto"/>
              <w:rPr>
                <w:rFonts w:eastAsia="MS Mincho"/>
              </w:rPr>
            </w:pPr>
            <w:r>
              <w:rPr>
                <w:rFonts w:eastAsia="Times New Roman"/>
                <w:sz w:val="18"/>
              </w:rPr>
              <w:t>PR-AUC</w:t>
            </w:r>
          </w:p>
        </w:tc>
        <w:tc>
          <w:tcPr>
            <w:tcW w:w="4534" w:type="dxa"/>
            <w:vAlign w:val="center"/>
          </w:tcPr>
          <w:p w14:paraId="3287B18D" w14:textId="77777777" w:rsidR="00E62C65" w:rsidRDefault="00474360">
            <w:pPr>
              <w:spacing w:after="0" w:line="240" w:lineRule="auto"/>
              <w:rPr>
                <w:rFonts w:eastAsia="MS Mincho"/>
              </w:rPr>
            </w:pPr>
            <w:r>
              <w:rPr>
                <w:rFonts w:eastAsia="Times New Roman"/>
                <w:sz w:val="18"/>
              </w:rPr>
              <w:t>≈ 0,3356</w:t>
            </w:r>
          </w:p>
        </w:tc>
      </w:tr>
      <w:tr w:rsidR="00E62C65" w14:paraId="62FDC112" w14:textId="77777777">
        <w:trPr>
          <w:jc w:val="center"/>
        </w:trPr>
        <w:tc>
          <w:tcPr>
            <w:tcW w:w="4535" w:type="dxa"/>
            <w:vAlign w:val="center"/>
          </w:tcPr>
          <w:p w14:paraId="6AB8214B" w14:textId="77777777" w:rsidR="00E62C65" w:rsidRDefault="00474360">
            <w:pPr>
              <w:spacing w:after="0" w:line="240" w:lineRule="auto"/>
              <w:rPr>
                <w:rFonts w:eastAsia="MS Mincho"/>
              </w:rPr>
            </w:pPr>
            <w:r>
              <w:rPr>
                <w:rFonts w:eastAsia="Times New Roman"/>
                <w:sz w:val="18"/>
              </w:rPr>
              <w:t>Brier Score</w:t>
            </w:r>
          </w:p>
        </w:tc>
        <w:tc>
          <w:tcPr>
            <w:tcW w:w="4534" w:type="dxa"/>
            <w:vAlign w:val="center"/>
          </w:tcPr>
          <w:p w14:paraId="34E226F8" w14:textId="77777777" w:rsidR="00E62C65" w:rsidRDefault="00474360">
            <w:pPr>
              <w:spacing w:after="0" w:line="240" w:lineRule="auto"/>
              <w:rPr>
                <w:rFonts w:eastAsia="MS Mincho"/>
              </w:rPr>
            </w:pPr>
            <w:r>
              <w:rPr>
                <w:rFonts w:eastAsia="Times New Roman"/>
                <w:sz w:val="18"/>
              </w:rPr>
              <w:t>≈ 0,1787</w:t>
            </w:r>
          </w:p>
        </w:tc>
      </w:tr>
      <w:tr w:rsidR="00114E20" w14:paraId="670F8FA5" w14:textId="77777777">
        <w:trPr>
          <w:jc w:val="center"/>
        </w:trPr>
        <w:tc>
          <w:tcPr>
            <w:tcW w:w="4536" w:type="dxa"/>
          </w:tcPr>
          <w:p w14:paraId="3BE4CC98" w14:textId="77777777" w:rsidR="00114E20" w:rsidRDefault="00D41E34">
            <w:r>
              <w:rPr>
                <w:sz w:val="18"/>
              </w:rPr>
              <w:t>n (registros de teste)</w:t>
            </w:r>
          </w:p>
        </w:tc>
        <w:tc>
          <w:tcPr>
            <w:tcW w:w="4534" w:type="dxa"/>
          </w:tcPr>
          <w:p w14:paraId="5389C320" w14:textId="77777777" w:rsidR="00114E20" w:rsidRDefault="00D41E34">
            <w:r>
              <w:rPr>
                <w:sz w:val="18"/>
              </w:rPr>
              <w:t>1.000</w:t>
            </w:r>
          </w:p>
        </w:tc>
      </w:tr>
    </w:tbl>
    <w:p w14:paraId="5B0691CB" w14:textId="77777777" w:rsidR="00E62C65" w:rsidRDefault="00474360">
      <w:pPr>
        <w:spacing w:before="40" w:after="120"/>
      </w:pPr>
      <w:r>
        <w:rPr>
          <w:rFonts w:eastAsia="Times New Roman"/>
          <w:sz w:val="18"/>
        </w:rPr>
        <w:t>Fonte: elaboração própria (2026), a partir dos artefatos técnicos do projeto.</w:t>
      </w:r>
    </w:p>
    <w:p w14:paraId="26140552" w14:textId="77777777" w:rsidR="00E62C65" w:rsidRDefault="00474360">
      <w:pPr>
        <w:spacing w:after="0" w:line="360" w:lineRule="auto"/>
        <w:ind w:firstLine="709"/>
        <w:jc w:val="both"/>
      </w:pPr>
      <w:r>
        <w:rPr>
          <w:rFonts w:eastAsia="Times New Roman"/>
        </w:rPr>
        <w:t>No limiar de decisão 0,5, a matriz de confusão foi:</w:t>
      </w:r>
    </w:p>
    <w:p w14:paraId="691CD5D5" w14:textId="77777777" w:rsidR="00E62C65" w:rsidRDefault="00474360">
      <w:pPr>
        <w:keepNext/>
      </w:pPr>
      <w:r>
        <w:rPr>
          <w:b/>
        </w:rPr>
        <w:t>Tabela 6 – Matriz de confusão no limiar de referência 0,5</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6FCB087B" w14:textId="77777777">
        <w:trPr>
          <w:tblHeader/>
          <w:jc w:val="center"/>
        </w:trPr>
        <w:tc>
          <w:tcPr>
            <w:tcW w:w="3024" w:type="dxa"/>
            <w:shd w:val="clear" w:color="auto" w:fill="E7E6E6"/>
            <w:vAlign w:val="center"/>
          </w:tcPr>
          <w:p w14:paraId="12442B51" w14:textId="77777777" w:rsidR="00E62C65" w:rsidRDefault="00E62C65">
            <w:pPr>
              <w:spacing w:after="0" w:line="240" w:lineRule="auto"/>
              <w:jc w:val="center"/>
              <w:rPr>
                <w:rFonts w:eastAsia="MS Mincho"/>
              </w:rPr>
            </w:pPr>
          </w:p>
        </w:tc>
        <w:tc>
          <w:tcPr>
            <w:tcW w:w="3024" w:type="dxa"/>
            <w:shd w:val="clear" w:color="auto" w:fill="E7E6E6"/>
            <w:vAlign w:val="center"/>
          </w:tcPr>
          <w:p w14:paraId="5C3E7B38" w14:textId="77777777" w:rsidR="00E62C65" w:rsidRDefault="00474360">
            <w:pPr>
              <w:spacing w:after="0" w:line="240" w:lineRule="auto"/>
              <w:jc w:val="center"/>
              <w:rPr>
                <w:rFonts w:eastAsia="MS Mincho"/>
              </w:rPr>
            </w:pPr>
            <w:r>
              <w:rPr>
                <w:rFonts w:eastAsia="Times New Roman"/>
                <w:b/>
                <w:sz w:val="18"/>
              </w:rPr>
              <w:t>Predito negativo</w:t>
            </w:r>
          </w:p>
        </w:tc>
        <w:tc>
          <w:tcPr>
            <w:tcW w:w="3024" w:type="dxa"/>
            <w:shd w:val="clear" w:color="auto" w:fill="E7E6E6"/>
            <w:vAlign w:val="center"/>
          </w:tcPr>
          <w:p w14:paraId="640A0768" w14:textId="77777777" w:rsidR="00E62C65" w:rsidRDefault="00474360">
            <w:pPr>
              <w:spacing w:after="0" w:line="240" w:lineRule="auto"/>
              <w:jc w:val="center"/>
              <w:rPr>
                <w:rFonts w:eastAsia="MS Mincho"/>
              </w:rPr>
            </w:pPr>
            <w:r>
              <w:rPr>
                <w:rFonts w:eastAsia="Times New Roman"/>
                <w:b/>
                <w:sz w:val="18"/>
              </w:rPr>
              <w:t>Predito positivo</w:t>
            </w:r>
          </w:p>
        </w:tc>
      </w:tr>
      <w:tr w:rsidR="00E62C65" w14:paraId="53C2F0A9" w14:textId="77777777">
        <w:trPr>
          <w:jc w:val="center"/>
        </w:trPr>
        <w:tc>
          <w:tcPr>
            <w:tcW w:w="3024" w:type="dxa"/>
            <w:vAlign w:val="center"/>
          </w:tcPr>
          <w:p w14:paraId="5B113F82" w14:textId="77777777" w:rsidR="00E62C65" w:rsidRDefault="00474360">
            <w:pPr>
              <w:spacing w:after="0" w:line="240" w:lineRule="auto"/>
              <w:rPr>
                <w:rFonts w:eastAsia="MS Mincho"/>
              </w:rPr>
            </w:pPr>
            <w:r>
              <w:rPr>
                <w:rFonts w:eastAsia="Times New Roman"/>
                <w:b/>
                <w:sz w:val="18"/>
              </w:rPr>
              <w:t>Real negativo</w:t>
            </w:r>
          </w:p>
        </w:tc>
        <w:tc>
          <w:tcPr>
            <w:tcW w:w="3024" w:type="dxa"/>
            <w:vAlign w:val="center"/>
          </w:tcPr>
          <w:p w14:paraId="3FBE3C90" w14:textId="77777777" w:rsidR="00E62C65" w:rsidRDefault="00474360">
            <w:pPr>
              <w:spacing w:after="0" w:line="240" w:lineRule="auto"/>
              <w:rPr>
                <w:rFonts w:eastAsia="MS Mincho"/>
              </w:rPr>
            </w:pPr>
            <w:r>
              <w:rPr>
                <w:rFonts w:eastAsia="Times New Roman"/>
                <w:sz w:val="18"/>
              </w:rPr>
              <w:t>755 (TN)</w:t>
            </w:r>
          </w:p>
        </w:tc>
        <w:tc>
          <w:tcPr>
            <w:tcW w:w="3024" w:type="dxa"/>
            <w:vAlign w:val="center"/>
          </w:tcPr>
          <w:p w14:paraId="00262E18" w14:textId="77777777" w:rsidR="00E62C65" w:rsidRDefault="00474360">
            <w:pPr>
              <w:spacing w:after="0" w:line="240" w:lineRule="auto"/>
              <w:rPr>
                <w:rFonts w:eastAsia="MS Mincho"/>
              </w:rPr>
            </w:pPr>
            <w:r>
              <w:rPr>
                <w:rFonts w:eastAsia="Times New Roman"/>
                <w:sz w:val="18"/>
              </w:rPr>
              <w:t>1 (FP)</w:t>
            </w:r>
          </w:p>
        </w:tc>
      </w:tr>
      <w:tr w:rsidR="00E62C65" w14:paraId="2D78A60D" w14:textId="77777777">
        <w:trPr>
          <w:jc w:val="center"/>
        </w:trPr>
        <w:tc>
          <w:tcPr>
            <w:tcW w:w="3024" w:type="dxa"/>
            <w:vAlign w:val="center"/>
          </w:tcPr>
          <w:p w14:paraId="78976819" w14:textId="77777777" w:rsidR="00E62C65" w:rsidRDefault="00474360">
            <w:pPr>
              <w:spacing w:after="0" w:line="240" w:lineRule="auto"/>
              <w:rPr>
                <w:rFonts w:eastAsia="MS Mincho"/>
              </w:rPr>
            </w:pPr>
            <w:r>
              <w:rPr>
                <w:rFonts w:eastAsia="Times New Roman"/>
                <w:b/>
                <w:sz w:val="18"/>
              </w:rPr>
              <w:t>Real positivo</w:t>
            </w:r>
          </w:p>
        </w:tc>
        <w:tc>
          <w:tcPr>
            <w:tcW w:w="3024" w:type="dxa"/>
            <w:vAlign w:val="center"/>
          </w:tcPr>
          <w:p w14:paraId="6381741A" w14:textId="77777777" w:rsidR="00E62C65" w:rsidRDefault="00474360">
            <w:pPr>
              <w:spacing w:after="0" w:line="240" w:lineRule="auto"/>
              <w:rPr>
                <w:rFonts w:eastAsia="MS Mincho"/>
              </w:rPr>
            </w:pPr>
            <w:r>
              <w:rPr>
                <w:rFonts w:eastAsia="Times New Roman"/>
                <w:sz w:val="18"/>
              </w:rPr>
              <w:t>244 (FN)</w:t>
            </w:r>
          </w:p>
        </w:tc>
        <w:tc>
          <w:tcPr>
            <w:tcW w:w="3024" w:type="dxa"/>
            <w:vAlign w:val="center"/>
          </w:tcPr>
          <w:p w14:paraId="784FEE5F" w14:textId="77777777" w:rsidR="00E62C65" w:rsidRDefault="00474360">
            <w:pPr>
              <w:spacing w:after="0" w:line="240" w:lineRule="auto"/>
              <w:rPr>
                <w:rFonts w:eastAsia="MS Mincho"/>
              </w:rPr>
            </w:pPr>
            <w:r>
              <w:rPr>
                <w:rFonts w:eastAsia="Times New Roman"/>
                <w:sz w:val="18"/>
              </w:rPr>
              <w:t>0 (TP)</w:t>
            </w:r>
          </w:p>
        </w:tc>
      </w:tr>
    </w:tbl>
    <w:p w14:paraId="08871E29" w14:textId="77777777" w:rsidR="00E62C65" w:rsidRDefault="00474360">
      <w:pPr>
        <w:spacing w:before="40" w:after="120"/>
      </w:pPr>
      <w:r>
        <w:rPr>
          <w:rFonts w:eastAsia="Times New Roman"/>
          <w:sz w:val="18"/>
        </w:rPr>
        <w:t>Fonte: elaboração própria (2026), a partir dos artefatos técnicos do projeto.</w:t>
      </w:r>
    </w:p>
    <w:p w14:paraId="429CD1C7" w14:textId="77777777" w:rsidR="00BD1FD8" w:rsidRDefault="0033527E">
      <w:pPr>
        <w:jc w:val="both"/>
      </w:pPr>
      <w:r>
        <w:t>A Figura 9 apresenta a matriz de confusão do modelo selecionado no limiar de referência 0,5.</w:t>
      </w:r>
    </w:p>
    <w:p w14:paraId="152892B1" w14:textId="77777777" w:rsidR="00114E20" w:rsidRDefault="00D41E34">
      <w:pPr>
        <w:jc w:val="center"/>
      </w:pPr>
      <w:r>
        <w:t>Figura 9 — Matriz de confusão no limiar de referência 0,5 (Random Forest, conjunto de teste)</w:t>
      </w:r>
    </w:p>
    <w:p w14:paraId="50904A25" w14:textId="77777777" w:rsidR="00114E20" w:rsidRDefault="00D41E34">
      <w:pPr>
        <w:jc w:val="center"/>
      </w:pPr>
      <w:r>
        <w:rPr>
          <w:noProof/>
        </w:rPr>
        <w:lastRenderedPageBreak/>
        <w:drawing>
          <wp:inline distT="0" distB="0" distL="0" distR="0" wp14:anchorId="5EA2108A" wp14:editId="0A615DAC">
            <wp:extent cx="5400000" cy="48024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matriz_confusao.png"/>
                    <pic:cNvPicPr/>
                  </pic:nvPicPr>
                  <pic:blipFill>
                    <a:blip r:embed="rId16"/>
                    <a:stretch>
                      <a:fillRect/>
                    </a:stretch>
                  </pic:blipFill>
                  <pic:spPr>
                    <a:xfrm>
                      <a:off x="0" y="0"/>
                      <a:ext cx="5400000" cy="4802459"/>
                    </a:xfrm>
                    <a:prstGeom prst="rect">
                      <a:avLst/>
                    </a:prstGeom>
                  </pic:spPr>
                </pic:pic>
              </a:graphicData>
            </a:graphic>
          </wp:inline>
        </w:drawing>
      </w:r>
    </w:p>
    <w:p w14:paraId="4A794FF9" w14:textId="77777777" w:rsidR="00114E20" w:rsidRDefault="00D41E34">
      <w:pPr>
        <w:jc w:val="center"/>
      </w:pPr>
      <w:r>
        <w:rPr>
          <w:sz w:val="18"/>
        </w:rPr>
        <w:t>Fonte: elaboração própria (2026), a partir dos artefatos técnicos do projeto.</w:t>
      </w:r>
    </w:p>
    <w:p w14:paraId="2AFDD7D4" w14:textId="77777777" w:rsidR="00E62C65" w:rsidRDefault="00474360">
      <w:pPr>
        <w:spacing w:after="0" w:line="360" w:lineRule="auto"/>
        <w:ind w:firstLine="709"/>
        <w:jc w:val="both"/>
      </w:pPr>
      <w:r>
        <w:rPr>
          <w:rFonts w:eastAsia="Times New Roman"/>
        </w:rPr>
        <w:t xml:space="preserve">Ou seja, </w:t>
      </w:r>
      <w:r>
        <w:rPr>
          <w:rFonts w:eastAsia="Times New Roman"/>
          <w:b/>
        </w:rPr>
        <w:t>no threshold 0,5 houve recall zero para a classe positiva</w:t>
      </w:r>
      <w:r>
        <w:rPr>
          <w:rFonts w:eastAsia="Times New Roman"/>
        </w:rPr>
        <w:t xml:space="preserve">: nenhum dos 244 casos positivos do teste foi classificado como positivo. Esse resultado é apresentado de forma explícita e </w:t>
      </w:r>
      <w:r>
        <w:rPr>
          <w:rFonts w:eastAsia="Times New Roman"/>
          <w:b/>
        </w:rPr>
        <w:t>não</w:t>
      </w:r>
      <w:r>
        <w:rPr>
          <w:rFonts w:eastAsia="Times New Roman"/>
        </w:rPr>
        <w:t xml:space="preserve"> deve ser interpretado como desempenho clínico. A AUC modesta, o recall zero no limiar 0,5 e a natureza sintética dos dados impedem qualquer leitura de "bom desempenho" ou "capacidade preditiva validada".</w:t>
      </w:r>
    </w:p>
    <w:p w14:paraId="674DA7B8" w14:textId="77777777" w:rsidR="00E62C65" w:rsidRDefault="00474360">
      <w:r>
        <w:t>O limiar 0,5 não foi adotado operacionalmente: o aplicativo não retorna classe, faixa de risco ou previsão de abandono — retorna somente a probabilidade.</w:t>
      </w:r>
    </w:p>
    <w:p w14:paraId="29283787" w14:textId="77777777" w:rsidR="00E62C65" w:rsidRDefault="00E62C65"/>
    <w:p w14:paraId="06E70F49" w14:textId="77777777" w:rsidR="00E62C65" w:rsidRDefault="00E62C65"/>
    <w:p w14:paraId="694223CE" w14:textId="77777777" w:rsidR="00E62C65" w:rsidRDefault="00474360">
      <w:pPr>
        <w:pStyle w:val="Ttulo2"/>
      </w:pPr>
      <w:bookmarkStart w:id="50" w:name="_Toc238759986"/>
      <w:r>
        <w:rPr>
          <w:rFonts w:ascii="Times New Roman" w:eastAsia="Times New Roman" w:hAnsi="Times New Roman"/>
        </w:rPr>
        <w:t>5.4 Análise de threshold</w:t>
      </w:r>
      <w:bookmarkEnd w:id="50"/>
    </w:p>
    <w:p w14:paraId="29649032" w14:textId="77777777" w:rsidR="00E62C65" w:rsidRDefault="00474360">
      <w:pPr>
        <w:spacing w:after="0" w:line="360" w:lineRule="auto"/>
        <w:ind w:firstLine="709"/>
        <w:jc w:val="both"/>
      </w:pPr>
      <w:r>
        <w:rPr>
          <w:rFonts w:eastAsia="Times New Roman"/>
        </w:rPr>
        <w:t xml:space="preserve">Foi realizada uma análise exploratória de sensibilidade a diferentes limiares de decisão (grade de 0,05 a 0,5), sobre as probabilidades out-of-fold do treino. As probabilidades preditas concentraram-se em uma faixa restrita (aproximadamente 0,05 a 0,54, média ≈ 0,25), </w:t>
      </w:r>
      <w:r>
        <w:rPr>
          <w:rFonts w:eastAsia="Times New Roman"/>
        </w:rPr>
        <w:lastRenderedPageBreak/>
        <w:t xml:space="preserve">consistente com a baixa separação entre classes já evidenciada pelas AUCs. </w:t>
      </w:r>
      <w:r>
        <w:rPr>
          <w:rFonts w:eastAsia="Times New Roman"/>
          <w:b/>
        </w:rPr>
        <w:t>Nenhum threshold foi adotado operacionalmente</w:t>
      </w:r>
      <w:r>
        <w:rPr>
          <w:rFonts w:eastAsia="Times New Roman"/>
        </w:rPr>
        <w:t>; a análise serve apenas para caracterizar o comportamento do modelo.</w:t>
      </w:r>
    </w:p>
    <w:p w14:paraId="11FC9965" w14:textId="77777777" w:rsidR="00E62C65" w:rsidRDefault="00474360">
      <w:pPr>
        <w:pStyle w:val="Ttulo2"/>
      </w:pPr>
      <w:bookmarkStart w:id="51" w:name="_Toc238759987"/>
      <w:r>
        <w:rPr>
          <w:rFonts w:ascii="Times New Roman" w:eastAsia="Times New Roman" w:hAnsi="Times New Roman"/>
        </w:rPr>
        <w:t>5.5 Calibração e estabilidade</w:t>
      </w:r>
      <w:bookmarkEnd w:id="51"/>
    </w:p>
    <w:p w14:paraId="22957941" w14:textId="77777777" w:rsidR="00E62C65" w:rsidRDefault="00474360">
      <w:pPr>
        <w:spacing w:after="0" w:line="360" w:lineRule="auto"/>
        <w:ind w:firstLine="709"/>
        <w:jc w:val="both"/>
      </w:pPr>
      <w:r>
        <w:rPr>
          <w:rFonts w:eastAsia="Times New Roman"/>
        </w:rPr>
        <w:t xml:space="preserve">A calibração do modelo foi avaliada por três indicadores complementares, todos sobre as previsões out-of-fold do treino: (i) o </w:t>
      </w:r>
      <w:r>
        <w:rPr>
          <w:rFonts w:eastAsia="Times New Roman"/>
          <w:b/>
        </w:rPr>
        <w:t>Brier score</w:t>
      </w:r>
      <w:r>
        <w:rPr>
          <w:rFonts w:eastAsia="Times New Roman"/>
        </w:rPr>
        <w:t xml:space="preserve">; (ii) a </w:t>
      </w:r>
      <w:r>
        <w:rPr>
          <w:rFonts w:eastAsia="Times New Roman"/>
          <w:b/>
        </w:rPr>
        <w:t>calibração em escala ampla</w:t>
      </w:r>
      <w:r>
        <w:rPr>
          <w:rFonts w:eastAsia="Times New Roman"/>
        </w:rPr>
        <w:t xml:space="preserve"> (calibration-in-the-large), comparando a probabilidade média predita com a taxa observada de positivos; e (iii) a </w:t>
      </w:r>
      <w:r>
        <w:rPr>
          <w:rFonts w:eastAsia="Times New Roman"/>
          <w:b/>
        </w:rPr>
        <w:t>curva de calibração</w:t>
      </w:r>
      <w:r>
        <w:rPr>
          <w:rFonts w:eastAsia="Times New Roman"/>
        </w:rPr>
        <w:t xml:space="preserve"> (em bins), comparando probabilidade média predita com a fração observada de positivos em cada bin.</w:t>
      </w:r>
    </w:p>
    <w:p w14:paraId="5B5989FA" w14:textId="77777777" w:rsidR="00E62C65" w:rsidRDefault="00474360">
      <w:pPr>
        <w:pStyle w:val="Commarcadores"/>
        <w:spacing w:line="360" w:lineRule="auto"/>
        <w:ind w:left="454" w:hanging="227"/>
      </w:pPr>
      <w:r>
        <w:t>O Brier score médio foi ≈ 0,1789, ligeiramente inferior ao baseline (≈ 0,1846), uma melhora relativa de ≈ 3,1%. O Brier combina discriminação e calibração e, isoladamente, não é uma medida exclusiva de calibração. Esse Brier out-of-fold (≈ 0,1789) distingue-se do Brier hold-out (≈ 0,1787) reportado na Tabela 5, calculado uma única vez sobre o conjunto de teste.</w:t>
      </w:r>
    </w:p>
    <w:p w14:paraId="150F3415" w14:textId="77777777" w:rsidR="00E62C65" w:rsidRDefault="00474360">
      <w:pPr>
        <w:pStyle w:val="Commarcadores"/>
        <w:spacing w:line="360" w:lineRule="auto"/>
        <w:ind w:left="454" w:hanging="227"/>
      </w:pPr>
      <w:r>
        <w:rPr>
          <w:rFonts w:eastAsia="Times New Roman"/>
        </w:rPr>
        <w:t xml:space="preserve">A </w:t>
      </w:r>
      <w:r>
        <w:rPr>
          <w:rFonts w:eastAsia="Times New Roman"/>
          <w:b/>
        </w:rPr>
        <w:t>calibração em escala ampla</w:t>
      </w:r>
      <w:r>
        <w:rPr>
          <w:rFonts w:eastAsia="Times New Roman"/>
        </w:rPr>
        <w:t xml:space="preserve"> apresentou diferença pequena (≈ 0,0018) entre a probabilidade média predita (≈ 0,246) e a taxa observada (≈ 0,244), indicando boa calibração global.</w:t>
      </w:r>
    </w:p>
    <w:p w14:paraId="034DD190" w14:textId="77777777" w:rsidR="00E62C65" w:rsidRDefault="00474360">
      <w:pPr>
        <w:pStyle w:val="Commarcadores"/>
        <w:spacing w:line="360" w:lineRule="auto"/>
        <w:ind w:left="454" w:hanging="227"/>
      </w:pPr>
      <w:r>
        <w:rPr>
          <w:rFonts w:eastAsia="Times New Roman"/>
        </w:rPr>
        <w:t xml:space="preserve">A </w:t>
      </w:r>
      <w:r>
        <w:rPr>
          <w:rFonts w:eastAsia="Times New Roman"/>
          <w:b/>
        </w:rPr>
        <w:t>curva de calibração</w:t>
      </w:r>
      <w:r>
        <w:rPr>
          <w:rFonts w:eastAsia="Times New Roman"/>
        </w:rPr>
        <w:t xml:space="preserve"> apresentou desvios médios por bin da ordem de 0,015, com maiores desvios nos bins extremos (probabilidades muito baixas e muito altas).</w:t>
      </w:r>
    </w:p>
    <w:p w14:paraId="5B6D432C" w14:textId="77777777" w:rsidR="00E62C65" w:rsidRDefault="00474360">
      <w:pPr>
        <w:spacing w:after="0" w:line="360" w:lineRule="auto"/>
        <w:ind w:firstLine="709"/>
        <w:jc w:val="both"/>
      </w:pPr>
      <w:r>
        <w:rPr>
          <w:rFonts w:eastAsia="Times New Roman"/>
        </w:rPr>
        <w:t xml:space="preserve">A </w:t>
      </w:r>
      <w:r>
        <w:rPr>
          <w:rFonts w:eastAsia="Times New Roman"/>
          <w:b/>
        </w:rPr>
        <w:t>estabilidade entre folds</w:t>
      </w:r>
      <w:r>
        <w:rPr>
          <w:rFonts w:eastAsia="Times New Roman"/>
        </w:rPr>
        <w:t xml:space="preserve"> foi avaliada pela dispersão das métricas: o desvio padrão do Brier entre folds foi ≈ 0,0017, o da ROC-AUC ≈ 0,017 e o da PR-AUC ≈ 0,025 — uma variação moderada, sem indício de instabilidade grave entre os folds.</w:t>
      </w:r>
    </w:p>
    <w:p w14:paraId="09B6E23B" w14:textId="77777777" w:rsidR="00114E20" w:rsidRDefault="00D41E34">
      <w:r>
        <w:rPr>
          <w:b/>
        </w:rPr>
        <w:t>Tabela 7 – Indicadores de calibração e estabilidade (OOF) e Brier hold-out</w:t>
      </w:r>
    </w:p>
    <w:tbl>
      <w:tblPr>
        <w:tblStyle w:val="Tabelacomgrade"/>
        <w:tblW w:w="0" w:type="auto"/>
        <w:tblLook w:val="04A0" w:firstRow="1" w:lastRow="0" w:firstColumn="1" w:lastColumn="0" w:noHBand="0" w:noVBand="1"/>
      </w:tblPr>
      <w:tblGrid>
        <w:gridCol w:w="4535"/>
        <w:gridCol w:w="4535"/>
      </w:tblGrid>
      <w:tr w:rsidR="00114E20" w14:paraId="5A0C30E4" w14:textId="77777777">
        <w:tc>
          <w:tcPr>
            <w:tcW w:w="4535" w:type="dxa"/>
          </w:tcPr>
          <w:p w14:paraId="4811A37C" w14:textId="77777777" w:rsidR="00114E20" w:rsidRDefault="00D41E34">
            <w:r>
              <w:rPr>
                <w:b/>
                <w:sz w:val="18"/>
              </w:rPr>
              <w:t>Indicador</w:t>
            </w:r>
          </w:p>
        </w:tc>
        <w:tc>
          <w:tcPr>
            <w:tcW w:w="4535" w:type="dxa"/>
          </w:tcPr>
          <w:p w14:paraId="67B9B2C5" w14:textId="77777777" w:rsidR="00114E20" w:rsidRDefault="00D41E34">
            <w:r>
              <w:rPr>
                <w:b/>
                <w:sz w:val="18"/>
              </w:rPr>
              <w:t>Valor</w:t>
            </w:r>
          </w:p>
        </w:tc>
      </w:tr>
      <w:tr w:rsidR="00114E20" w14:paraId="6A93C57D" w14:textId="77777777">
        <w:tc>
          <w:tcPr>
            <w:tcW w:w="4535" w:type="dxa"/>
          </w:tcPr>
          <w:p w14:paraId="20BC884D" w14:textId="77777777" w:rsidR="00114E20" w:rsidRDefault="00D41E34">
            <w:r>
              <w:rPr>
                <w:sz w:val="18"/>
              </w:rPr>
              <w:t>Brier — hold-out (conjunto de teste, n = 1.000)</w:t>
            </w:r>
          </w:p>
        </w:tc>
        <w:tc>
          <w:tcPr>
            <w:tcW w:w="4535" w:type="dxa"/>
          </w:tcPr>
          <w:p w14:paraId="7BC5B3E8" w14:textId="77777777" w:rsidR="00114E20" w:rsidRDefault="00D41E34">
            <w:r>
              <w:rPr>
                <w:sz w:val="18"/>
              </w:rPr>
              <w:t>≈ 0,1787</w:t>
            </w:r>
          </w:p>
        </w:tc>
      </w:tr>
      <w:tr w:rsidR="00114E20" w14:paraId="4FAA6EB1" w14:textId="77777777">
        <w:tc>
          <w:tcPr>
            <w:tcW w:w="4535" w:type="dxa"/>
          </w:tcPr>
          <w:p w14:paraId="420C3024" w14:textId="77777777" w:rsidR="00114E20" w:rsidRDefault="00D41E34">
            <w:r>
              <w:rPr>
                <w:sz w:val="18"/>
              </w:rPr>
              <w:t>Brier — out-of-fold (treino)</w:t>
            </w:r>
          </w:p>
        </w:tc>
        <w:tc>
          <w:tcPr>
            <w:tcW w:w="4535" w:type="dxa"/>
          </w:tcPr>
          <w:p w14:paraId="689FA5D9" w14:textId="77777777" w:rsidR="00114E20" w:rsidRDefault="00D41E34">
            <w:r>
              <w:rPr>
                <w:sz w:val="18"/>
              </w:rPr>
              <w:t>≈ 0,1789</w:t>
            </w:r>
          </w:p>
        </w:tc>
      </w:tr>
      <w:tr w:rsidR="00114E20" w14:paraId="02ECDDE9" w14:textId="77777777">
        <w:tc>
          <w:tcPr>
            <w:tcW w:w="4535" w:type="dxa"/>
          </w:tcPr>
          <w:p w14:paraId="5865559D" w14:textId="77777777" w:rsidR="00114E20" w:rsidRDefault="00D41E34">
            <w:r>
              <w:rPr>
                <w:sz w:val="18"/>
              </w:rPr>
              <w:t>Brier — baseline (proporção positiva do treino)</w:t>
            </w:r>
          </w:p>
        </w:tc>
        <w:tc>
          <w:tcPr>
            <w:tcW w:w="4535" w:type="dxa"/>
          </w:tcPr>
          <w:p w14:paraId="429255A8" w14:textId="77777777" w:rsidR="00114E20" w:rsidRDefault="00D41E34">
            <w:r>
              <w:rPr>
                <w:sz w:val="18"/>
              </w:rPr>
              <w:t>≈ 0,1846</w:t>
            </w:r>
          </w:p>
        </w:tc>
      </w:tr>
      <w:tr w:rsidR="00114E20" w14:paraId="541B66FD" w14:textId="77777777">
        <w:tc>
          <w:tcPr>
            <w:tcW w:w="4535" w:type="dxa"/>
          </w:tcPr>
          <w:p w14:paraId="5409D8E2" w14:textId="77777777" w:rsidR="00114E20" w:rsidRDefault="00D41E34">
            <w:r>
              <w:rPr>
                <w:sz w:val="18"/>
              </w:rPr>
              <w:t>Melhora relativa do Brier (OOF vs. baseline)</w:t>
            </w:r>
          </w:p>
        </w:tc>
        <w:tc>
          <w:tcPr>
            <w:tcW w:w="4535" w:type="dxa"/>
          </w:tcPr>
          <w:p w14:paraId="18D23A83" w14:textId="77777777" w:rsidR="00114E20" w:rsidRDefault="00D41E34">
            <w:r>
              <w:rPr>
                <w:sz w:val="18"/>
              </w:rPr>
              <w:t>≈ 3,1%</w:t>
            </w:r>
          </w:p>
        </w:tc>
      </w:tr>
      <w:tr w:rsidR="00114E20" w14:paraId="1EF236BB" w14:textId="77777777">
        <w:tc>
          <w:tcPr>
            <w:tcW w:w="4535" w:type="dxa"/>
          </w:tcPr>
          <w:p w14:paraId="3A4AE8FA" w14:textId="77777777" w:rsidR="00114E20" w:rsidRDefault="00D41E34">
            <w:r>
              <w:rPr>
                <w:sz w:val="18"/>
              </w:rPr>
              <w:t>Calibração em larga escala (predita − observada)</w:t>
            </w:r>
          </w:p>
        </w:tc>
        <w:tc>
          <w:tcPr>
            <w:tcW w:w="4535" w:type="dxa"/>
          </w:tcPr>
          <w:p w14:paraId="66D89C54" w14:textId="77777777" w:rsidR="00114E20" w:rsidRDefault="00D41E34">
            <w:r>
              <w:rPr>
                <w:sz w:val="18"/>
              </w:rPr>
              <w:t>≈ 0,0018</w:t>
            </w:r>
          </w:p>
        </w:tc>
      </w:tr>
      <w:tr w:rsidR="00114E20" w14:paraId="42FE28C0" w14:textId="77777777">
        <w:tc>
          <w:tcPr>
            <w:tcW w:w="4535" w:type="dxa"/>
          </w:tcPr>
          <w:p w14:paraId="4D2A7335" w14:textId="77777777" w:rsidR="00114E20" w:rsidRDefault="00D41E34">
            <w:r>
              <w:rPr>
                <w:sz w:val="18"/>
              </w:rPr>
              <w:t>Desvio médio da curva de calibração (por bin)</w:t>
            </w:r>
          </w:p>
        </w:tc>
        <w:tc>
          <w:tcPr>
            <w:tcW w:w="4535" w:type="dxa"/>
          </w:tcPr>
          <w:p w14:paraId="709298D5" w14:textId="77777777" w:rsidR="00114E20" w:rsidRDefault="00D41E34">
            <w:r>
              <w:rPr>
                <w:sz w:val="18"/>
              </w:rPr>
              <w:t>≈ 0,015</w:t>
            </w:r>
          </w:p>
        </w:tc>
      </w:tr>
      <w:tr w:rsidR="00114E20" w14:paraId="6450F380" w14:textId="77777777">
        <w:tc>
          <w:tcPr>
            <w:tcW w:w="4535" w:type="dxa"/>
          </w:tcPr>
          <w:p w14:paraId="2B6E33E1" w14:textId="77777777" w:rsidR="00114E20" w:rsidRDefault="00D41E34">
            <w:r>
              <w:rPr>
                <w:sz w:val="18"/>
              </w:rPr>
              <w:t>Desvio padrão do Brier entre folds</w:t>
            </w:r>
          </w:p>
        </w:tc>
        <w:tc>
          <w:tcPr>
            <w:tcW w:w="4535" w:type="dxa"/>
          </w:tcPr>
          <w:p w14:paraId="3DC90851" w14:textId="77777777" w:rsidR="00114E20" w:rsidRDefault="00D41E34">
            <w:r>
              <w:rPr>
                <w:sz w:val="18"/>
              </w:rPr>
              <w:t>≈ 0,0017</w:t>
            </w:r>
          </w:p>
        </w:tc>
      </w:tr>
      <w:tr w:rsidR="00114E20" w14:paraId="188E5C75" w14:textId="77777777">
        <w:tc>
          <w:tcPr>
            <w:tcW w:w="4535" w:type="dxa"/>
          </w:tcPr>
          <w:p w14:paraId="109A5ACE" w14:textId="77777777" w:rsidR="00114E20" w:rsidRDefault="00D41E34">
            <w:r>
              <w:rPr>
                <w:sz w:val="18"/>
              </w:rPr>
              <w:lastRenderedPageBreak/>
              <w:t>Desvio padrão da ROC-AUC entre folds</w:t>
            </w:r>
          </w:p>
        </w:tc>
        <w:tc>
          <w:tcPr>
            <w:tcW w:w="4535" w:type="dxa"/>
          </w:tcPr>
          <w:p w14:paraId="0C9A5A7E" w14:textId="77777777" w:rsidR="00114E20" w:rsidRDefault="00D41E34">
            <w:r>
              <w:rPr>
                <w:sz w:val="18"/>
              </w:rPr>
              <w:t>≈ 0,017</w:t>
            </w:r>
          </w:p>
        </w:tc>
      </w:tr>
      <w:tr w:rsidR="00114E20" w14:paraId="57BB493B" w14:textId="77777777">
        <w:tc>
          <w:tcPr>
            <w:tcW w:w="4535" w:type="dxa"/>
          </w:tcPr>
          <w:p w14:paraId="287DAF53" w14:textId="77777777" w:rsidR="00114E20" w:rsidRDefault="00D41E34">
            <w:r>
              <w:rPr>
                <w:sz w:val="18"/>
              </w:rPr>
              <w:t>Desvio padrão da PR-AUC entre folds</w:t>
            </w:r>
          </w:p>
        </w:tc>
        <w:tc>
          <w:tcPr>
            <w:tcW w:w="4535" w:type="dxa"/>
          </w:tcPr>
          <w:p w14:paraId="78BBCD2E" w14:textId="77777777" w:rsidR="00114E20" w:rsidRDefault="00D41E34">
            <w:r>
              <w:rPr>
                <w:sz w:val="18"/>
              </w:rPr>
              <w:t>≈ 0,025</w:t>
            </w:r>
          </w:p>
        </w:tc>
      </w:tr>
    </w:tbl>
    <w:p w14:paraId="46F54F73" w14:textId="77777777" w:rsidR="00114E20" w:rsidRDefault="00D41E34">
      <w:r>
        <w:t>Fonte: elaboração própria (2026). O Brier hold-out é calculado uma única vez sobre o conjunto de teste; o Brier out-of-fold (OOF) é obtido por validação cruzada sobre o treino — indicadores distintos.</w:t>
      </w:r>
    </w:p>
    <w:p w14:paraId="4BF5C1A6" w14:textId="77777777" w:rsidR="00E62C65" w:rsidRDefault="00474360">
      <w:pPr>
        <w:pStyle w:val="Ttulo2"/>
      </w:pPr>
      <w:bookmarkStart w:id="52" w:name="_Toc238759988"/>
      <w:r>
        <w:rPr>
          <w:rFonts w:ascii="Times New Roman" w:eastAsia="Times New Roman" w:hAnsi="Times New Roman"/>
        </w:rPr>
        <w:t>5.6 Sensibilidade metodológica</w:t>
      </w:r>
      <w:bookmarkEnd w:id="52"/>
    </w:p>
    <w:p w14:paraId="2E12D319" w14:textId="77777777" w:rsidR="00E62C65" w:rsidRDefault="00474360">
      <w:pPr>
        <w:spacing w:after="0" w:line="360" w:lineRule="auto"/>
        <w:ind w:firstLine="709"/>
        <w:jc w:val="both"/>
      </w:pPr>
      <w:r>
        <w:rPr>
          <w:rFonts w:eastAsia="Times New Roman"/>
        </w:rPr>
        <w:t>A análise de sensibilidade comparou o modelo principal (</w:t>
      </w:r>
      <w:r>
        <w:rPr>
          <w:rFonts w:ascii="Courier New" w:eastAsia="Courier New" w:hAnsi="Courier New"/>
          <w:sz w:val="22"/>
        </w:rPr>
        <w:t>X_model</w:t>
      </w:r>
      <w:r>
        <w:rPr>
          <w:rFonts w:eastAsia="Times New Roman"/>
        </w:rPr>
        <w:t>, 34 variáveis) com uma variante estendida (</w:t>
      </w:r>
      <w:r>
        <w:rPr>
          <w:rFonts w:ascii="Courier New" w:eastAsia="Courier New" w:hAnsi="Courier New"/>
          <w:sz w:val="22"/>
        </w:rPr>
        <w:t>X_sens</w:t>
      </w:r>
      <w:r>
        <w:rPr>
          <w:rFonts w:eastAsia="Times New Roman"/>
        </w:rPr>
        <w:t>, 36 variáveis), que acrescenta duas variáveis de sensibilidade (</w:t>
      </w:r>
      <w:r>
        <w:rPr>
          <w:rFonts w:ascii="Courier New" w:eastAsia="Courier New" w:hAnsi="Courier New"/>
          <w:sz w:val="22"/>
        </w:rPr>
        <w:t>problema_saude_agua</w:t>
      </w:r>
      <w:r>
        <w:rPr>
          <w:rFonts w:eastAsia="Times New Roman"/>
        </w:rPr>
        <w:t xml:space="preserve">, </w:t>
      </w:r>
      <w:r>
        <w:rPr>
          <w:rFonts w:ascii="Courier New" w:eastAsia="Courier New" w:hAnsi="Courier New"/>
          <w:sz w:val="22"/>
        </w:rPr>
        <w:t>facil_acesso_saude</w:t>
      </w:r>
      <w:r>
        <w:rPr>
          <w:rFonts w:eastAsia="Times New Roman"/>
        </w:rPr>
        <w:t xml:space="preserve">). Essas duas variáveis </w:t>
      </w:r>
      <w:r>
        <w:rPr>
          <w:rFonts w:eastAsia="Times New Roman"/>
          <w:b/>
        </w:rPr>
        <w:t>não</w:t>
      </w:r>
      <w:r>
        <w:rPr>
          <w:rFonts w:eastAsia="Times New Roman"/>
        </w:rPr>
        <w:t xml:space="preserve"> fazem parte do modelo principal congelado; foram usadas apenas para avaliar a estabilidade dos resultados à inclusão de informação adicional.</w:t>
      </w:r>
    </w:p>
    <w:p w14:paraId="23393F19" w14:textId="77777777" w:rsidR="00E62C65" w:rsidRDefault="00474360">
      <w:pPr>
        <w:spacing w:after="0" w:line="360" w:lineRule="auto"/>
        <w:ind w:firstLine="709"/>
        <w:jc w:val="both"/>
      </w:pPr>
      <w:r>
        <w:rPr>
          <w:rFonts w:eastAsia="Times New Roman"/>
        </w:rPr>
        <w:t xml:space="preserve">Os resultados (validação cruzada, out-of-fold) indicaram que a inclusão das duas variáveis </w:t>
      </w:r>
      <w:r>
        <w:rPr>
          <w:rFonts w:eastAsia="Times New Roman"/>
          <w:b/>
        </w:rPr>
        <w:t>não alterou materialmente o desempenho</w:t>
      </w:r>
      <w:r>
        <w:rPr>
          <w:rFonts w:eastAsia="Times New Roman"/>
        </w:rPr>
        <w:t xml:space="preserve"> do modelo: a diferença média de PR-AUC foi de ≈ −0,004 e a de ROC-AUC de ≈ −0,003, com variação de Brier praticamente nula (≈ +0,0004). Trata-se de uma </w:t>
      </w:r>
      <w:r>
        <w:rPr>
          <w:rFonts w:eastAsia="Times New Roman"/>
          <w:b/>
        </w:rPr>
        <w:t>conclusão estritamente experimental</w:t>
      </w:r>
      <w:r>
        <w:rPr>
          <w:rFonts w:eastAsia="Times New Roman"/>
        </w:rPr>
        <w:t xml:space="preserve">: os resultados do modelo principal mostram-se estáveis à adição dessas duas variáveis, e este exercício </w:t>
      </w:r>
      <w:r>
        <w:rPr>
          <w:rFonts w:eastAsia="Times New Roman"/>
          <w:b/>
        </w:rPr>
        <w:t>não</w:t>
      </w:r>
      <w:r>
        <w:rPr>
          <w:rFonts w:eastAsia="Times New Roman"/>
        </w:rPr>
        <w:t xml:space="preserve"> constitui validação clínica.</w:t>
      </w:r>
    </w:p>
    <w:p w14:paraId="663673D4" w14:textId="77777777" w:rsidR="00E62C65" w:rsidRDefault="00474360">
      <w:pPr>
        <w:pStyle w:val="Ttulo2"/>
      </w:pPr>
      <w:bookmarkStart w:id="53" w:name="_Toc238759989"/>
      <w:r>
        <w:rPr>
          <w:rFonts w:ascii="Times New Roman" w:eastAsia="Times New Roman" w:hAnsi="Times New Roman"/>
        </w:rPr>
        <w:t>5.7 Interpretabilidade</w:t>
      </w:r>
      <w:bookmarkEnd w:id="53"/>
    </w:p>
    <w:p w14:paraId="52066C5F" w14:textId="77777777" w:rsidR="00E62C65" w:rsidRDefault="00474360">
      <w:pPr>
        <w:spacing w:after="0" w:line="360" w:lineRule="auto"/>
        <w:ind w:firstLine="709"/>
        <w:jc w:val="both"/>
      </w:pPr>
      <w:r>
        <w:t>A interpretabilidade foi avaliada por importância por permutação (out-of-fold, múltiplas repetições, métrica PR-AUC). As variáveis com maior impacto na permutação incluíram, em ordem aproximada, dificuldades_saude, faixa_renda, deixou_de_comer_falta_dinheiro, escolaridade, distancia_ubs e acesso_ubs. A importância por permutação foi escolhida por ser aplicável a qualquer modelo e por mitigar o viés das medidas baseadas em impureza (ALTMANN et al., 2010); deve, todavia, ser interpretada com cautela, pois a permutação irrestrita pode extrapolar a região de suporte dos dados (HOOKER; MENTCH; ZHOU, 2021), e a importância de variável descreve o modelo treinado, e não relações causais (FISHER; RUDIN; DOMINICI, 2019).</w:t>
      </w:r>
    </w:p>
    <w:p w14:paraId="5B7868FA" w14:textId="77777777" w:rsidR="00E62C65" w:rsidRDefault="00E62C65"/>
    <w:p w14:paraId="35603150" w14:textId="77777777" w:rsidR="00E62C65" w:rsidRDefault="00E62C65"/>
    <w:p w14:paraId="46509285" w14:textId="77777777" w:rsidR="00E62C65" w:rsidRDefault="00E62C65"/>
    <w:p w14:paraId="1C11C499" w14:textId="77777777" w:rsidR="00BD1FD8" w:rsidRDefault="0033527E">
      <w:pPr>
        <w:jc w:val="both"/>
      </w:pPr>
      <w:r>
        <w:t>A Figura 10 apresenta a importância por permutação das quinze variáveis de maior impacto no modelo.</w:t>
      </w:r>
    </w:p>
    <w:p w14:paraId="70AFD19C" w14:textId="77777777" w:rsidR="00114E20" w:rsidRDefault="00D41E34">
      <w:pPr>
        <w:jc w:val="center"/>
      </w:pPr>
      <w:r>
        <w:lastRenderedPageBreak/>
        <w:t>Figura 10 — Importância por permutação (PR-AUC, out-of-fold) das 15 variáveis de maior impacto</w:t>
      </w:r>
    </w:p>
    <w:p w14:paraId="24093812" w14:textId="77777777" w:rsidR="00114E20" w:rsidRDefault="00D41E34">
      <w:pPr>
        <w:jc w:val="center"/>
      </w:pPr>
      <w:r>
        <w:rPr>
          <w:noProof/>
        </w:rPr>
        <w:drawing>
          <wp:inline distT="0" distB="0" distL="0" distR="0" wp14:anchorId="5453334D" wp14:editId="16E3E412">
            <wp:extent cx="540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importancia_permutacao.png"/>
                    <pic:cNvPicPr/>
                  </pic:nvPicPr>
                  <pic:blipFill>
                    <a:blip r:embed="rId17"/>
                    <a:stretch>
                      <a:fillRect/>
                    </a:stretch>
                  </pic:blipFill>
                  <pic:spPr>
                    <a:xfrm>
                      <a:off x="0" y="0"/>
                      <a:ext cx="5400000" cy="3240000"/>
                    </a:xfrm>
                    <a:prstGeom prst="rect">
                      <a:avLst/>
                    </a:prstGeom>
                  </pic:spPr>
                </pic:pic>
              </a:graphicData>
            </a:graphic>
          </wp:inline>
        </w:drawing>
      </w:r>
    </w:p>
    <w:p w14:paraId="10B8E1AF" w14:textId="77777777" w:rsidR="00114E20" w:rsidRDefault="00D41E34">
      <w:pPr>
        <w:jc w:val="center"/>
      </w:pPr>
      <w:r>
        <w:rPr>
          <w:sz w:val="18"/>
        </w:rPr>
        <w:t>Fonte: elaboração própria (2026), a partir dos artefatos de interpretabilidade do projeto.</w:t>
      </w:r>
    </w:p>
    <w:p w14:paraId="1FB6B391" w14:textId="77777777" w:rsidR="00E62C65" w:rsidRDefault="00474360">
      <w:pPr>
        <w:pStyle w:val="Ttulo2"/>
      </w:pPr>
      <w:bookmarkStart w:id="54" w:name="_Toc238759990"/>
      <w:r>
        <w:rPr>
          <w:rFonts w:ascii="Times New Roman" w:eastAsia="Times New Roman" w:hAnsi="Times New Roman"/>
        </w:rPr>
        <w:t>5.8 IV-DSS</w:t>
      </w:r>
      <w:bookmarkEnd w:id="54"/>
    </w:p>
    <w:p w14:paraId="3F1395F8" w14:textId="77777777" w:rsidR="00E62C65" w:rsidRDefault="00474360">
      <w:pPr>
        <w:spacing w:after="0" w:line="360" w:lineRule="auto"/>
        <w:ind w:firstLine="709"/>
        <w:jc w:val="both"/>
      </w:pPr>
      <w:r>
        <w:rPr>
          <w:rFonts w:eastAsia="Times New Roman"/>
        </w:rPr>
        <w:t xml:space="preserve">O IV-DSS foi </w:t>
      </w:r>
      <w:r>
        <w:rPr>
          <w:rFonts w:eastAsia="Times New Roman"/>
          <w:b/>
        </w:rPr>
        <w:t>implementado e calculado</w:t>
      </w:r>
      <w:r>
        <w:rPr>
          <w:rFonts w:eastAsia="Times New Roman"/>
        </w:rPr>
        <w:t xml:space="preserve"> sobre os 5.000 registros sintéticos, com as seis dimensões (educação; trabalho e renda; saneamento; acesso aos serviços de saúde; habitação; alimentação). O índice principal (cobertura 6/6) foi calculável para </w:t>
      </w:r>
      <w:r>
        <w:rPr>
          <w:rFonts w:eastAsia="Times New Roman"/>
          <w:b/>
        </w:rPr>
        <w:t>4.643 registros</w:t>
      </w:r>
      <w:r>
        <w:rPr>
          <w:rFonts w:eastAsia="Times New Roman"/>
        </w:rPr>
        <w:t xml:space="preserve">; o índice parcial (cobertura 5/6), para </w:t>
      </w:r>
      <w:r>
        <w:rPr>
          <w:rFonts w:eastAsia="Times New Roman"/>
          <w:b/>
        </w:rPr>
        <w:t>352 registros</w:t>
      </w:r>
      <w:r>
        <w:rPr>
          <w:rFonts w:eastAsia="Times New Roman"/>
        </w:rPr>
        <w:t xml:space="preserve">; e </w:t>
      </w:r>
      <w:r>
        <w:rPr>
          <w:rFonts w:eastAsia="Times New Roman"/>
          <w:b/>
        </w:rPr>
        <w:t>5 registros</w:t>
      </w:r>
      <w:r>
        <w:rPr>
          <w:rFonts w:eastAsia="Times New Roman"/>
        </w:rPr>
        <w:t xml:space="preserve"> apresentaram cobertura inferior (4/6), permanecendo não calculáveis. O IV-DSS é um </w:t>
      </w:r>
      <w:r>
        <w:rPr>
          <w:rFonts w:eastAsia="Times New Roman"/>
          <w:b/>
        </w:rPr>
        <w:t>índice descritivo experimental de vulnerabilidade social</w:t>
      </w:r>
      <w:r>
        <w:rPr>
          <w:rFonts w:eastAsia="Times New Roman"/>
        </w:rPr>
        <w:t xml:space="preserve">, e permanece conceitualmente separado da probabilidade do modelo: </w:t>
      </w:r>
      <w:r>
        <w:rPr>
          <w:rFonts w:eastAsia="Times New Roman"/>
          <w:b/>
        </w:rPr>
        <w:t>IV-DSS ≠ P(Y) ≠ probability do Random Forest ≠ diagnóstico ≠ classificador</w:t>
      </w:r>
      <w:r>
        <w:rPr>
          <w:rFonts w:eastAsia="Times New Roman"/>
        </w:rPr>
        <w:t>.</w:t>
      </w:r>
    </w:p>
    <w:p w14:paraId="6D6D3231" w14:textId="77777777" w:rsidR="00E62C65" w:rsidRDefault="00474360">
      <w:pPr>
        <w:pStyle w:val="Ttulo2"/>
      </w:pPr>
      <w:bookmarkStart w:id="55" w:name="_Toc238759991"/>
      <w:r>
        <w:rPr>
          <w:rFonts w:ascii="Times New Roman" w:eastAsia="Times New Roman" w:hAnsi="Times New Roman"/>
        </w:rPr>
        <w:t>5.9 Validação da implementação de software</w:t>
      </w:r>
      <w:bookmarkEnd w:id="55"/>
    </w:p>
    <w:p w14:paraId="112B7F9C" w14:textId="77777777" w:rsidR="00E62C65" w:rsidRDefault="00474360">
      <w:pPr>
        <w:spacing w:after="0" w:line="360" w:lineRule="auto"/>
        <w:ind w:firstLine="709"/>
        <w:jc w:val="both"/>
      </w:pPr>
      <w:r>
        <w:rPr>
          <w:rFonts w:eastAsia="Times New Roman"/>
        </w:rPr>
        <w:t xml:space="preserve">A integração </w:t>
      </w:r>
      <w:r>
        <w:rPr>
          <w:rFonts w:eastAsia="Times New Roman"/>
          <w:b/>
        </w:rPr>
        <w:t>Flutter → FastAPI → IA → Flutter</w:t>
      </w:r>
      <w:r>
        <w:rPr>
          <w:rFonts w:eastAsia="Times New Roman"/>
        </w:rPr>
        <w:t xml:space="preserve"> foi validada de ponta a ponta em </w:t>
      </w:r>
      <w:r>
        <w:rPr>
          <w:rFonts w:eastAsia="Times New Roman"/>
          <w:b/>
        </w:rPr>
        <w:t>Android Emulator</w:t>
      </w:r>
      <w:r>
        <w:rPr>
          <w:rFonts w:eastAsia="Times New Roman"/>
        </w:rPr>
        <w:t xml:space="preserve">. Trata-se de uma </w:t>
      </w:r>
      <w:r>
        <w:rPr>
          <w:rFonts w:eastAsia="Times New Roman"/>
          <w:b/>
        </w:rPr>
        <w:t>validação de integração de software</w:t>
      </w:r>
      <w:r>
        <w:rPr>
          <w:rFonts w:eastAsia="Times New Roman"/>
        </w:rPr>
        <w:t xml:space="preserve"> (smoke test), e </w:t>
      </w:r>
      <w:r>
        <w:rPr>
          <w:rFonts w:eastAsia="Times New Roman"/>
          <w:b/>
        </w:rPr>
        <w:t>não</w:t>
      </w:r>
      <w:r>
        <w:rPr>
          <w:rFonts w:eastAsia="Times New Roman"/>
        </w:rPr>
        <w:t xml:space="preserve"> de validação clínica, validação externa do modelo ou evidência científica sobre a população real.</w:t>
      </w:r>
    </w:p>
    <w:p w14:paraId="4CCB363F" w14:textId="77777777" w:rsidR="00E62C65" w:rsidRDefault="00474360">
      <w:r>
        <w:t xml:space="preserve">Além disso, a </w:t>
      </w:r>
      <w:r>
        <w:rPr>
          <w:b/>
        </w:rPr>
        <w:t>infraestrutura de persistência</w:t>
      </w:r>
      <w:r>
        <w:t xml:space="preserve"> do backend foi validada contra </w:t>
      </w:r>
      <w:r>
        <w:rPr>
          <w:b/>
        </w:rPr>
        <w:t>PostgreSQL real</w:t>
      </w:r>
      <w:r>
        <w:t xml:space="preserve"> (bancos locais meu_bebe e meu_bebe_test). Foram verificados: a abertura de conexão; o teste de conectividade (SELECT 1); a criação e o encerramento de sessões do SQLAlchemy; </w:t>
      </w:r>
      <w:r>
        <w:lastRenderedPageBreak/>
        <w:t xml:space="preserve">a execução de transação e o respectivo </w:t>
      </w:r>
      <w:r>
        <w:rPr>
          <w:b/>
        </w:rPr>
        <w:t>rollback</w:t>
      </w:r>
      <w:r>
        <w:t xml:space="preserve">; o acesso do </w:t>
      </w:r>
      <w:r>
        <w:rPr>
          <w:b/>
        </w:rPr>
        <w:t>Alembic</w:t>
      </w:r>
      <w:r>
        <w:t xml:space="preserve"> ao banco; a ausência de </w:t>
      </w:r>
      <w:r>
        <w:rPr>
          <w:b/>
        </w:rPr>
        <w:t>tabelas residuais</w:t>
      </w:r>
      <w:r>
        <w:t xml:space="preserve">; e o descarte explícito do </w:t>
      </w:r>
      <w:r>
        <w:rPr>
          <w:b/>
        </w:rPr>
        <w:t>engine</w:t>
      </w:r>
      <w:r>
        <w:t xml:space="preserve"> no encerramento da aplicação.</w:t>
      </w:r>
    </w:p>
    <w:p w14:paraId="2AED0008" w14:textId="77777777" w:rsidR="00E62C65" w:rsidRDefault="00474360">
      <w:r>
        <w:t xml:space="preserve">Sobre essa infraestrutura, a </w:t>
      </w:r>
      <w:r>
        <w:rPr>
          <w:b/>
        </w:rPr>
        <w:t>autenticação</w:t>
      </w:r>
      <w:r>
        <w:t xml:space="preserve"> foi implementada e submetida a </w:t>
      </w:r>
      <w:r>
        <w:rPr>
          <w:b/>
        </w:rPr>
        <w:t>validação técnica/funcional</w:t>
      </w:r>
      <w:r>
        <w:t xml:space="preserve"> — </w:t>
      </w:r>
      <w:r>
        <w:rPr>
          <w:b/>
        </w:rPr>
        <w:t>não</w:t>
      </w:r>
      <w:r>
        <w:t xml:space="preserve"> de segurança de produção, validade clínica ou maturidade industrial. A </w:t>
      </w:r>
      <w:r>
        <w:rPr>
          <w:b/>
        </w:rPr>
        <w:t>primeira migration real</w:t>
      </w:r>
      <w:r>
        <w:t xml:space="preserve"> do Alembic (0001) cria as tabelas users e auth_refresh_sessions, com upgrade e downgrade reversíveis, conferidos contra </w:t>
      </w:r>
      <w:r>
        <w:rPr>
          <w:b/>
        </w:rPr>
        <w:t>PostgreSQL real</w:t>
      </w:r>
      <w:r>
        <w:t xml:space="preserve">. Foram implementados o </w:t>
      </w:r>
      <w:r>
        <w:rPr>
          <w:b/>
        </w:rPr>
        <w:t>usuário persistente</w:t>
      </w:r>
      <w:r>
        <w:t xml:space="preserve"> (USER, com hash </w:t>
      </w:r>
      <w:r>
        <w:rPr>
          <w:b/>
        </w:rPr>
        <w:t>Argon2id</w:t>
      </w:r>
      <w:r>
        <w:t xml:space="preserve">), as </w:t>
      </w:r>
      <w:r>
        <w:rPr>
          <w:b/>
        </w:rPr>
        <w:t>sessões de renovação persistentes</w:t>
      </w:r>
      <w:r>
        <w:t xml:space="preserve"> (AUTH_REFRESH_SESSION), os endpoints de autenticação (register, login, refresh, logout, me) e os tokens </w:t>
      </w:r>
      <w:r>
        <w:rPr>
          <w:b/>
        </w:rPr>
        <w:t>JWT (HS256)</w:t>
      </w:r>
      <w:r>
        <w:t xml:space="preserve"> — access de 15 minutos e refresh de 30 dias, com rotação simples.</w:t>
      </w:r>
    </w:p>
    <w:p w14:paraId="6126F105" w14:textId="77777777" w:rsidR="00E62C65" w:rsidRDefault="00474360">
      <w:r>
        <w:t>A suíte de testes da API encerrou com 323 testes aprovados, 0 falhas e 0 pulados, incluindo testes de autenticação e do domínio GESTANTE/GESTAÇÃO/HISTÓRICO OBSTÉTRICO contra PostgreSQL real (banco meu_bebe_test, nunca SQLite). Um smoke HTTP real validou o fluxo register → me → refresh → rejeição do refresh antigo → me com novo access → logout → rejeição do refresh revogado. No histórico obstétrico, os testes cobrem o UPSERT de singleton (criação na primeira escrita e atualização da mesma linha nas seguintes, preservando o identificador), a rejeição de campos indevidos e de contagens negativas (422) e o isolamento de propriedade entre usuárias. Reitera-se que esses testes validam a implementação de software, e não a validade clínica do modelo de ML.</w:t>
      </w:r>
    </w:p>
    <w:p w14:paraId="2DF93CE9" w14:textId="77777777" w:rsidR="00E62C65" w:rsidRDefault="00474360">
      <w:pPr>
        <w:pStyle w:val="Ttulo2"/>
      </w:pPr>
      <w:bookmarkStart w:id="56" w:name="_Toc238759992"/>
      <w:r>
        <w:rPr>
          <w:rFonts w:ascii="Times New Roman" w:eastAsia="Times New Roman" w:hAnsi="Times New Roman"/>
        </w:rPr>
        <w:t>5.10 Discussão</w:t>
      </w:r>
      <w:bookmarkEnd w:id="56"/>
    </w:p>
    <w:p w14:paraId="4DA2864B" w14:textId="77777777" w:rsidR="00E62C65" w:rsidRDefault="00474360">
      <w:pPr>
        <w:spacing w:after="0" w:line="360" w:lineRule="auto"/>
        <w:ind w:firstLine="709"/>
        <w:jc w:val="both"/>
      </w:pPr>
      <w:r>
        <w:rPr>
          <w:rFonts w:eastAsia="Times New Roman"/>
        </w:rPr>
        <w:t xml:space="preserve">Os resultados devem ser interpretados com cautela. A capacidade discriminativa do modelo é </w:t>
      </w:r>
      <w:r>
        <w:rPr>
          <w:rFonts w:eastAsia="Times New Roman"/>
          <w:b/>
        </w:rPr>
        <w:t>limitada</w:t>
      </w:r>
      <w:r>
        <w:rPr>
          <w:rFonts w:eastAsia="Times New Roman"/>
        </w:rPr>
        <w:t xml:space="preserve"> (ROC-AUC ≈ 0,62; PR-AUC ≈ 0,34), e o </w:t>
      </w:r>
      <w:r>
        <w:rPr>
          <w:rFonts w:eastAsia="Times New Roman"/>
          <w:b/>
        </w:rPr>
        <w:t>recall zero no threshold 0,5</w:t>
      </w:r>
      <w:r>
        <w:rPr>
          <w:rFonts w:eastAsia="Times New Roman"/>
        </w:rPr>
        <w:t xml:space="preserve"> evidencia que o modelo, sob um limiar de decisão convencional, não consegue identificar os casos positivos sintéticos. Não há threshold operacional adotado, e o produto apresenta apenas a probabilidade, evitando classificação individual.</w:t>
      </w:r>
    </w:p>
    <w:p w14:paraId="6F06C84E" w14:textId="77777777" w:rsidR="00E62C65" w:rsidRDefault="00474360">
      <w:pPr>
        <w:spacing w:after="0" w:line="360" w:lineRule="auto"/>
        <w:ind w:firstLine="709"/>
        <w:jc w:val="both"/>
      </w:pPr>
      <w:r>
        <w:rPr>
          <w:rFonts w:eastAsia="Times New Roman"/>
        </w:rPr>
        <w:t xml:space="preserve">Esse </w:t>
      </w:r>
      <w:r>
        <w:rPr>
          <w:rFonts w:eastAsia="Times New Roman"/>
          <w:b/>
        </w:rPr>
        <w:t>desempenho limitado é um resultado observado no experimento sintético</w:t>
      </w:r>
      <w:r>
        <w:rPr>
          <w:rFonts w:eastAsia="Times New Roman"/>
        </w:rPr>
        <w:t xml:space="preserve"> e, por si só, descreve o comportamento do modelo sobre esses dados. Já a </w:t>
      </w:r>
      <w:r>
        <w:rPr>
          <w:rFonts w:eastAsia="Times New Roman"/>
          <w:b/>
        </w:rPr>
        <w:t>natureza sintética</w:t>
      </w:r>
      <w:r>
        <w:rPr>
          <w:rFonts w:eastAsia="Times New Roman"/>
        </w:rPr>
        <w:t xml:space="preserve"> dos dados e a </w:t>
      </w:r>
      <w:r>
        <w:rPr>
          <w:rFonts w:eastAsia="Times New Roman"/>
          <w:b/>
        </w:rPr>
        <w:t>ausência de validação externa</w:t>
      </w:r>
      <w:r>
        <w:rPr>
          <w:rFonts w:eastAsia="Times New Roman"/>
        </w:rPr>
        <w:t xml:space="preserve"> implicam, de forma distinta, que tais resultados </w:t>
      </w:r>
      <w:r>
        <w:rPr>
          <w:rFonts w:eastAsia="Times New Roman"/>
          <w:b/>
        </w:rPr>
        <w:t>não representam desempenho clínico nem generalizam para a população real</w:t>
      </w:r>
      <w:r>
        <w:rPr>
          <w:rFonts w:eastAsia="Times New Roman"/>
        </w:rPr>
        <w:t xml:space="preserve"> — não são a causa das métricas observadas. O valor do trabalho, nesta etapa, está </w:t>
      </w:r>
      <w:r>
        <w:rPr>
          <w:rFonts w:eastAsia="Times New Roman"/>
          <w:b/>
        </w:rPr>
        <w:t>menos</w:t>
      </w:r>
      <w:r>
        <w:rPr>
          <w:rFonts w:eastAsia="Times New Roman"/>
        </w:rPr>
        <w:t xml:space="preserve"> no desempenho preditivo e </w:t>
      </w:r>
      <w:r>
        <w:rPr>
          <w:rFonts w:eastAsia="Times New Roman"/>
          <w:b/>
        </w:rPr>
        <w:t>mais</w:t>
      </w:r>
      <w:r>
        <w:rPr>
          <w:rFonts w:eastAsia="Times New Roman"/>
        </w:rPr>
        <w:t xml:space="preserve"> na consolidação de um pipeline experimental reproduzível (contrato de dados, geração controlada, protocolo de treinamento/validação, métricas de desbalanceamento, calibração, sensibilidade, interpretabilidade e integração de software) que poderá ser reutilizado em etapas futuras com dados reais.</w:t>
      </w:r>
    </w:p>
    <w:p w14:paraId="723F491A" w14:textId="77777777" w:rsidR="00E62C65" w:rsidRDefault="00474360">
      <w:pPr>
        <w:spacing w:after="0" w:line="360" w:lineRule="auto"/>
        <w:ind w:firstLine="709"/>
        <w:jc w:val="both"/>
      </w:pPr>
      <w:r>
        <w:rPr>
          <w:rFonts w:eastAsia="Times New Roman"/>
        </w:rPr>
        <w:t xml:space="preserve">A integração tecnológica — questionário DSS, modelo de ML e módulo de acompanhamento pré-natal em uma única aplicação — constitui um resultado de engenharia válido </w:t>
      </w:r>
      <w:r>
        <w:rPr>
          <w:rFonts w:eastAsia="Times New Roman"/>
          <w:b/>
        </w:rPr>
        <w:t>independentemente</w:t>
      </w:r>
      <w:r>
        <w:rPr>
          <w:rFonts w:eastAsia="Times New Roman"/>
        </w:rPr>
        <w:t xml:space="preserve"> da validade clínica do modelo.</w:t>
      </w:r>
    </w:p>
    <w:p w14:paraId="00E45286" w14:textId="77777777" w:rsidR="00114E20" w:rsidRDefault="00D41E34">
      <w:r>
        <w:lastRenderedPageBreak/>
        <w:t>A interpretação dos resultados deve ainda considerar a diferença entre validação técnica de software, validação científica em dados reais e validação clínica: este trabalho realizou a primeira, e não as demais. A avaliação de risco de viés e o relato transparente de modelos preditivos (COLLINS et al., 2015; WOLFF et al., 2019), a atenção a vieses algorítmicos (OBERMEYER et al., 2019) e a calibração das probabilidades (VAN CALSTER et al., 2019) constituem requisitos a observar caso a metodologia venha a ser estendida a dados reais.</w:t>
      </w:r>
    </w:p>
    <w:p w14:paraId="523E9DB2" w14:textId="77777777" w:rsidR="00E62C65" w:rsidRDefault="00474360">
      <w:pPr>
        <w:keepNext/>
        <w:spacing w:before="120" w:after="80"/>
      </w:pPr>
      <w:r>
        <w:rPr>
          <w:b/>
        </w:rPr>
        <w:t>Tabela 8 – Cobertura do IV-DSS no dataset sintético</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700E9173" w14:textId="77777777">
        <w:trPr>
          <w:tblHeader/>
          <w:jc w:val="center"/>
        </w:trPr>
        <w:tc>
          <w:tcPr>
            <w:tcW w:w="3024" w:type="dxa"/>
            <w:shd w:val="clear" w:color="auto" w:fill="E7E6E6"/>
            <w:vAlign w:val="center"/>
          </w:tcPr>
          <w:p w14:paraId="4734864A" w14:textId="77777777" w:rsidR="00E62C65" w:rsidRDefault="00474360">
            <w:pPr>
              <w:spacing w:after="0" w:line="240" w:lineRule="auto"/>
              <w:jc w:val="center"/>
              <w:rPr>
                <w:rFonts w:eastAsia="MS Mincho"/>
              </w:rPr>
            </w:pPr>
            <w:r>
              <w:rPr>
                <w:rFonts w:eastAsia="Times New Roman"/>
                <w:b/>
                <w:sz w:val="18"/>
              </w:rPr>
              <w:t>Cobertura</w:t>
            </w:r>
          </w:p>
        </w:tc>
        <w:tc>
          <w:tcPr>
            <w:tcW w:w="3024" w:type="dxa"/>
            <w:shd w:val="clear" w:color="auto" w:fill="E7E6E6"/>
            <w:vAlign w:val="center"/>
          </w:tcPr>
          <w:p w14:paraId="451094E8" w14:textId="77777777" w:rsidR="00E62C65" w:rsidRDefault="00474360">
            <w:pPr>
              <w:spacing w:after="0" w:line="240" w:lineRule="auto"/>
              <w:jc w:val="center"/>
              <w:rPr>
                <w:rFonts w:eastAsia="MS Mincho"/>
              </w:rPr>
            </w:pPr>
            <w:r>
              <w:rPr>
                <w:rFonts w:eastAsia="Times New Roman"/>
                <w:b/>
                <w:sz w:val="18"/>
              </w:rPr>
              <w:t>Registros</w:t>
            </w:r>
          </w:p>
        </w:tc>
        <w:tc>
          <w:tcPr>
            <w:tcW w:w="3024" w:type="dxa"/>
            <w:shd w:val="clear" w:color="auto" w:fill="E7E6E6"/>
            <w:vAlign w:val="center"/>
          </w:tcPr>
          <w:p w14:paraId="282D61D3" w14:textId="77777777" w:rsidR="00E62C65" w:rsidRDefault="00474360">
            <w:pPr>
              <w:spacing w:after="0" w:line="240" w:lineRule="auto"/>
              <w:jc w:val="center"/>
              <w:rPr>
                <w:rFonts w:eastAsia="MS Mincho"/>
              </w:rPr>
            </w:pPr>
            <w:r>
              <w:rPr>
                <w:rFonts w:eastAsia="Times New Roman"/>
                <w:b/>
                <w:sz w:val="18"/>
              </w:rPr>
              <w:t>Interpretação</w:t>
            </w:r>
          </w:p>
        </w:tc>
      </w:tr>
      <w:tr w:rsidR="00E62C65" w14:paraId="4030CDD7" w14:textId="77777777">
        <w:trPr>
          <w:jc w:val="center"/>
        </w:trPr>
        <w:tc>
          <w:tcPr>
            <w:tcW w:w="3024" w:type="dxa"/>
            <w:vAlign w:val="center"/>
          </w:tcPr>
          <w:p w14:paraId="79EED2A6" w14:textId="77777777" w:rsidR="00E62C65" w:rsidRDefault="00474360">
            <w:pPr>
              <w:spacing w:after="0" w:line="240" w:lineRule="auto"/>
              <w:rPr>
                <w:rFonts w:eastAsia="MS Mincho"/>
              </w:rPr>
            </w:pPr>
            <w:r>
              <w:rPr>
                <w:rFonts w:eastAsia="Times New Roman"/>
                <w:sz w:val="18"/>
              </w:rPr>
              <w:t>6/6 dimensões</w:t>
            </w:r>
          </w:p>
        </w:tc>
        <w:tc>
          <w:tcPr>
            <w:tcW w:w="3024" w:type="dxa"/>
            <w:vAlign w:val="center"/>
          </w:tcPr>
          <w:p w14:paraId="5A141D78" w14:textId="77777777" w:rsidR="00E62C65" w:rsidRDefault="00474360">
            <w:pPr>
              <w:spacing w:after="0" w:line="240" w:lineRule="auto"/>
              <w:rPr>
                <w:rFonts w:eastAsia="MS Mincho"/>
              </w:rPr>
            </w:pPr>
            <w:r>
              <w:rPr>
                <w:rFonts w:eastAsia="Times New Roman"/>
                <w:sz w:val="18"/>
              </w:rPr>
              <w:t>4.643</w:t>
            </w:r>
          </w:p>
        </w:tc>
        <w:tc>
          <w:tcPr>
            <w:tcW w:w="3024" w:type="dxa"/>
            <w:vAlign w:val="center"/>
          </w:tcPr>
          <w:p w14:paraId="50BB657A" w14:textId="77777777" w:rsidR="00E62C65" w:rsidRDefault="00474360">
            <w:pPr>
              <w:spacing w:after="0" w:line="240" w:lineRule="auto"/>
              <w:rPr>
                <w:rFonts w:eastAsia="MS Mincho"/>
              </w:rPr>
            </w:pPr>
            <w:r>
              <w:rPr>
                <w:rFonts w:eastAsia="Times New Roman"/>
                <w:sz w:val="18"/>
              </w:rPr>
              <w:t>IV-DSS principal calculável</w:t>
            </w:r>
          </w:p>
        </w:tc>
      </w:tr>
      <w:tr w:rsidR="00E62C65" w14:paraId="282A76F9" w14:textId="77777777">
        <w:trPr>
          <w:jc w:val="center"/>
        </w:trPr>
        <w:tc>
          <w:tcPr>
            <w:tcW w:w="3024" w:type="dxa"/>
            <w:vAlign w:val="center"/>
          </w:tcPr>
          <w:p w14:paraId="2B5586C0" w14:textId="77777777" w:rsidR="00E62C65" w:rsidRDefault="00474360">
            <w:pPr>
              <w:spacing w:after="0" w:line="240" w:lineRule="auto"/>
              <w:rPr>
                <w:rFonts w:eastAsia="MS Mincho"/>
              </w:rPr>
            </w:pPr>
            <w:r>
              <w:rPr>
                <w:rFonts w:eastAsia="Times New Roman"/>
                <w:sz w:val="18"/>
              </w:rPr>
              <w:t>5/6 dimensões</w:t>
            </w:r>
          </w:p>
        </w:tc>
        <w:tc>
          <w:tcPr>
            <w:tcW w:w="3024" w:type="dxa"/>
            <w:vAlign w:val="center"/>
          </w:tcPr>
          <w:p w14:paraId="0B1F3ED5" w14:textId="77777777" w:rsidR="00E62C65" w:rsidRDefault="00474360">
            <w:pPr>
              <w:spacing w:after="0" w:line="240" w:lineRule="auto"/>
              <w:rPr>
                <w:rFonts w:eastAsia="MS Mincho"/>
              </w:rPr>
            </w:pPr>
            <w:r>
              <w:rPr>
                <w:rFonts w:eastAsia="Times New Roman"/>
                <w:sz w:val="18"/>
              </w:rPr>
              <w:t>352</w:t>
            </w:r>
          </w:p>
        </w:tc>
        <w:tc>
          <w:tcPr>
            <w:tcW w:w="3024" w:type="dxa"/>
            <w:vAlign w:val="center"/>
          </w:tcPr>
          <w:p w14:paraId="48BA2501" w14:textId="77777777" w:rsidR="00E62C65" w:rsidRDefault="00474360">
            <w:pPr>
              <w:spacing w:after="0" w:line="240" w:lineRule="auto"/>
              <w:rPr>
                <w:rFonts w:eastAsia="MS Mincho"/>
              </w:rPr>
            </w:pPr>
            <w:r>
              <w:rPr>
                <w:rFonts w:eastAsia="Times New Roman"/>
                <w:sz w:val="18"/>
              </w:rPr>
              <w:t>IV-DSS parcial auxiliar</w:t>
            </w:r>
          </w:p>
        </w:tc>
      </w:tr>
      <w:tr w:rsidR="00E62C65" w14:paraId="1D677BF4" w14:textId="77777777">
        <w:trPr>
          <w:jc w:val="center"/>
        </w:trPr>
        <w:tc>
          <w:tcPr>
            <w:tcW w:w="3024" w:type="dxa"/>
            <w:vAlign w:val="center"/>
          </w:tcPr>
          <w:p w14:paraId="0022FF9C" w14:textId="77777777" w:rsidR="00E62C65" w:rsidRDefault="00474360">
            <w:pPr>
              <w:spacing w:after="0" w:line="240" w:lineRule="auto"/>
              <w:rPr>
                <w:rFonts w:eastAsia="MS Mincho"/>
              </w:rPr>
            </w:pPr>
            <w:r>
              <w:rPr>
                <w:rFonts w:eastAsia="Times New Roman"/>
                <w:sz w:val="18"/>
              </w:rPr>
              <w:t>4/6 dimensões</w:t>
            </w:r>
          </w:p>
        </w:tc>
        <w:tc>
          <w:tcPr>
            <w:tcW w:w="3024" w:type="dxa"/>
            <w:vAlign w:val="center"/>
          </w:tcPr>
          <w:p w14:paraId="59B4AC48" w14:textId="77777777" w:rsidR="00E62C65" w:rsidRDefault="00474360">
            <w:pPr>
              <w:spacing w:after="0" w:line="240" w:lineRule="auto"/>
              <w:rPr>
                <w:rFonts w:eastAsia="MS Mincho"/>
              </w:rPr>
            </w:pPr>
            <w:r>
              <w:rPr>
                <w:rFonts w:eastAsia="Times New Roman"/>
                <w:sz w:val="18"/>
              </w:rPr>
              <w:t>5</w:t>
            </w:r>
          </w:p>
        </w:tc>
        <w:tc>
          <w:tcPr>
            <w:tcW w:w="3024" w:type="dxa"/>
            <w:vAlign w:val="center"/>
          </w:tcPr>
          <w:p w14:paraId="0342313C" w14:textId="77777777" w:rsidR="00E62C65" w:rsidRDefault="00474360">
            <w:pPr>
              <w:spacing w:after="0" w:line="240" w:lineRule="auto"/>
              <w:rPr>
                <w:rFonts w:eastAsia="MS Mincho"/>
              </w:rPr>
            </w:pPr>
            <w:r>
              <w:rPr>
                <w:rFonts w:eastAsia="Times New Roman"/>
                <w:sz w:val="18"/>
              </w:rPr>
              <w:t>Não calculável</w:t>
            </w:r>
          </w:p>
        </w:tc>
      </w:tr>
    </w:tbl>
    <w:p w14:paraId="260AF91D" w14:textId="77777777" w:rsidR="00E62C65" w:rsidRDefault="00474360">
      <w:pPr>
        <w:spacing w:before="40" w:after="120"/>
      </w:pPr>
      <w:r>
        <w:rPr>
          <w:rFonts w:eastAsia="Times New Roman"/>
          <w:sz w:val="18"/>
        </w:rPr>
        <w:t>Fonte: elaboração própria (2026), a partir dos artefatos do experimento.</w:t>
      </w:r>
    </w:p>
    <w:p w14:paraId="0E03A43B" w14:textId="77777777" w:rsidR="00E62C65" w:rsidRDefault="00474360">
      <w:r>
        <w:br w:type="page"/>
      </w:r>
    </w:p>
    <w:p w14:paraId="3CC024FB" w14:textId="77777777" w:rsidR="00BD1FD8" w:rsidRDefault="0033527E">
      <w:pPr>
        <w:jc w:val="both"/>
      </w:pPr>
      <w:r>
        <w:lastRenderedPageBreak/>
        <w:t>A Figura 11 apresenta a cobertura do IV-DSS sobre os 5.000 registros do dataset sintético.</w:t>
      </w:r>
    </w:p>
    <w:p w14:paraId="325777D8" w14:textId="77777777" w:rsidR="00114E20" w:rsidRDefault="00D41E34">
      <w:pPr>
        <w:jc w:val="center"/>
      </w:pPr>
      <w:r>
        <w:t>Figura 11 — Cobertura do IV-DSS no dataset sintético</w:t>
      </w:r>
    </w:p>
    <w:p w14:paraId="609D57F5" w14:textId="77777777" w:rsidR="00114E20" w:rsidRDefault="00D41E34">
      <w:pPr>
        <w:jc w:val="center"/>
      </w:pPr>
      <w:r>
        <w:rPr>
          <w:noProof/>
        </w:rPr>
        <w:drawing>
          <wp:inline distT="0" distB="0" distL="0" distR="0" wp14:anchorId="3FB14AE0" wp14:editId="0F924008">
            <wp:extent cx="5400000" cy="33330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obertura_iv_dss.png"/>
                    <pic:cNvPicPr/>
                  </pic:nvPicPr>
                  <pic:blipFill>
                    <a:blip r:embed="rId18"/>
                    <a:stretch>
                      <a:fillRect/>
                    </a:stretch>
                  </pic:blipFill>
                  <pic:spPr>
                    <a:xfrm>
                      <a:off x="0" y="0"/>
                      <a:ext cx="5400000" cy="3333014"/>
                    </a:xfrm>
                    <a:prstGeom prst="rect">
                      <a:avLst/>
                    </a:prstGeom>
                  </pic:spPr>
                </pic:pic>
              </a:graphicData>
            </a:graphic>
          </wp:inline>
        </w:drawing>
      </w:r>
    </w:p>
    <w:p w14:paraId="0F443E94" w14:textId="77777777" w:rsidR="00114E20" w:rsidRDefault="00D41E34">
      <w:pPr>
        <w:jc w:val="center"/>
      </w:pPr>
      <w:r>
        <w:rPr>
          <w:sz w:val="18"/>
        </w:rPr>
        <w:t>Fonte: elaboração própria (2026), a partir dos artefatos do experimento.</w:t>
      </w:r>
    </w:p>
    <w:p w14:paraId="48216ECF" w14:textId="77777777" w:rsidR="00CD492F" w:rsidRDefault="0059251A">
      <w:pPr>
        <w:pStyle w:val="Ttulo2"/>
      </w:pPr>
      <w:bookmarkStart w:id="57" w:name="_Toc238759993"/>
      <w:r>
        <w:rPr>
          <w:rFonts w:ascii="Times New Roman" w:eastAsia="Times New Roman" w:hAnsi="Times New Roman" w:cs="Times New Roman"/>
          <w:b w:val="0"/>
        </w:rPr>
        <w:t>5.11 Análise exploratória dos perfis DSS com Self-Organizing Map</w:t>
      </w:r>
      <w:bookmarkEnd w:id="57"/>
    </w:p>
    <w:p w14:paraId="45A4DA22" w14:textId="77777777" w:rsidR="00CD492F" w:rsidRDefault="0059251A">
      <w:pPr>
        <w:ind w:firstLine="709"/>
        <w:jc w:val="both"/>
      </w:pPr>
      <w:r>
        <w:rPr>
          <w:rFonts w:eastAsia="Times New Roman" w:cs="Times New Roman"/>
        </w:rPr>
        <w:t xml:space="preserve">Esta subseção apresenta os resultados da análise exploratória não supervisionada, cujo objetivo é caracterizar perfis de registros com características DSS semelhantes no conjunto sintético. O SOM foi treinado sobre os 4.000 registros de treino (grade 10×10, 100 neurônios, sigma0 = 5,0, learning_rate0 = 0,5, 3.000 iterações, seed 42), com normalização min-max exclusiva nas 9 features não binárias. Na escala normalizada, o erro de quantização foi QE = 3,099895 e o erro topográfico foi TE = 0,130250 — valores </w:t>
      </w:r>
      <w:r>
        <w:rPr>
          <w:rFonts w:eastAsia="Times New Roman" w:cs="Times New Roman"/>
        </w:rPr>
        <w:t>que caracterizam a qualidade do mapa, sem comparabilidade com ROC-AUC, PR-AUC ou Brier.</w:t>
      </w:r>
    </w:p>
    <w:p w14:paraId="60512982" w14:textId="77777777" w:rsidR="00CD492F" w:rsidRDefault="0059251A">
      <w:pPr>
        <w:ind w:firstLine="709"/>
        <w:jc w:val="both"/>
      </w:pPr>
      <w:r>
        <w:rPr>
          <w:rFonts w:eastAsia="Times New Roman" w:cs="Times New Roman"/>
        </w:rPr>
        <w:t>O número de grupos foi escolhido entre k = 2 e k = 6 pelo coeficiente de Silhouette. A Tabela 9 apresenta os valores obtidos:</w:t>
      </w:r>
    </w:p>
    <w:p w14:paraId="24B2544B" w14:textId="77777777" w:rsidR="00CD492F" w:rsidRDefault="0059251A">
      <w:pPr>
        <w:spacing w:before="40" w:after="120"/>
        <w:jc w:val="center"/>
      </w:pPr>
      <w:r>
        <w:rPr>
          <w:rFonts w:eastAsia="Times New Roman" w:cs="Times New Roman"/>
        </w:rPr>
        <w:t>Tabela 9 – Coeficiente de Silhouette segundo o número de agrupamentos</w:t>
      </w:r>
    </w:p>
    <w:tbl>
      <w:tblPr>
        <w:tblStyle w:val="Tabelacomgrade"/>
        <w:tblW w:w="9070" w:type="dxa"/>
        <w:jc w:val="center"/>
        <w:tblLook w:val="04A0" w:firstRow="1" w:lastRow="0" w:firstColumn="1" w:lastColumn="0" w:noHBand="0" w:noVBand="1"/>
      </w:tblPr>
      <w:tblGrid>
        <w:gridCol w:w="4535"/>
        <w:gridCol w:w="4535"/>
      </w:tblGrid>
      <w:tr w:rsidR="00CD492F" w14:paraId="755E4CE6" w14:textId="77777777">
        <w:trPr>
          <w:tblHeader/>
          <w:jc w:val="center"/>
        </w:trPr>
        <w:tc>
          <w:tcPr>
            <w:tcW w:w="4535" w:type="dxa"/>
          </w:tcPr>
          <w:p w14:paraId="68588295" w14:textId="77777777" w:rsidR="00CD492F" w:rsidRDefault="0059251A">
            <w:pPr>
              <w:jc w:val="center"/>
            </w:pPr>
            <w:r>
              <w:rPr>
                <w:rFonts w:eastAsia="Times New Roman" w:cs="Times New Roman"/>
                <w:b/>
                <w:sz w:val="20"/>
              </w:rPr>
              <w:t>k</w:t>
            </w:r>
          </w:p>
        </w:tc>
        <w:tc>
          <w:tcPr>
            <w:tcW w:w="4535" w:type="dxa"/>
          </w:tcPr>
          <w:p w14:paraId="269676F5" w14:textId="77777777" w:rsidR="00CD492F" w:rsidRDefault="0059251A">
            <w:pPr>
              <w:jc w:val="center"/>
            </w:pPr>
            <w:r>
              <w:rPr>
                <w:rFonts w:eastAsia="Times New Roman" w:cs="Times New Roman"/>
                <w:b/>
                <w:sz w:val="20"/>
              </w:rPr>
              <w:t>Coeficiente de Silhouette</w:t>
            </w:r>
          </w:p>
        </w:tc>
      </w:tr>
      <w:tr w:rsidR="00CD492F" w14:paraId="0D9F19D7" w14:textId="77777777">
        <w:trPr>
          <w:jc w:val="center"/>
        </w:trPr>
        <w:tc>
          <w:tcPr>
            <w:tcW w:w="4535" w:type="dxa"/>
          </w:tcPr>
          <w:p w14:paraId="3DB900BA" w14:textId="77777777" w:rsidR="00CD492F" w:rsidRDefault="0059251A">
            <w:pPr>
              <w:jc w:val="center"/>
            </w:pPr>
            <w:r>
              <w:rPr>
                <w:rFonts w:eastAsia="Times New Roman" w:cs="Times New Roman"/>
                <w:sz w:val="20"/>
              </w:rPr>
              <w:t>2</w:t>
            </w:r>
          </w:p>
        </w:tc>
        <w:tc>
          <w:tcPr>
            <w:tcW w:w="4535" w:type="dxa"/>
          </w:tcPr>
          <w:p w14:paraId="7D5DAC12" w14:textId="77777777" w:rsidR="00CD492F" w:rsidRDefault="0059251A">
            <w:pPr>
              <w:jc w:val="center"/>
            </w:pPr>
            <w:r>
              <w:rPr>
                <w:rFonts w:eastAsia="Times New Roman" w:cs="Times New Roman"/>
                <w:sz w:val="20"/>
              </w:rPr>
              <w:t>0,430873</w:t>
            </w:r>
          </w:p>
        </w:tc>
      </w:tr>
      <w:tr w:rsidR="00CD492F" w14:paraId="4D3C2CBD" w14:textId="77777777">
        <w:trPr>
          <w:jc w:val="center"/>
        </w:trPr>
        <w:tc>
          <w:tcPr>
            <w:tcW w:w="4535" w:type="dxa"/>
          </w:tcPr>
          <w:p w14:paraId="2BAF04C7" w14:textId="77777777" w:rsidR="00CD492F" w:rsidRDefault="0059251A">
            <w:pPr>
              <w:jc w:val="center"/>
            </w:pPr>
            <w:r>
              <w:rPr>
                <w:rFonts w:eastAsia="Times New Roman" w:cs="Times New Roman"/>
                <w:sz w:val="20"/>
              </w:rPr>
              <w:t>3</w:t>
            </w:r>
          </w:p>
        </w:tc>
        <w:tc>
          <w:tcPr>
            <w:tcW w:w="4535" w:type="dxa"/>
          </w:tcPr>
          <w:p w14:paraId="74571E8E" w14:textId="77777777" w:rsidR="00CD492F" w:rsidRDefault="0059251A">
            <w:pPr>
              <w:jc w:val="center"/>
            </w:pPr>
            <w:r>
              <w:rPr>
                <w:rFonts w:eastAsia="Times New Roman" w:cs="Times New Roman"/>
                <w:sz w:val="20"/>
              </w:rPr>
              <w:t>0,370738</w:t>
            </w:r>
          </w:p>
        </w:tc>
      </w:tr>
      <w:tr w:rsidR="00CD492F" w14:paraId="51B7F799" w14:textId="77777777">
        <w:trPr>
          <w:jc w:val="center"/>
        </w:trPr>
        <w:tc>
          <w:tcPr>
            <w:tcW w:w="4535" w:type="dxa"/>
          </w:tcPr>
          <w:p w14:paraId="188D31F1" w14:textId="77777777" w:rsidR="00CD492F" w:rsidRDefault="0059251A">
            <w:pPr>
              <w:jc w:val="center"/>
            </w:pPr>
            <w:r>
              <w:rPr>
                <w:rFonts w:eastAsia="Times New Roman" w:cs="Times New Roman"/>
                <w:sz w:val="20"/>
              </w:rPr>
              <w:t>4</w:t>
            </w:r>
          </w:p>
        </w:tc>
        <w:tc>
          <w:tcPr>
            <w:tcW w:w="4535" w:type="dxa"/>
          </w:tcPr>
          <w:p w14:paraId="7BC1B7E0" w14:textId="77777777" w:rsidR="00CD492F" w:rsidRDefault="0059251A">
            <w:pPr>
              <w:jc w:val="center"/>
            </w:pPr>
            <w:r>
              <w:rPr>
                <w:rFonts w:eastAsia="Times New Roman" w:cs="Times New Roman"/>
                <w:sz w:val="20"/>
              </w:rPr>
              <w:t>0,292433</w:t>
            </w:r>
          </w:p>
        </w:tc>
      </w:tr>
      <w:tr w:rsidR="00CD492F" w14:paraId="5963CB9B" w14:textId="77777777">
        <w:trPr>
          <w:jc w:val="center"/>
        </w:trPr>
        <w:tc>
          <w:tcPr>
            <w:tcW w:w="4535" w:type="dxa"/>
          </w:tcPr>
          <w:p w14:paraId="19A27FBA" w14:textId="77777777" w:rsidR="00CD492F" w:rsidRDefault="0059251A">
            <w:pPr>
              <w:jc w:val="center"/>
            </w:pPr>
            <w:r>
              <w:rPr>
                <w:rFonts w:eastAsia="Times New Roman" w:cs="Times New Roman"/>
                <w:sz w:val="20"/>
              </w:rPr>
              <w:t>5</w:t>
            </w:r>
          </w:p>
        </w:tc>
        <w:tc>
          <w:tcPr>
            <w:tcW w:w="4535" w:type="dxa"/>
          </w:tcPr>
          <w:p w14:paraId="0A0ABF91" w14:textId="77777777" w:rsidR="00CD492F" w:rsidRDefault="0059251A">
            <w:pPr>
              <w:jc w:val="center"/>
            </w:pPr>
            <w:r>
              <w:rPr>
                <w:rFonts w:eastAsia="Times New Roman" w:cs="Times New Roman"/>
                <w:sz w:val="20"/>
              </w:rPr>
              <w:t>0,259496</w:t>
            </w:r>
          </w:p>
        </w:tc>
      </w:tr>
      <w:tr w:rsidR="00CD492F" w14:paraId="539C9A5B" w14:textId="77777777">
        <w:trPr>
          <w:jc w:val="center"/>
        </w:trPr>
        <w:tc>
          <w:tcPr>
            <w:tcW w:w="4535" w:type="dxa"/>
          </w:tcPr>
          <w:p w14:paraId="6486E068" w14:textId="77777777" w:rsidR="00CD492F" w:rsidRDefault="0059251A">
            <w:pPr>
              <w:jc w:val="center"/>
            </w:pPr>
            <w:r>
              <w:rPr>
                <w:rFonts w:eastAsia="Times New Roman" w:cs="Times New Roman"/>
                <w:sz w:val="20"/>
              </w:rPr>
              <w:t>6</w:t>
            </w:r>
          </w:p>
        </w:tc>
        <w:tc>
          <w:tcPr>
            <w:tcW w:w="4535" w:type="dxa"/>
          </w:tcPr>
          <w:p w14:paraId="255BF396" w14:textId="77777777" w:rsidR="00CD492F" w:rsidRDefault="0059251A">
            <w:pPr>
              <w:jc w:val="center"/>
            </w:pPr>
            <w:r>
              <w:rPr>
                <w:rFonts w:eastAsia="Times New Roman" w:cs="Times New Roman"/>
                <w:sz w:val="20"/>
              </w:rPr>
              <w:t>0,273891</w:t>
            </w:r>
          </w:p>
        </w:tc>
      </w:tr>
    </w:tbl>
    <w:p w14:paraId="39DA7F3C" w14:textId="77777777" w:rsidR="00CD492F" w:rsidRDefault="0059251A">
      <w:pPr>
        <w:spacing w:before="40" w:after="120"/>
      </w:pPr>
      <w:r>
        <w:rPr>
          <w:rFonts w:eastAsia="Times New Roman" w:cs="Times New Roman"/>
        </w:rPr>
        <w:lastRenderedPageBreak/>
        <w:t>Fonte: elaborado pelo autor (2026), a partir de ia/artifacts/som/som_k_choice_v1.json.</w:t>
      </w:r>
    </w:p>
    <w:p w14:paraId="0E4FE309" w14:textId="77777777" w:rsidR="00CD492F" w:rsidRDefault="0059251A">
      <w:pPr>
        <w:jc w:val="both"/>
      </w:pPr>
      <w:r>
        <w:rPr>
          <w:rFonts w:eastAsia="Times New Roman" w:cs="Times New Roman"/>
        </w:rPr>
        <w:t xml:space="preserve">O valor k = 2 apresentou o maior </w:t>
      </w:r>
      <w:r>
        <w:rPr>
          <w:rFonts w:eastAsia="Times New Roman" w:cs="Times New Roman"/>
        </w:rPr>
        <w:t>coeficiente (0,4309), sendo adotado como configuração oficial. Conclui-se, portanto, que, na configuração experimental analisada, k = 2 apresentou a melhor separação relativa entre os valores avaliados — sem afirmar a existência de uma verdade natural absoluta de exatamente dois perfis na população. A Figura 12 ilustra a variação do coeficiente em função de k:</w:t>
      </w:r>
    </w:p>
    <w:p w14:paraId="29C599A0" w14:textId="77777777" w:rsidR="00CD492F" w:rsidRDefault="0059251A">
      <w:pPr>
        <w:jc w:val="center"/>
      </w:pPr>
      <w:r>
        <w:rPr>
          <w:noProof/>
        </w:rPr>
        <w:drawing>
          <wp:inline distT="0" distB="0" distL="0" distR="0" wp14:anchorId="78AF1F69" wp14:editId="7154FB4C">
            <wp:extent cx="4389120" cy="29131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silhouette_k.png"/>
                    <pic:cNvPicPr/>
                  </pic:nvPicPr>
                  <pic:blipFill>
                    <a:blip r:embed="rId19"/>
                    <a:stretch>
                      <a:fillRect/>
                    </a:stretch>
                  </pic:blipFill>
                  <pic:spPr>
                    <a:xfrm>
                      <a:off x="0" y="0"/>
                      <a:ext cx="4389120" cy="2913164"/>
                    </a:xfrm>
                    <a:prstGeom prst="rect">
                      <a:avLst/>
                    </a:prstGeom>
                  </pic:spPr>
                </pic:pic>
              </a:graphicData>
            </a:graphic>
          </wp:inline>
        </w:drawing>
      </w:r>
    </w:p>
    <w:p w14:paraId="1CA3624C" w14:textId="77777777" w:rsidR="00CD492F" w:rsidRDefault="0059251A">
      <w:pPr>
        <w:jc w:val="center"/>
      </w:pPr>
      <w:r>
        <w:rPr>
          <w:rFonts w:eastAsia="Times New Roman" w:cs="Times New Roman"/>
        </w:rPr>
        <w:t>Figura 12 — Coeficiente de Silhouette segundo o número de agrupamentos</w:t>
      </w:r>
    </w:p>
    <w:p w14:paraId="42FEC8EA" w14:textId="77777777" w:rsidR="00CD492F" w:rsidRDefault="0059251A">
      <w:pPr>
        <w:spacing w:before="40" w:after="120"/>
      </w:pPr>
      <w:r>
        <w:rPr>
          <w:rFonts w:eastAsia="Times New Roman" w:cs="Times New Roman"/>
        </w:rPr>
        <w:t xml:space="preserve">Fonte: elaborado pelo autor (2026), a partir de </w:t>
      </w:r>
      <w:r>
        <w:rPr>
          <w:rFonts w:eastAsia="Times New Roman" w:cs="Times New Roman"/>
        </w:rPr>
        <w:t>ia/artifacts/som/som_k_choice_v1.json.</w:t>
      </w:r>
    </w:p>
    <w:p w14:paraId="436E818A" w14:textId="77777777" w:rsidR="00CD492F" w:rsidRDefault="0059251A">
      <w:pPr>
        <w:jc w:val="both"/>
      </w:pPr>
      <w:r>
        <w:rPr>
          <w:rFonts w:eastAsia="Times New Roman" w:cs="Times New Roman"/>
        </w:rPr>
        <w:t>A Figura 13 apresenta a matriz unificada de distâncias (U-Matrix) do mapa treinado, que representa as distâncias entre protótipos vizinhos da grade: regiões mais escuras indicam maior distância entre vizinhos (fronteiras entre regiões do mapa) e regiões mais claras, menor distância (áreas homogêneas). A U-Matrix auxilia a leitura da estrutura do mapa, sem que regiões de maior distância sejam interpretadas automaticamente como risco.</w:t>
      </w:r>
    </w:p>
    <w:p w14:paraId="016C5E62" w14:textId="77777777" w:rsidR="00CD492F" w:rsidRDefault="0059251A">
      <w:pPr>
        <w:jc w:val="center"/>
      </w:pPr>
      <w:r>
        <w:rPr>
          <w:noProof/>
        </w:rPr>
        <w:lastRenderedPageBreak/>
        <w:drawing>
          <wp:inline distT="0" distB="0" distL="0" distR="0" wp14:anchorId="6439920F" wp14:editId="0FA5489B">
            <wp:extent cx="3840480" cy="33495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atrix_v1.png"/>
                    <pic:cNvPicPr/>
                  </pic:nvPicPr>
                  <pic:blipFill>
                    <a:blip r:embed="rId20"/>
                    <a:stretch>
                      <a:fillRect/>
                    </a:stretch>
                  </pic:blipFill>
                  <pic:spPr>
                    <a:xfrm>
                      <a:off x="0" y="0"/>
                      <a:ext cx="3840480" cy="3349519"/>
                    </a:xfrm>
                    <a:prstGeom prst="rect">
                      <a:avLst/>
                    </a:prstGeom>
                  </pic:spPr>
                </pic:pic>
              </a:graphicData>
            </a:graphic>
          </wp:inline>
        </w:drawing>
      </w:r>
    </w:p>
    <w:p w14:paraId="356D8183" w14:textId="77777777" w:rsidR="00CD492F" w:rsidRDefault="0059251A">
      <w:pPr>
        <w:jc w:val="center"/>
      </w:pPr>
      <w:r>
        <w:rPr>
          <w:rFonts w:eastAsia="Times New Roman" w:cs="Times New Roman"/>
        </w:rPr>
        <w:t>Figura 13 — Matriz unificada de distâncias do mapa auto-organizável</w:t>
      </w:r>
    </w:p>
    <w:p w14:paraId="450E4300" w14:textId="77777777" w:rsidR="00CD492F" w:rsidRDefault="0059251A">
      <w:pPr>
        <w:spacing w:before="40" w:after="120"/>
      </w:pPr>
      <w:r>
        <w:rPr>
          <w:rFonts w:eastAsia="Times New Roman" w:cs="Times New Roman"/>
        </w:rPr>
        <w:t>Fonte: elaborado pelo autor (2026), a partir de ia/artifacts/som/figures/umatrix_v1.png.</w:t>
      </w:r>
    </w:p>
    <w:p w14:paraId="4F2D3615" w14:textId="77777777" w:rsidR="00CD492F" w:rsidRDefault="0059251A">
      <w:pPr>
        <w:jc w:val="both"/>
      </w:pPr>
      <w:r>
        <w:rPr>
          <w:rFonts w:eastAsia="Times New Roman" w:cs="Times New Roman"/>
        </w:rPr>
        <w:t>O mapa de grupos (Figura 14) mostra a grade 10×10 (100 neurônios) particionada pelo K-means em dois grupos. Os rótulos Grupo 1 e Grupo 2 são nominais: não significam baixo/alto risco nem qualquer ordenação de gravidade.</w:t>
      </w:r>
    </w:p>
    <w:p w14:paraId="1480B0BA" w14:textId="77777777" w:rsidR="00CD492F" w:rsidRDefault="0059251A">
      <w:pPr>
        <w:jc w:val="center"/>
      </w:pPr>
      <w:r>
        <w:rPr>
          <w:noProof/>
        </w:rPr>
        <w:drawing>
          <wp:inline distT="0" distB="0" distL="0" distR="0" wp14:anchorId="52DF1F26" wp14:editId="54BAE186">
            <wp:extent cx="3840480" cy="342734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map_v1.png"/>
                    <pic:cNvPicPr/>
                  </pic:nvPicPr>
                  <pic:blipFill>
                    <a:blip r:embed="rId21"/>
                    <a:stretch>
                      <a:fillRect/>
                    </a:stretch>
                  </pic:blipFill>
                  <pic:spPr>
                    <a:xfrm>
                      <a:off x="0" y="0"/>
                      <a:ext cx="3840480" cy="3427347"/>
                    </a:xfrm>
                    <a:prstGeom prst="rect">
                      <a:avLst/>
                    </a:prstGeom>
                  </pic:spPr>
                </pic:pic>
              </a:graphicData>
            </a:graphic>
          </wp:inline>
        </w:drawing>
      </w:r>
    </w:p>
    <w:p w14:paraId="28089508" w14:textId="77777777" w:rsidR="00CD492F" w:rsidRDefault="0059251A">
      <w:pPr>
        <w:jc w:val="center"/>
      </w:pPr>
      <w:r>
        <w:rPr>
          <w:rFonts w:eastAsia="Times New Roman" w:cs="Times New Roman"/>
        </w:rPr>
        <w:t>Figura 14 — Mapa de grupos da grade 10×10 após K-means (k = 2)</w:t>
      </w:r>
    </w:p>
    <w:p w14:paraId="6C4A15FE" w14:textId="77777777" w:rsidR="00CD492F" w:rsidRDefault="0059251A">
      <w:pPr>
        <w:spacing w:before="40" w:after="120"/>
      </w:pPr>
      <w:r>
        <w:rPr>
          <w:rFonts w:eastAsia="Times New Roman" w:cs="Times New Roman"/>
        </w:rPr>
        <w:lastRenderedPageBreak/>
        <w:t xml:space="preserve">Fonte: elaborado pelo autor (2026), a partir de </w:t>
      </w:r>
      <w:r>
        <w:rPr>
          <w:rFonts w:eastAsia="Times New Roman" w:cs="Times New Roman"/>
        </w:rPr>
        <w:t>ia/artifacts/som/figures/groups_map_v1.png.</w:t>
      </w:r>
    </w:p>
    <w:p w14:paraId="713A930D" w14:textId="77777777" w:rsidR="00CD492F" w:rsidRDefault="0059251A">
      <w:pPr>
        <w:jc w:val="both"/>
      </w:pPr>
      <w:r>
        <w:rPr>
          <w:rFonts w:eastAsia="Times New Roman" w:cs="Times New Roman"/>
        </w:rPr>
        <w:t>A Figura 15 projeta os 1.000 registros do holdout nos dois primeiros componentes principais, usados exclusivamente para visualização. Cada ponto é um registro sintético do holdout; a cor indica o grupo SOM/K-means; e os eixos são componentes principais (PC1 = 16,4% e PC2 = 4,5% da variância), que não representam toda a variância dos dados.</w:t>
      </w:r>
    </w:p>
    <w:p w14:paraId="6F285B92" w14:textId="77777777" w:rsidR="00CD492F" w:rsidRDefault="0059251A">
      <w:pPr>
        <w:jc w:val="center"/>
      </w:pPr>
      <w:r>
        <w:rPr>
          <w:noProof/>
        </w:rPr>
        <w:drawing>
          <wp:inline distT="0" distB="0" distL="0" distR="0" wp14:anchorId="206AC106" wp14:editId="3A7BD9DF">
            <wp:extent cx="5029200" cy="331035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_holdout_pca_groups_v1.png"/>
                    <pic:cNvPicPr/>
                  </pic:nvPicPr>
                  <pic:blipFill>
                    <a:blip r:embed="rId22"/>
                    <a:stretch>
                      <a:fillRect/>
                    </a:stretch>
                  </pic:blipFill>
                  <pic:spPr>
                    <a:xfrm>
                      <a:off x="0" y="0"/>
                      <a:ext cx="5029200" cy="3310359"/>
                    </a:xfrm>
                    <a:prstGeom prst="rect">
                      <a:avLst/>
                    </a:prstGeom>
                  </pic:spPr>
                </pic:pic>
              </a:graphicData>
            </a:graphic>
          </wp:inline>
        </w:drawing>
      </w:r>
    </w:p>
    <w:p w14:paraId="7A4DE7FF" w14:textId="77777777" w:rsidR="00CD492F" w:rsidRDefault="0059251A">
      <w:pPr>
        <w:jc w:val="center"/>
      </w:pPr>
      <w:r>
        <w:rPr>
          <w:rFonts w:eastAsia="Times New Roman" w:cs="Times New Roman"/>
        </w:rPr>
        <w:t>Figura 15 — Projeção bidimensional dos registros do holdout segundo os agrupamentos identificados pelo SOM</w:t>
      </w:r>
    </w:p>
    <w:p w14:paraId="19CA1A80" w14:textId="77777777" w:rsidR="00CD492F" w:rsidRDefault="0059251A">
      <w:pPr>
        <w:spacing w:before="40" w:after="120"/>
      </w:pPr>
      <w:r>
        <w:rPr>
          <w:rFonts w:eastAsia="Times New Roman" w:cs="Times New Roman"/>
        </w:rPr>
        <w:t>Fonte: elaborado pelo autor (2026), a partir de ia/artifacts/som/figures/som_holdout_pca_groups_v1.png.</w:t>
      </w:r>
    </w:p>
    <w:p w14:paraId="79675386" w14:textId="77777777" w:rsidR="00CD492F" w:rsidRDefault="0059251A">
      <w:pPr>
        <w:ind w:firstLine="709"/>
        <w:jc w:val="both"/>
      </w:pPr>
      <w:r>
        <w:rPr>
          <w:rFonts w:eastAsia="Times New Roman" w:cs="Times New Roman"/>
        </w:rPr>
        <w:t>A Tabela 10 resume os dois grupos sobre o holdout (n = 1.000). A caracterização predominante de cada grupo — apresentada nas colunas finais — corresponde às dimensões com maior média absoluta dentro daquele grupo, e não necessariamente às dimensões que mais diferenciam estatisticamente um grupo do outro:</w:t>
      </w:r>
    </w:p>
    <w:p w14:paraId="0BFC3046" w14:textId="77777777" w:rsidR="00CD492F" w:rsidRDefault="0059251A">
      <w:pPr>
        <w:spacing w:before="40" w:after="120"/>
        <w:jc w:val="center"/>
      </w:pPr>
      <w:r>
        <w:rPr>
          <w:rFonts w:eastAsia="Times New Roman" w:cs="Times New Roman"/>
        </w:rPr>
        <w:t>Tabela 10 – Resumo dos grupos identificados pelo SOM (holdout, n = 1.000)</w:t>
      </w:r>
    </w:p>
    <w:tbl>
      <w:tblPr>
        <w:tblStyle w:val="Tabelacomgrade"/>
        <w:tblW w:w="9070" w:type="dxa"/>
        <w:jc w:val="center"/>
        <w:tblLook w:val="04A0" w:firstRow="1" w:lastRow="0" w:firstColumn="1" w:lastColumn="0" w:noHBand="0" w:noVBand="1"/>
      </w:tblPr>
      <w:tblGrid>
        <w:gridCol w:w="1133"/>
        <w:gridCol w:w="1133"/>
        <w:gridCol w:w="1134"/>
        <w:gridCol w:w="1134"/>
        <w:gridCol w:w="1134"/>
        <w:gridCol w:w="1134"/>
        <w:gridCol w:w="1134"/>
        <w:gridCol w:w="1134"/>
      </w:tblGrid>
      <w:tr w:rsidR="00CD492F" w14:paraId="558C8E4D" w14:textId="77777777">
        <w:trPr>
          <w:tblHeader/>
          <w:jc w:val="center"/>
        </w:trPr>
        <w:tc>
          <w:tcPr>
            <w:tcW w:w="1134" w:type="dxa"/>
          </w:tcPr>
          <w:p w14:paraId="64D492D1" w14:textId="77777777" w:rsidR="00CD492F" w:rsidRDefault="0059251A">
            <w:pPr>
              <w:jc w:val="center"/>
            </w:pPr>
            <w:r>
              <w:rPr>
                <w:rFonts w:eastAsia="Times New Roman" w:cs="Times New Roman"/>
                <w:b/>
                <w:sz w:val="20"/>
              </w:rPr>
              <w:t>Grupo</w:t>
            </w:r>
          </w:p>
        </w:tc>
        <w:tc>
          <w:tcPr>
            <w:tcW w:w="1134" w:type="dxa"/>
          </w:tcPr>
          <w:p w14:paraId="4A114E44" w14:textId="77777777" w:rsidR="00CD492F" w:rsidRDefault="0059251A">
            <w:pPr>
              <w:jc w:val="center"/>
            </w:pPr>
            <w:r>
              <w:rPr>
                <w:rFonts w:eastAsia="Times New Roman" w:cs="Times New Roman"/>
                <w:b/>
                <w:sz w:val="20"/>
              </w:rPr>
              <w:t>N</w:t>
            </w:r>
          </w:p>
        </w:tc>
        <w:tc>
          <w:tcPr>
            <w:tcW w:w="1134" w:type="dxa"/>
          </w:tcPr>
          <w:p w14:paraId="14F46797" w14:textId="77777777" w:rsidR="00CD492F" w:rsidRDefault="0059251A">
            <w:pPr>
              <w:jc w:val="center"/>
            </w:pPr>
            <w:r>
              <w:rPr>
                <w:rFonts w:eastAsia="Times New Roman" w:cs="Times New Roman"/>
                <w:b/>
                <w:sz w:val="20"/>
              </w:rPr>
              <w:t>% do holdout</w:t>
            </w:r>
          </w:p>
        </w:tc>
        <w:tc>
          <w:tcPr>
            <w:tcW w:w="1134" w:type="dxa"/>
          </w:tcPr>
          <w:p w14:paraId="7F36BA02" w14:textId="77777777" w:rsidR="00CD492F" w:rsidRDefault="0059251A">
            <w:pPr>
              <w:jc w:val="center"/>
            </w:pPr>
            <w:r>
              <w:rPr>
                <w:rFonts w:eastAsia="Times New Roman" w:cs="Times New Roman"/>
                <w:b/>
                <w:sz w:val="20"/>
              </w:rPr>
              <w:t>P(RF) média</w:t>
            </w:r>
          </w:p>
        </w:tc>
        <w:tc>
          <w:tcPr>
            <w:tcW w:w="1134" w:type="dxa"/>
          </w:tcPr>
          <w:p w14:paraId="718ADABB" w14:textId="77777777" w:rsidR="00CD492F" w:rsidRDefault="0059251A">
            <w:pPr>
              <w:jc w:val="center"/>
            </w:pPr>
            <w:r>
              <w:rPr>
                <w:rFonts w:eastAsia="Times New Roman" w:cs="Times New Roman"/>
                <w:b/>
                <w:sz w:val="20"/>
              </w:rPr>
              <w:t>P(RF) mediana</w:t>
            </w:r>
          </w:p>
        </w:tc>
        <w:tc>
          <w:tcPr>
            <w:tcW w:w="1134" w:type="dxa"/>
          </w:tcPr>
          <w:p w14:paraId="76F62972" w14:textId="77777777" w:rsidR="00CD492F" w:rsidRDefault="0059251A">
            <w:pPr>
              <w:jc w:val="center"/>
            </w:pPr>
            <w:r>
              <w:rPr>
                <w:rFonts w:eastAsia="Times New Roman" w:cs="Times New Roman"/>
                <w:b/>
                <w:sz w:val="20"/>
              </w:rPr>
              <w:t>IV-DSS médio</w:t>
            </w:r>
          </w:p>
        </w:tc>
        <w:tc>
          <w:tcPr>
            <w:tcW w:w="1134" w:type="dxa"/>
          </w:tcPr>
          <w:p w14:paraId="5CA101CF" w14:textId="77777777" w:rsidR="00CD492F" w:rsidRDefault="0059251A">
            <w:pPr>
              <w:jc w:val="center"/>
            </w:pPr>
            <w:r>
              <w:rPr>
                <w:rFonts w:eastAsia="Times New Roman" w:cs="Times New Roman"/>
                <w:b/>
                <w:sz w:val="20"/>
              </w:rPr>
              <w:t>IV-DSS mediano</w:t>
            </w:r>
          </w:p>
        </w:tc>
        <w:tc>
          <w:tcPr>
            <w:tcW w:w="1134" w:type="dxa"/>
          </w:tcPr>
          <w:p w14:paraId="27CF44BB" w14:textId="77777777" w:rsidR="00CD492F" w:rsidRDefault="0059251A">
            <w:pPr>
              <w:jc w:val="center"/>
            </w:pPr>
            <w:r>
              <w:rPr>
                <w:rFonts w:eastAsia="Times New Roman" w:cs="Times New Roman"/>
                <w:b/>
                <w:sz w:val="20"/>
              </w:rPr>
              <w:t>Proporção do target sintético +</w:t>
            </w:r>
          </w:p>
        </w:tc>
      </w:tr>
      <w:tr w:rsidR="00CD492F" w14:paraId="44DBD7ED" w14:textId="77777777">
        <w:trPr>
          <w:jc w:val="center"/>
        </w:trPr>
        <w:tc>
          <w:tcPr>
            <w:tcW w:w="1134" w:type="dxa"/>
          </w:tcPr>
          <w:p w14:paraId="0C3C0E0C" w14:textId="77777777" w:rsidR="00CD492F" w:rsidRDefault="0059251A">
            <w:pPr>
              <w:jc w:val="center"/>
            </w:pPr>
            <w:r>
              <w:rPr>
                <w:rFonts w:eastAsia="Times New Roman" w:cs="Times New Roman"/>
                <w:sz w:val="20"/>
              </w:rPr>
              <w:t>1</w:t>
            </w:r>
          </w:p>
        </w:tc>
        <w:tc>
          <w:tcPr>
            <w:tcW w:w="1134" w:type="dxa"/>
          </w:tcPr>
          <w:p w14:paraId="76F38F50" w14:textId="77777777" w:rsidR="00CD492F" w:rsidRDefault="0059251A">
            <w:pPr>
              <w:jc w:val="center"/>
            </w:pPr>
            <w:r>
              <w:rPr>
                <w:rFonts w:eastAsia="Times New Roman" w:cs="Times New Roman"/>
                <w:sz w:val="20"/>
              </w:rPr>
              <w:t>424</w:t>
            </w:r>
          </w:p>
        </w:tc>
        <w:tc>
          <w:tcPr>
            <w:tcW w:w="1134" w:type="dxa"/>
          </w:tcPr>
          <w:p w14:paraId="78CDEFAA" w14:textId="77777777" w:rsidR="00CD492F" w:rsidRDefault="0059251A">
            <w:pPr>
              <w:jc w:val="center"/>
            </w:pPr>
            <w:r>
              <w:rPr>
                <w:rFonts w:eastAsia="Times New Roman" w:cs="Times New Roman"/>
                <w:sz w:val="20"/>
              </w:rPr>
              <w:t>42,4%</w:t>
            </w:r>
          </w:p>
        </w:tc>
        <w:tc>
          <w:tcPr>
            <w:tcW w:w="1134" w:type="dxa"/>
          </w:tcPr>
          <w:p w14:paraId="0F70337D" w14:textId="77777777" w:rsidR="00CD492F" w:rsidRDefault="0059251A">
            <w:pPr>
              <w:jc w:val="center"/>
            </w:pPr>
            <w:r>
              <w:rPr>
                <w:rFonts w:eastAsia="Times New Roman" w:cs="Times New Roman"/>
                <w:sz w:val="20"/>
              </w:rPr>
              <w:t>0,2521</w:t>
            </w:r>
          </w:p>
        </w:tc>
        <w:tc>
          <w:tcPr>
            <w:tcW w:w="1134" w:type="dxa"/>
          </w:tcPr>
          <w:p w14:paraId="5E73F715" w14:textId="77777777" w:rsidR="00CD492F" w:rsidRDefault="0059251A">
            <w:pPr>
              <w:jc w:val="center"/>
            </w:pPr>
            <w:r>
              <w:rPr>
                <w:rFonts w:eastAsia="Times New Roman" w:cs="Times New Roman"/>
                <w:sz w:val="20"/>
              </w:rPr>
              <w:t>0,243</w:t>
            </w:r>
          </w:p>
        </w:tc>
        <w:tc>
          <w:tcPr>
            <w:tcW w:w="1134" w:type="dxa"/>
          </w:tcPr>
          <w:p w14:paraId="21DAD512" w14:textId="77777777" w:rsidR="00CD492F" w:rsidRDefault="0059251A">
            <w:pPr>
              <w:jc w:val="center"/>
            </w:pPr>
            <w:r>
              <w:rPr>
                <w:rFonts w:eastAsia="Times New Roman" w:cs="Times New Roman"/>
                <w:sz w:val="20"/>
              </w:rPr>
              <w:t>0,3441</w:t>
            </w:r>
          </w:p>
        </w:tc>
        <w:tc>
          <w:tcPr>
            <w:tcW w:w="1134" w:type="dxa"/>
          </w:tcPr>
          <w:p w14:paraId="632CD15A" w14:textId="77777777" w:rsidR="00CD492F" w:rsidRDefault="0059251A">
            <w:pPr>
              <w:jc w:val="center"/>
            </w:pPr>
            <w:r>
              <w:rPr>
                <w:rFonts w:eastAsia="Times New Roman" w:cs="Times New Roman"/>
                <w:sz w:val="20"/>
              </w:rPr>
              <w:t>0,3235</w:t>
            </w:r>
          </w:p>
        </w:tc>
        <w:tc>
          <w:tcPr>
            <w:tcW w:w="1134" w:type="dxa"/>
          </w:tcPr>
          <w:p w14:paraId="49686447" w14:textId="77777777" w:rsidR="00CD492F" w:rsidRDefault="0059251A">
            <w:pPr>
              <w:jc w:val="center"/>
            </w:pPr>
            <w:r>
              <w:rPr>
                <w:rFonts w:eastAsia="Times New Roman" w:cs="Times New Roman"/>
                <w:sz w:val="20"/>
              </w:rPr>
              <w:t>0,2453</w:t>
            </w:r>
          </w:p>
        </w:tc>
      </w:tr>
      <w:tr w:rsidR="00CD492F" w14:paraId="6380F8B6" w14:textId="77777777">
        <w:trPr>
          <w:jc w:val="center"/>
        </w:trPr>
        <w:tc>
          <w:tcPr>
            <w:tcW w:w="1134" w:type="dxa"/>
          </w:tcPr>
          <w:p w14:paraId="40F77AA9" w14:textId="77777777" w:rsidR="00CD492F" w:rsidRDefault="0059251A">
            <w:pPr>
              <w:jc w:val="center"/>
            </w:pPr>
            <w:r>
              <w:rPr>
                <w:rFonts w:eastAsia="Times New Roman" w:cs="Times New Roman"/>
                <w:sz w:val="20"/>
              </w:rPr>
              <w:t>2</w:t>
            </w:r>
          </w:p>
        </w:tc>
        <w:tc>
          <w:tcPr>
            <w:tcW w:w="1134" w:type="dxa"/>
          </w:tcPr>
          <w:p w14:paraId="71297DE2" w14:textId="77777777" w:rsidR="00CD492F" w:rsidRDefault="0059251A">
            <w:pPr>
              <w:jc w:val="center"/>
            </w:pPr>
            <w:r>
              <w:rPr>
                <w:rFonts w:eastAsia="Times New Roman" w:cs="Times New Roman"/>
                <w:sz w:val="20"/>
              </w:rPr>
              <w:t>576</w:t>
            </w:r>
          </w:p>
        </w:tc>
        <w:tc>
          <w:tcPr>
            <w:tcW w:w="1134" w:type="dxa"/>
          </w:tcPr>
          <w:p w14:paraId="5FCF34CC" w14:textId="77777777" w:rsidR="00CD492F" w:rsidRDefault="0059251A">
            <w:pPr>
              <w:jc w:val="center"/>
            </w:pPr>
            <w:r>
              <w:rPr>
                <w:rFonts w:eastAsia="Times New Roman" w:cs="Times New Roman"/>
                <w:sz w:val="20"/>
              </w:rPr>
              <w:t>57,6%</w:t>
            </w:r>
          </w:p>
        </w:tc>
        <w:tc>
          <w:tcPr>
            <w:tcW w:w="1134" w:type="dxa"/>
          </w:tcPr>
          <w:p w14:paraId="2B294CF4" w14:textId="77777777" w:rsidR="00CD492F" w:rsidRDefault="0059251A">
            <w:pPr>
              <w:jc w:val="center"/>
            </w:pPr>
            <w:r>
              <w:rPr>
                <w:rFonts w:eastAsia="Times New Roman" w:cs="Times New Roman"/>
                <w:sz w:val="20"/>
              </w:rPr>
              <w:t>0,2429</w:t>
            </w:r>
          </w:p>
        </w:tc>
        <w:tc>
          <w:tcPr>
            <w:tcW w:w="1134" w:type="dxa"/>
          </w:tcPr>
          <w:p w14:paraId="6A79F41F" w14:textId="77777777" w:rsidR="00CD492F" w:rsidRDefault="0059251A">
            <w:pPr>
              <w:jc w:val="center"/>
            </w:pPr>
            <w:r>
              <w:rPr>
                <w:rFonts w:eastAsia="Times New Roman" w:cs="Times New Roman"/>
                <w:sz w:val="20"/>
              </w:rPr>
              <w:t>0,242</w:t>
            </w:r>
          </w:p>
        </w:tc>
        <w:tc>
          <w:tcPr>
            <w:tcW w:w="1134" w:type="dxa"/>
          </w:tcPr>
          <w:p w14:paraId="63972E0A" w14:textId="77777777" w:rsidR="00CD492F" w:rsidRDefault="0059251A">
            <w:pPr>
              <w:jc w:val="center"/>
            </w:pPr>
            <w:r>
              <w:rPr>
                <w:rFonts w:eastAsia="Times New Roman" w:cs="Times New Roman"/>
                <w:sz w:val="20"/>
              </w:rPr>
              <w:t>0,2958</w:t>
            </w:r>
          </w:p>
        </w:tc>
        <w:tc>
          <w:tcPr>
            <w:tcW w:w="1134" w:type="dxa"/>
          </w:tcPr>
          <w:p w14:paraId="39CE1B3C" w14:textId="77777777" w:rsidR="00CD492F" w:rsidRDefault="0059251A">
            <w:pPr>
              <w:jc w:val="center"/>
            </w:pPr>
            <w:r>
              <w:rPr>
                <w:rFonts w:eastAsia="Times New Roman" w:cs="Times New Roman"/>
                <w:sz w:val="20"/>
              </w:rPr>
              <w:t>0,2775</w:t>
            </w:r>
          </w:p>
        </w:tc>
        <w:tc>
          <w:tcPr>
            <w:tcW w:w="1134" w:type="dxa"/>
          </w:tcPr>
          <w:p w14:paraId="32F7B253" w14:textId="77777777" w:rsidR="00CD492F" w:rsidRDefault="0059251A">
            <w:pPr>
              <w:jc w:val="center"/>
            </w:pPr>
            <w:r>
              <w:rPr>
                <w:rFonts w:eastAsia="Times New Roman" w:cs="Times New Roman"/>
                <w:sz w:val="20"/>
              </w:rPr>
              <w:t>0,2431</w:t>
            </w:r>
          </w:p>
        </w:tc>
      </w:tr>
    </w:tbl>
    <w:p w14:paraId="65D240CC" w14:textId="77777777" w:rsidR="00CD492F" w:rsidRDefault="0059251A">
      <w:pPr>
        <w:spacing w:before="40" w:after="120"/>
      </w:pPr>
      <w:r>
        <w:rPr>
          <w:rFonts w:eastAsia="Times New Roman" w:cs="Times New Roman"/>
        </w:rPr>
        <w:t xml:space="preserve">Fonte: elaborado pelo autor (2026), a partir de </w:t>
      </w:r>
      <w:r>
        <w:rPr>
          <w:rFonts w:eastAsia="Times New Roman" w:cs="Times New Roman"/>
        </w:rPr>
        <w:t>ia/artifacts/som/som_group_summary_v1.json.</w:t>
      </w:r>
    </w:p>
    <w:p w14:paraId="4E0CB46A" w14:textId="77777777" w:rsidR="00CD492F" w:rsidRDefault="0059251A">
      <w:pPr>
        <w:ind w:firstLine="709"/>
        <w:jc w:val="both"/>
      </w:pPr>
      <w:r>
        <w:rPr>
          <w:rFonts w:eastAsia="Times New Roman" w:cs="Times New Roman"/>
        </w:rPr>
        <w:t xml:space="preserve">Nos dois grupos, as dimensões com maior média foram trabalho e renda, educação e acesso aos serviços de saúde — na ordem indicada. No Grupo 1, destacam-se D_trabalho </w:t>
      </w:r>
      <w:r>
        <w:rPr>
          <w:rFonts w:eastAsia="Times New Roman" w:cs="Times New Roman"/>
        </w:rPr>
        <w:lastRenderedPageBreak/>
        <w:t>(0,629), D_educacao (0,480) e D_acesso (0,381); no Grupo 2, D_trabalho (0,553), D_educacao (0,417) e D_acesso (0,352). Essa leitura é descritiva das médias internas de cada grupo.</w:t>
      </w:r>
    </w:p>
    <w:p w14:paraId="58722C56" w14:textId="77777777" w:rsidR="00CD492F" w:rsidRDefault="0059251A">
      <w:pPr>
        <w:jc w:val="both"/>
      </w:pPr>
      <w:r>
        <w:rPr>
          <w:rFonts w:eastAsia="Times New Roman" w:cs="Times New Roman"/>
        </w:rPr>
        <w:t>A Figura 16 apresenta a distribuição do IV-DSS dentro de cada grupo. O IV-DSS é um índice descritivo e permanece distinto da probabilidade do Random Forest (IV-DSS ≠ P(RF)). O Grupo 1 apresentou IV-DSS médio de 0,3441 (mediana 0,3235), superior ao do Grupo 2 (média 0,2958; mediana 0,2775).</w:t>
      </w:r>
    </w:p>
    <w:p w14:paraId="2F1BB350" w14:textId="77777777" w:rsidR="00CD492F" w:rsidRDefault="0059251A">
      <w:pPr>
        <w:jc w:val="center"/>
      </w:pPr>
      <w:r>
        <w:rPr>
          <w:noProof/>
        </w:rPr>
        <w:drawing>
          <wp:inline distT="0" distB="0" distL="0" distR="0" wp14:anchorId="3C621FEC" wp14:editId="1B6F6765">
            <wp:extent cx="4206240" cy="32102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v_dss_by_group_v1.png"/>
                    <pic:cNvPicPr/>
                  </pic:nvPicPr>
                  <pic:blipFill>
                    <a:blip r:embed="rId23"/>
                    <a:stretch>
                      <a:fillRect/>
                    </a:stretch>
                  </pic:blipFill>
                  <pic:spPr>
                    <a:xfrm>
                      <a:off x="0" y="0"/>
                      <a:ext cx="4206240" cy="3210295"/>
                    </a:xfrm>
                    <a:prstGeom prst="rect">
                      <a:avLst/>
                    </a:prstGeom>
                  </pic:spPr>
                </pic:pic>
              </a:graphicData>
            </a:graphic>
          </wp:inline>
        </w:drawing>
      </w:r>
    </w:p>
    <w:p w14:paraId="54BAD642" w14:textId="77777777" w:rsidR="00CD492F" w:rsidRDefault="0059251A">
      <w:pPr>
        <w:jc w:val="center"/>
      </w:pPr>
      <w:r>
        <w:rPr>
          <w:rFonts w:eastAsia="Times New Roman" w:cs="Times New Roman"/>
        </w:rPr>
        <w:t>Figura 16 — Distribuição do IV-DSS por grupo SOM</w:t>
      </w:r>
    </w:p>
    <w:p w14:paraId="1EBA85C9" w14:textId="77777777" w:rsidR="00CD492F" w:rsidRDefault="0059251A">
      <w:pPr>
        <w:spacing w:before="40" w:after="120"/>
      </w:pPr>
      <w:r>
        <w:rPr>
          <w:rFonts w:eastAsia="Times New Roman" w:cs="Times New Roman"/>
        </w:rPr>
        <w:t>Fonte: elaborado pelo autor (2026), a partir de ia/artifacts/som/figures/iv_dss_by_group_v1.png.</w:t>
      </w:r>
    </w:p>
    <w:p w14:paraId="74AB2165" w14:textId="77777777" w:rsidR="00CD492F" w:rsidRDefault="0059251A">
      <w:pPr>
        <w:jc w:val="both"/>
      </w:pPr>
      <w:r>
        <w:rPr>
          <w:rFonts w:eastAsia="Times New Roman" w:cs="Times New Roman"/>
        </w:rPr>
        <w:t>A Figura 17 apresenta a distribuição das probabilidades individuais estimadas pelo Random Forest dentro de cada grupo SOM. O SOM não gera a probabilidade: a probabilidade provém do Random Forest, e a figura apenas sobrepõe a essa leitura o agrupamento exploratório. O Grupo 1 apresentou probabilidade média de 0,2521 (mediana 0,243), ligeiramente superior à do Grupo 2 (média 0,2429; mediana 0,242).</w:t>
      </w:r>
    </w:p>
    <w:p w14:paraId="642D146E" w14:textId="77777777" w:rsidR="00CD492F" w:rsidRDefault="0059251A">
      <w:pPr>
        <w:jc w:val="center"/>
      </w:pPr>
      <w:r>
        <w:rPr>
          <w:noProof/>
        </w:rPr>
        <w:lastRenderedPageBreak/>
        <w:drawing>
          <wp:inline distT="0" distB="0" distL="0" distR="0" wp14:anchorId="1BDE4C2F" wp14:editId="3A1D6D48">
            <wp:extent cx="4206240" cy="32129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_prob_by_group_v1.png"/>
                    <pic:cNvPicPr/>
                  </pic:nvPicPr>
                  <pic:blipFill>
                    <a:blip r:embed="rId24"/>
                    <a:stretch>
                      <a:fillRect/>
                    </a:stretch>
                  </pic:blipFill>
                  <pic:spPr>
                    <a:xfrm>
                      <a:off x="0" y="0"/>
                      <a:ext cx="4206240" cy="3212910"/>
                    </a:xfrm>
                    <a:prstGeom prst="rect">
                      <a:avLst/>
                    </a:prstGeom>
                  </pic:spPr>
                </pic:pic>
              </a:graphicData>
            </a:graphic>
          </wp:inline>
        </w:drawing>
      </w:r>
    </w:p>
    <w:p w14:paraId="307599CD" w14:textId="77777777" w:rsidR="00CD492F" w:rsidRDefault="0059251A">
      <w:pPr>
        <w:jc w:val="center"/>
      </w:pPr>
      <w:r>
        <w:rPr>
          <w:rFonts w:eastAsia="Times New Roman" w:cs="Times New Roman"/>
        </w:rPr>
        <w:t xml:space="preserve">Figura 17 — Distribuição da </w:t>
      </w:r>
      <w:r>
        <w:rPr>
          <w:rFonts w:eastAsia="Times New Roman" w:cs="Times New Roman"/>
        </w:rPr>
        <w:t>probabilidade do Random Forest por grupo SOM</w:t>
      </w:r>
    </w:p>
    <w:p w14:paraId="2A9A1F25" w14:textId="77777777" w:rsidR="00CD492F" w:rsidRDefault="0059251A">
      <w:pPr>
        <w:spacing w:before="40" w:after="120"/>
      </w:pPr>
      <w:r>
        <w:rPr>
          <w:rFonts w:eastAsia="Times New Roman" w:cs="Times New Roman"/>
        </w:rPr>
        <w:t>Fonte: elaborado pelo autor (2026), a partir de ia/artifacts/som/figures/rf_prob_by_group_v1.png.</w:t>
      </w:r>
    </w:p>
    <w:p w14:paraId="75A9A7D4" w14:textId="77777777" w:rsidR="00CD492F" w:rsidRDefault="0059251A">
      <w:pPr>
        <w:jc w:val="both"/>
      </w:pPr>
      <w:r>
        <w:rPr>
          <w:rFonts w:eastAsia="Times New Roman" w:cs="Times New Roman"/>
        </w:rPr>
        <w:t>A Figura 18 apresenta a proporção da variável-alvo sintética positiva por grupo — e não uma taxa de abandono. A diferença entre os grupos é pequena: 24,53% no Grupo 1 contra 24,31% no Grupo 2, o que reforça que a variável-alvo foi utilizada somente de forma pós-hoc e não distingue fortemente os grupos.</w:t>
      </w:r>
    </w:p>
    <w:p w14:paraId="0898649C" w14:textId="77777777" w:rsidR="00CD492F" w:rsidRDefault="0059251A">
      <w:pPr>
        <w:jc w:val="center"/>
      </w:pPr>
      <w:r>
        <w:rPr>
          <w:noProof/>
        </w:rPr>
        <w:drawing>
          <wp:inline distT="0" distB="0" distL="0" distR="0" wp14:anchorId="15F64491" wp14:editId="23B12740">
            <wp:extent cx="4206240" cy="32102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proportion_by_group_v1.png"/>
                    <pic:cNvPicPr/>
                  </pic:nvPicPr>
                  <pic:blipFill>
                    <a:blip r:embed="rId25"/>
                    <a:stretch>
                      <a:fillRect/>
                    </a:stretch>
                  </pic:blipFill>
                  <pic:spPr>
                    <a:xfrm>
                      <a:off x="0" y="0"/>
                      <a:ext cx="4206240" cy="3210295"/>
                    </a:xfrm>
                    <a:prstGeom prst="rect">
                      <a:avLst/>
                    </a:prstGeom>
                  </pic:spPr>
                </pic:pic>
              </a:graphicData>
            </a:graphic>
          </wp:inline>
        </w:drawing>
      </w:r>
    </w:p>
    <w:p w14:paraId="59585A0F" w14:textId="77777777" w:rsidR="00CD492F" w:rsidRDefault="0059251A">
      <w:pPr>
        <w:jc w:val="center"/>
      </w:pPr>
      <w:r>
        <w:rPr>
          <w:rFonts w:eastAsia="Times New Roman" w:cs="Times New Roman"/>
        </w:rPr>
        <w:t>Figura 18 — Proporção da variável-alvo sintética positiva por grupo SOM</w:t>
      </w:r>
    </w:p>
    <w:p w14:paraId="2D83E3CB" w14:textId="77777777" w:rsidR="00CD492F" w:rsidRDefault="0059251A">
      <w:pPr>
        <w:spacing w:before="40" w:after="120"/>
      </w:pPr>
      <w:r>
        <w:rPr>
          <w:rFonts w:eastAsia="Times New Roman" w:cs="Times New Roman"/>
        </w:rPr>
        <w:lastRenderedPageBreak/>
        <w:t>Fonte: elaborado pelo autor (2026), a partir de ia/artifacts/som/figures/target_proportion_by_group_v1.png.</w:t>
      </w:r>
    </w:p>
    <w:p w14:paraId="37C69D44" w14:textId="77777777" w:rsidR="00CD492F" w:rsidRDefault="0059251A">
      <w:pPr>
        <w:ind w:firstLine="709"/>
        <w:jc w:val="both"/>
      </w:pPr>
      <w:r>
        <w:rPr>
          <w:rFonts w:eastAsia="Times New Roman" w:cs="Times New Roman"/>
        </w:rPr>
        <w:t>Foi observada convergência de ordenação no conjunto sintético: o agrupamento com maior IV-DSS médio também apresentou maior probabilidade média estimada pelo Random Forest e maior proporção da variável-alvo sintética positiva. Contudo, essa convergência de ordenação é modesta: as diferenças em P(RF) (25,21% contra 24,29%) e na proporção da variável-alvo sintética (24,53% contra 24,31%) são pequenas, sendo mais visível apenas a diferença no IV-DSS (0,3441 contra 0,2958). Não se afirma, com isso, que o SOM va</w:t>
      </w:r>
      <w:r>
        <w:rPr>
          <w:rFonts w:eastAsia="Times New Roman" w:cs="Times New Roman"/>
        </w:rPr>
        <w:t>lidou o Random Forest, nem que confirmou clinicamente qualquer risco, nem que o Grupo 1 abandona mais o pré-natal.</w:t>
      </w:r>
    </w:p>
    <w:p w14:paraId="598C0E39" w14:textId="77777777" w:rsidR="00CD492F" w:rsidRDefault="0059251A">
      <w:pPr>
        <w:ind w:firstLine="709"/>
        <w:jc w:val="both"/>
      </w:pPr>
      <w:r>
        <w:rPr>
          <w:rFonts w:eastAsia="Times New Roman" w:cs="Times New Roman"/>
        </w:rPr>
        <w:t>Como diagnóstico de estabilidade, o mesmo procedimento foi executado com três sementes distintas (41, 42 e 43). As três conduziram a k = 2, com cardinalidades de 424/576 preservadas — havendo, em uma das sementes, apenas troca nominal dos rótulos — e convergência mantida. Trata-se de um diagnóstico resumido de estabilidade, não de um estudo extensivo.</w:t>
      </w:r>
    </w:p>
    <w:p w14:paraId="6D0A7659" w14:textId="77777777" w:rsidR="00CD492F" w:rsidRDefault="0059251A">
      <w:pPr>
        <w:ind w:firstLine="709"/>
        <w:jc w:val="both"/>
      </w:pPr>
      <w:r>
        <w:rPr>
          <w:rFonts w:eastAsia="Times New Roman" w:cs="Times New Roman"/>
        </w:rPr>
        <w:t>Registram-se, por fim, as limitações desta análise: o dataset é sintético e os grupos não representam necessariamente perfis populacionais reais; a análise não possui validação clínica; a PCA representa apenas parte da variância (16,4% + 4,5%); o K-means produz uma partição útil à interpretação, sem implicar a existência de categorias naturais na população; as diferenças entre os grupos são moderadas ou pequenas em algumas métricas; a variável-alvo sintética foi utilizada somente de forma pós-hoc; os result</w:t>
      </w:r>
      <w:r>
        <w:rPr>
          <w:rFonts w:eastAsia="Times New Roman" w:cs="Times New Roman"/>
        </w:rPr>
        <w:t>ados podem refletir estrutura introduzida pelo próprio DGM; e o SOM tem caráter estritamente exploratório. A normalização específica do SOM foi adotada justamente para evitar que diferenças de escala — identificadas em auditoria como fonte de sensibilidade — distorcessem o mapa.</w:t>
      </w:r>
    </w:p>
    <w:p w14:paraId="456B25C6" w14:textId="77777777" w:rsidR="00E62C65" w:rsidRDefault="00474360">
      <w:pPr>
        <w:pStyle w:val="Ttulo1"/>
        <w:spacing w:before="0"/>
      </w:pPr>
      <w:bookmarkStart w:id="58" w:name="_Toc238759994"/>
      <w:r>
        <w:rPr>
          <w:rFonts w:ascii="Times New Roman" w:eastAsia="Times New Roman" w:hAnsi="Times New Roman"/>
        </w:rPr>
        <w:t>6 CONCLUSÃO</w:t>
      </w:r>
      <w:bookmarkEnd w:id="58"/>
    </w:p>
    <w:p w14:paraId="3A94F712" w14:textId="77777777" w:rsidR="00E62C65" w:rsidRDefault="00E62C65"/>
    <w:p w14:paraId="7FD734B8" w14:textId="77777777" w:rsidR="00E62C65" w:rsidRDefault="00474360">
      <w:pPr>
        <w:pStyle w:val="Ttulo2"/>
      </w:pPr>
      <w:bookmarkStart w:id="59" w:name="_Toc238759995"/>
      <w:r>
        <w:rPr>
          <w:rFonts w:ascii="Times New Roman" w:eastAsia="Times New Roman" w:hAnsi="Times New Roman"/>
        </w:rPr>
        <w:t>6.1 Síntese dos resultados</w:t>
      </w:r>
      <w:bookmarkEnd w:id="59"/>
    </w:p>
    <w:p w14:paraId="7E0E661C" w14:textId="77777777" w:rsidR="00E62C65" w:rsidRDefault="00474360">
      <w:pPr>
        <w:spacing w:after="0" w:line="360" w:lineRule="auto"/>
        <w:ind w:firstLine="709"/>
        <w:jc w:val="both"/>
      </w:pPr>
      <w:r>
        <w:rPr>
          <w:rFonts w:eastAsia="Times New Roman"/>
        </w:rPr>
        <w:t>Este trabalho propôs estimar, a partir dos Determinantes Sociais da Saúde coletados de forma estruturada, a propensão de gestantes à descontinuidade do acompanhamento pré-natal, por meio de aprendizado de máquina, integrando a essa função um módulo de acompanhamento do pré-natal.</w:t>
      </w:r>
    </w:p>
    <w:p w14:paraId="09703656" w14:textId="77777777" w:rsidR="00E62C65" w:rsidRDefault="00474360">
      <w:pPr>
        <w:spacing w:after="0" w:line="360" w:lineRule="auto"/>
        <w:ind w:firstLine="709"/>
        <w:jc w:val="both"/>
      </w:pPr>
      <w:r>
        <w:t xml:space="preserve">Foram desenvolvidos: um contrato de dados canônico e versionado (schema 1.13, 6 dimensões, 48 variáveis); um índice descritivo experimental de vulnerabilidade (IV-DSS); um dataset sintético reproduzível (5.000 registros); um protocolo de treinamento/validação com controle de leakage; a comparação de três modelos e a seleção do Random Forest; análises de calibração, sensibilidade e interpretabilidade; a análise exploratória complementar dos perfis dos DSS por meio de Self-Organizing Map (SOM); a integração de software Flutter ↔ </w:t>
      </w:r>
      <w:r>
        <w:lastRenderedPageBreak/>
        <w:t>FastAPI ↔ IA, validada de ponta a ponta; a infraestrutura de persistência do backend (PostgreSQL 16, SQLAlchemy 2.x e Alembic); e a autenticação (JWT, Argon2id) e o domínio de acompanhamento pré-natal — entidades GESTANTE, GESTAÇÃO e HISTÓRICO OBSTÉTRICO, com persistência (migrations 0002 e 0003), regra de gestação ativa única e autorização por propriedade de dados —, implementados e validados contra PostgreSQL real.</w:t>
      </w:r>
    </w:p>
    <w:p w14:paraId="30E145F4" w14:textId="77777777" w:rsidR="00E62C65" w:rsidRDefault="00474360">
      <w:pPr>
        <w:pStyle w:val="Ttulo2"/>
      </w:pPr>
      <w:bookmarkStart w:id="60" w:name="_Toc238759996"/>
      <w:r>
        <w:rPr>
          <w:rFonts w:ascii="Times New Roman" w:eastAsia="Times New Roman" w:hAnsi="Times New Roman"/>
        </w:rPr>
        <w:t>6.2 Limitações do estudo</w:t>
      </w:r>
      <w:bookmarkEnd w:id="60"/>
    </w:p>
    <w:p w14:paraId="4D456AC5" w14:textId="77777777" w:rsidR="00E62C65" w:rsidRDefault="00474360">
      <w:pPr>
        <w:spacing w:after="0" w:line="360" w:lineRule="auto"/>
        <w:ind w:firstLine="709"/>
        <w:jc w:val="both"/>
      </w:pPr>
      <w:r>
        <w:rPr>
          <w:rFonts w:eastAsia="Times New Roman"/>
        </w:rPr>
        <w:t xml:space="preserve">O modelo selecionado apresentou desempenho discriminativo </w:t>
      </w:r>
      <w:r>
        <w:rPr>
          <w:rFonts w:eastAsia="Times New Roman"/>
          <w:b/>
        </w:rPr>
        <w:t>limitado</w:t>
      </w:r>
      <w:r>
        <w:rPr>
          <w:rFonts w:eastAsia="Times New Roman"/>
        </w:rPr>
        <w:t xml:space="preserve"> e </w:t>
      </w:r>
      <w:r>
        <w:rPr>
          <w:rFonts w:eastAsia="Times New Roman"/>
          <w:b/>
        </w:rPr>
        <w:t>recall zero no limiar 0,5</w:t>
      </w:r>
      <w:r>
        <w:rPr>
          <w:rFonts w:eastAsia="Times New Roman"/>
        </w:rPr>
        <w:t xml:space="preserve">, reforçando que os resultados são </w:t>
      </w:r>
      <w:r>
        <w:rPr>
          <w:rFonts w:eastAsia="Times New Roman"/>
          <w:b/>
        </w:rPr>
        <w:t>experimentais</w:t>
      </w:r>
      <w:r>
        <w:rPr>
          <w:rFonts w:eastAsia="Times New Roman"/>
        </w:rPr>
        <w:t xml:space="preserve"> e não constituem validação clínica. O aplicativo, por sua vez, entrega um diferencial funcional ao integrar, em uma mesma solução, o questionário DSS, a estimativa experimental e o acompanhamento do pré-natal (incluindo plano de parto), com armazenamento local/offline.</w:t>
      </w:r>
    </w:p>
    <w:p w14:paraId="7B1DEC31" w14:textId="77777777" w:rsidR="00E62C65" w:rsidRDefault="00474360">
      <w:pPr>
        <w:pStyle w:val="Ttulo2"/>
      </w:pPr>
      <w:bookmarkStart w:id="61" w:name="_Toc238759997"/>
      <w:r>
        <w:rPr>
          <w:rFonts w:ascii="Times New Roman" w:eastAsia="Times New Roman" w:hAnsi="Times New Roman"/>
        </w:rPr>
        <w:t>6.3 Trabalhos futuros</w:t>
      </w:r>
      <w:bookmarkEnd w:id="61"/>
    </w:p>
    <w:p w14:paraId="45FB11D5" w14:textId="77777777" w:rsidR="00E62C65" w:rsidRDefault="00474360">
      <w:pPr>
        <w:spacing w:after="0" w:line="360" w:lineRule="auto"/>
        <w:ind w:firstLine="709"/>
        <w:jc w:val="both"/>
      </w:pPr>
      <w:r>
        <w:t>Entre as limitações, destacam-se: uso de dados sintéticos (sem validade externa), ausência de validação clínica, recall zero no limiar 0,5, autenticação e domínio GESTANTE/GESTAÇÃO/HISTÓRICO OBSTÉTRICO implementados apenas no backend (ainda não integrados ao aplicativo Flutter, que mantém a persistência local monousuária; o token de acesso permanece válido até expirar mesmo após o logout), e a ausência de relacionamentos formais na persistência local.</w:t>
      </w:r>
    </w:p>
    <w:p w14:paraId="4BE7DFEF" w14:textId="77777777" w:rsidR="00E62C65" w:rsidRDefault="00474360">
      <w:pPr>
        <w:spacing w:after="0" w:line="360" w:lineRule="auto"/>
        <w:ind w:firstLine="709"/>
        <w:jc w:val="both"/>
      </w:pPr>
      <w:r>
        <w:t>O problema da descontinuidade do pré-natal não foi resolvido; este trabalho estabeleceu, antes, uma base metodológica e tecnológica experimental que poderá ser estendida a dados reais. Como trabalhos futuros, indicam-se: a operacionalização longitudinal do desfecho com dados reais (fundamentada e ajustada pela duração gestacional); a implementação das demais entidades de domínio do acompanhamento (consultas, exames, medicamentos, vacinas, plano de parto e avaliação DSS) e do CRUD correspondente (seção 4.7) — cuja infraestrutura de persistência, assim como a autenticação e o domínio GESTANTE/GESTAÇÃO/HISTÓRICO OBSTÉTRICO, já foi implementada e validada no backend —; a integração do aplicativo Flutter com a autenticação e com a API de acompanhamento já existentes; e a condução de estudos com dados reais sob os devidos requisitos éticos e de consentimento.</w:t>
      </w:r>
    </w:p>
    <w:p w14:paraId="1986BF93" w14:textId="77777777" w:rsidR="00E62C65" w:rsidRDefault="00474360">
      <w:pPr>
        <w:pStyle w:val="Ttulo1"/>
        <w:pageBreakBefore/>
        <w:spacing w:before="0"/>
      </w:pPr>
      <w:bookmarkStart w:id="62" w:name="_Toc238759998"/>
      <w:r>
        <w:rPr>
          <w:rFonts w:ascii="Times New Roman" w:eastAsia="Times New Roman" w:hAnsi="Times New Roman"/>
        </w:rPr>
        <w:lastRenderedPageBreak/>
        <w:t>REFERÊNCIAS</w:t>
      </w:r>
      <w:bookmarkEnd w:id="62"/>
    </w:p>
    <w:p w14:paraId="61702585" w14:textId="77777777" w:rsidR="00E62C65" w:rsidRDefault="00E62C65"/>
    <w:p w14:paraId="265C4539" w14:textId="77777777" w:rsidR="00114E20" w:rsidRDefault="00D41E34">
      <w:pPr>
        <w:pStyle w:val="ReferenceEntry"/>
      </w:pPr>
      <w:r>
        <w:t xml:space="preserve">ADEM, J. B. et al. Modeling predictors of incomplete antenatal care utilization among reproductive-age women in Ethiopia using machine learning algorithms and SHAP interpretation. </w:t>
      </w:r>
      <w:r>
        <w:rPr>
          <w:i/>
        </w:rPr>
        <w:t>PLOS Digital Health</w:t>
      </w:r>
      <w:r>
        <w:t>, v. 5, n. 7, e0001489, 2026. DOI: 10.1371/journal.pdig.0001489.</w:t>
      </w:r>
    </w:p>
    <w:p w14:paraId="3CD85062" w14:textId="77777777" w:rsidR="00114E20" w:rsidRDefault="00D41E34">
      <w:pPr>
        <w:pStyle w:val="ReferenceEntry"/>
      </w:pPr>
      <w:r>
        <w:t>ADEOLA, L.; IWENDI, C.; AKEREN, K. Using Machine Learning to Predict and Monitor Maternal Health Risk: A Case Study of Materna – an End User Web Application. In: AI-DRIVEN SMART HEALTHCARE FOR SOCIETY 5.0, 2025. Proceedings [...]. [S. l.]: IEEE, 2025. p. 1–6. DOI: 10.1109/ieeeconf64992.2025.10963030.</w:t>
      </w:r>
    </w:p>
    <w:p w14:paraId="51908DAD" w14:textId="77777777" w:rsidR="00114E20" w:rsidRDefault="00D41E34">
      <w:pPr>
        <w:pStyle w:val="ReferenceEntry"/>
      </w:pPr>
      <w:r>
        <w:t xml:space="preserve">ADGER, W. N. Vulnerability. </w:t>
      </w:r>
      <w:r>
        <w:rPr>
          <w:i/>
        </w:rPr>
        <w:t>Global Environmental Change</w:t>
      </w:r>
      <w:r>
        <w:t>, v. 16, n. 3, p. 268–281, 2006. DOI: 10.1016/j.gloenvcha.2006.02.006.</w:t>
      </w:r>
    </w:p>
    <w:p w14:paraId="31980A07" w14:textId="77777777" w:rsidR="00114E20" w:rsidRDefault="00D41E34">
      <w:pPr>
        <w:pStyle w:val="ReferenceEntry"/>
      </w:pPr>
      <w:r>
        <w:t xml:space="preserve">ALTMANN, A. et al. Permutation importance: a corrected feature importance measure. </w:t>
      </w:r>
      <w:r>
        <w:rPr>
          <w:i/>
        </w:rPr>
        <w:t>Bioinformatics</w:t>
      </w:r>
      <w:r>
        <w:t>, v. 26, n. 10, p. 1340–1347, 2010. DOI: 10.1093/bioinformatics/btq134.</w:t>
      </w:r>
    </w:p>
    <w:p w14:paraId="30C582C3" w14:textId="77777777" w:rsidR="00E62C65" w:rsidRDefault="00474360">
      <w:pPr>
        <w:pStyle w:val="ReferenceEntry"/>
      </w:pPr>
      <w:r>
        <w:rPr>
          <w:rFonts w:eastAsia="Times New Roman"/>
        </w:rPr>
        <w:t>ALVES, G. G.; TERAZIMA, S. S.; LIMA, J. F. P. K. Inteligência artificial na saúde pública: potenciais e desafios no SUS. Asclepius International Journal of Scientific Health Science, v. 4, n. 3, p. 262–267, 2025. DOI: 10.70779/aijshs.v4i3.67.</w:t>
      </w:r>
    </w:p>
    <w:p w14:paraId="243652FA" w14:textId="77777777" w:rsidR="00E62C65" w:rsidRDefault="00474360">
      <w:pPr>
        <w:pStyle w:val="ReferenceEntry"/>
      </w:pPr>
      <w:r>
        <w:rPr>
          <w:rFonts w:eastAsia="Times New Roman"/>
        </w:rPr>
        <w:t>AYRES, J. R. C. M.; FRANÇA JÚNIOR, I.; CALAZANS, G. J.; SALETTI FILHO, H. C. O conceito de vulnerabilidade e as práticas de saúde: novas perspectivas e desafios. In: CZERESNIA, D.; FREITAS, C. M. (org.). Promoção da saúde: conceitos, reflexões, tendências. Rio de Janeiro: Fiocruz, 2003.</w:t>
      </w:r>
    </w:p>
    <w:p w14:paraId="5319F605" w14:textId="77777777" w:rsidR="00114E20" w:rsidRDefault="00D41E34">
      <w:pPr>
        <w:pStyle w:val="ReferenceEntry"/>
      </w:pPr>
      <w:r>
        <w:t xml:space="preserve">BAYKEMAGN, N. D. et al. Predicting delayed antenatal care initiation among pregnant women in East Africa: using machine learning algorithms. </w:t>
      </w:r>
      <w:r>
        <w:rPr>
          <w:i/>
        </w:rPr>
        <w:t>Frontiers in Global Women's Health</w:t>
      </w:r>
      <w:r>
        <w:t>, v. 6, art. 1488391, 2025. DOI: 10.3389/fgwh.2025.1488391.</w:t>
      </w:r>
    </w:p>
    <w:p w14:paraId="25FFF64F" w14:textId="77777777" w:rsidR="00114E20" w:rsidRDefault="00D41E34">
      <w:pPr>
        <w:pStyle w:val="ReferenceEntry"/>
      </w:pPr>
      <w:r>
        <w:t>BRASIL. Lei nº 13.709, de 14 de agosto de 2018. Lei Geral de Proteção de Dados Pessoais (LGPD). Brasília, DF: Presidência da República, 2018.</w:t>
      </w:r>
    </w:p>
    <w:p w14:paraId="6798FC07" w14:textId="77777777" w:rsidR="00E62C65" w:rsidRDefault="00474360">
      <w:pPr>
        <w:pStyle w:val="ReferenceEntry"/>
      </w:pPr>
      <w:r>
        <w:rPr>
          <w:rFonts w:eastAsia="Times New Roman"/>
        </w:rPr>
        <w:t>BRASIL. Ministério da Saúde. Estratégia de Saúde Digital para o Brasil 2020–2028. Brasília, DF: Ministério da Saúde, 2020.</w:t>
      </w:r>
    </w:p>
    <w:p w14:paraId="730995BF" w14:textId="77777777" w:rsidR="00E62C65" w:rsidRDefault="00474360">
      <w:pPr>
        <w:pStyle w:val="ReferenceEntry"/>
      </w:pPr>
      <w:r>
        <w:rPr>
          <w:rFonts w:eastAsia="Times New Roman"/>
        </w:rPr>
        <w:t>BRASIL. Ministério da Saúde. Portaria GM/MS nº 5.350, de 12 de setembro de 2024. Altera a Portaria de Consolidação GM/MS nº 3, de 28 de setembro de 2017, para dispor sobre a Rede Alyne. Brasília, DF: Ministério da Saúde, 2024.</w:t>
      </w:r>
    </w:p>
    <w:p w14:paraId="51C2AE3B" w14:textId="77777777" w:rsidR="00114E20" w:rsidRDefault="00D41E34">
      <w:pPr>
        <w:pStyle w:val="ReferenceEntry"/>
      </w:pPr>
      <w:r>
        <w:t xml:space="preserve">BREIMAN, L. Random Forests. </w:t>
      </w:r>
      <w:r>
        <w:rPr>
          <w:i/>
        </w:rPr>
        <w:t>Machine Learning</w:t>
      </w:r>
      <w:r>
        <w:t>, v. 45, n. 1, p. 5–32, 2001. DOI: 10.1023/A:1010933404324.</w:t>
      </w:r>
    </w:p>
    <w:p w14:paraId="34A2F25D" w14:textId="77777777" w:rsidR="00114E20" w:rsidRDefault="00D41E34">
      <w:pPr>
        <w:pStyle w:val="ReferenceEntry"/>
      </w:pPr>
      <w:r>
        <w:t xml:space="preserve">BRIER, G. W. Verification of Forecasts Expressed in Terms of Probability. </w:t>
      </w:r>
      <w:r>
        <w:rPr>
          <w:i/>
        </w:rPr>
        <w:t>Monthly Weather Review</w:t>
      </w:r>
      <w:r>
        <w:t>, v. 78, n. 1, p. 1–3, 1950. DOI: 10.1175/1520-0493(1950)078&lt;0001:VOFEIT&gt;2.0.CO;2.</w:t>
      </w:r>
    </w:p>
    <w:p w14:paraId="6A38A6F6" w14:textId="77777777" w:rsidR="00114E20" w:rsidRDefault="00D41E34">
      <w:pPr>
        <w:pStyle w:val="ReferenceEntry"/>
      </w:pPr>
      <w:r>
        <w:lastRenderedPageBreak/>
        <w:t xml:space="preserve">BURTON, A.; ALTMAN, D. G.; ROYSTON, P.; HOLDER, R. L. The design of simulation studies in medical statistics. </w:t>
      </w:r>
      <w:r>
        <w:rPr>
          <w:i/>
        </w:rPr>
        <w:t>Statistics in Medicine</w:t>
      </w:r>
      <w:r>
        <w:t>, v. 25, n. 24, p. 4279–4292, 2006. DOI: 10.1002/sim.2673.</w:t>
      </w:r>
    </w:p>
    <w:p w14:paraId="1A6A08A8" w14:textId="77777777" w:rsidR="00E62C65" w:rsidRDefault="00474360">
      <w:pPr>
        <w:pStyle w:val="ReferenceEntry"/>
      </w:pPr>
      <w:r>
        <w:rPr>
          <w:rFonts w:eastAsia="Times New Roman"/>
        </w:rPr>
        <w:t>BUSS, P. M.; PELLEGRINI FILHO, A. A saúde e seus determinantes sociais. Physis: Revista de Saúde Coletiva, v. 17, n. 1, p. 77–93, 2007. DOI: 10.1590/S0103-73312007000100006.</w:t>
      </w:r>
    </w:p>
    <w:p w14:paraId="70DACDF9" w14:textId="77777777" w:rsidR="00114E20" w:rsidRDefault="00D41E34">
      <w:pPr>
        <w:pStyle w:val="ReferenceEntry"/>
      </w:pPr>
      <w:r>
        <w:t>CHEN, T.; GUESTRIN, C. XGBoost: A Scalable Tree Boosting System. In: ACM SIGKDD INTERNATIONAL CONFERENCE ON KNOWLEDGE DISCOVERY AND DATA MINING, 22., 2016, San Francisco. Proceedings [...]. New York: ACM, 2016. p. 785–794. DOI: 10.1145/2939672.2939785.</w:t>
      </w:r>
    </w:p>
    <w:p w14:paraId="151CCB76" w14:textId="77777777" w:rsidR="00E62C65" w:rsidRDefault="00474360">
      <w:pPr>
        <w:pStyle w:val="ReferenceEntry"/>
      </w:pPr>
      <w:r>
        <w:rPr>
          <w:rFonts w:eastAsia="Times New Roman"/>
        </w:rPr>
        <w:t>CNDSS/BRASIL. As causas sociais das iniquidades em saúde no Brasil. Rio de Janeiro: Fiocruz, 2008.</w:t>
      </w:r>
    </w:p>
    <w:p w14:paraId="0CB6270A" w14:textId="77777777" w:rsidR="00114E20" w:rsidRDefault="00D41E34">
      <w:pPr>
        <w:pStyle w:val="ReferenceEntry"/>
      </w:pPr>
      <w:r>
        <w:t xml:space="preserve">COLLINS, G. S. et al. Transparent Reporting of a multivariable prediction model for Individual Prognosis Or Diagnosis (TRIPOD): The TRIPOD Statement. </w:t>
      </w:r>
      <w:r>
        <w:rPr>
          <w:i/>
        </w:rPr>
        <w:t>Annals of Internal Medicine</w:t>
      </w:r>
      <w:r>
        <w:t>, v. 162, n. 1, p. 55–63, 2015. DOI: 10.7326/M14-0697.</w:t>
      </w:r>
    </w:p>
    <w:p w14:paraId="430474D0" w14:textId="77777777" w:rsidR="00114E20" w:rsidRDefault="00D41E34">
      <w:pPr>
        <w:pStyle w:val="ReferenceEntry"/>
      </w:pPr>
      <w:r>
        <w:t xml:space="preserve">COURONNÉ, R.; PROBST, P.; BOULESTEIX, A.-L. Random forest versus logistic regression: a large-scale benchmark experiment. </w:t>
      </w:r>
      <w:r>
        <w:rPr>
          <w:i/>
        </w:rPr>
        <w:t>BMC Bioinformatics</w:t>
      </w:r>
      <w:r>
        <w:t>, v. 19, n. 1, art. 270, 2018. DOI: 10.1186/s12859-018-2264-5.</w:t>
      </w:r>
    </w:p>
    <w:p w14:paraId="1D0222A9" w14:textId="77777777" w:rsidR="00114E20" w:rsidRDefault="00D41E34">
      <w:pPr>
        <w:pStyle w:val="ReferenceEntry"/>
      </w:pPr>
      <w:r>
        <w:t xml:space="preserve">CUTTER, S. L.; BORUFF, B. J.; SHIRLEY, W. L. Social Vulnerability to Environmental Hazards. </w:t>
      </w:r>
      <w:r>
        <w:rPr>
          <w:i/>
        </w:rPr>
        <w:t>Social Science Quarterly</w:t>
      </w:r>
      <w:r>
        <w:t>, v. 84, n. 2, p. 242–261, 2003. DOI: 10.1111/1540-6237.8402002.</w:t>
      </w:r>
    </w:p>
    <w:p w14:paraId="75F871BA" w14:textId="77777777" w:rsidR="00114E20" w:rsidRDefault="00D41E34">
      <w:pPr>
        <w:pStyle w:val="ReferenceEntry"/>
      </w:pPr>
      <w:r>
        <w:t xml:space="preserve">DAHLGREN, G.; WHITEHEAD, M. </w:t>
      </w:r>
      <w:r>
        <w:rPr>
          <w:i/>
        </w:rPr>
        <w:t>Policies and strategies to promote social equity in health</w:t>
      </w:r>
      <w:r>
        <w:t>. Stockholm: Institute for Futures Studies, 1991.</w:t>
      </w:r>
    </w:p>
    <w:p w14:paraId="572FDF96" w14:textId="77777777" w:rsidR="00114E20" w:rsidRDefault="00D41E34">
      <w:pPr>
        <w:pStyle w:val="ReferenceEntry"/>
      </w:pPr>
      <w:r>
        <w:t xml:space="preserve">DAHLGREN, G.; WHITEHEAD, M. The Dahlgren-Whitehead model of health determinants: 30 years on. </w:t>
      </w:r>
      <w:r>
        <w:rPr>
          <w:i/>
        </w:rPr>
        <w:t>Public Health</w:t>
      </w:r>
      <w:r>
        <w:t>, v. 199, p. 20–24, 2021. DOI: 10.1016/j.puhe.2021.08.009.</w:t>
      </w:r>
    </w:p>
    <w:p w14:paraId="62A15070" w14:textId="77777777" w:rsidR="00114E20" w:rsidRDefault="00D41E34">
      <w:pPr>
        <w:pStyle w:val="ReferenceEntry"/>
      </w:pPr>
      <w:r>
        <w:t>DAVIS, J.; GOADRICH, M. The relationship between Precision-Recall and ROC curves. In: INTERNATIONAL CONFERENCE ON MACHINE LEARNING, 23., 2006, Pittsburgh. Proceedings [...]. New York: ACM, 2006. p. 233–240. DOI: 10.1145/1143844.1143874.</w:t>
      </w:r>
    </w:p>
    <w:p w14:paraId="6197B572" w14:textId="77777777" w:rsidR="00E62C65" w:rsidRDefault="00474360">
      <w:pPr>
        <w:pStyle w:val="ReferenceEntry"/>
      </w:pPr>
      <w:r>
        <w:rPr>
          <w:rFonts w:eastAsia="Times New Roman"/>
        </w:rPr>
        <w:t>DEGLI ESPOSTI, C. D. et al. Desigualdades sociais e geográficas no desempenho da assistência pré-natal. Ciência &amp; Saúde Coletiva, v. 25, n. 5, p. 1735–1750, 2020. DOI: 10.1590/1413-81232020255.32852019.</w:t>
      </w:r>
    </w:p>
    <w:p w14:paraId="1418D1AD" w14:textId="77777777" w:rsidR="00E62C65" w:rsidRDefault="00474360">
      <w:pPr>
        <w:pStyle w:val="ReferenceEntry"/>
      </w:pPr>
      <w:r>
        <w:rPr>
          <w:rFonts w:eastAsia="Times New Roman"/>
        </w:rPr>
        <w:t>FEROZ, A.; PERVEEN, S.; AFTAB, W. Role of mHealth applications for improving antenatal and postnatal care in low and middle income countries: a systematic review. BMC Health Services Research, v. 17, art. 704, 2017. DOI: 10.1186/s12913-017-2664-7.</w:t>
      </w:r>
    </w:p>
    <w:p w14:paraId="1730859C" w14:textId="77777777" w:rsidR="00114E20" w:rsidRDefault="00D41E34">
      <w:pPr>
        <w:pStyle w:val="ReferenceEntry"/>
      </w:pPr>
      <w:r>
        <w:t xml:space="preserve">FISHER, A.; RUDIN, C.; DOMINICI, F. All Models are Wrong, but Many are Useful: Learning a Variable's Importance by Studying an Entire Class of Prediction Models Simultaneously. </w:t>
      </w:r>
      <w:r>
        <w:rPr>
          <w:i/>
        </w:rPr>
        <w:t>Journal of Machine Learning Research</w:t>
      </w:r>
      <w:r>
        <w:t>, v. 20, n. 177, p. 1–81, 2019. Disponível em: https://jmlr.org/papers/v20/18-760.html.</w:t>
      </w:r>
    </w:p>
    <w:p w14:paraId="3B826825" w14:textId="77777777" w:rsidR="00114E20" w:rsidRDefault="00D41E34">
      <w:pPr>
        <w:pStyle w:val="ReferenceEntry"/>
      </w:pPr>
      <w:r>
        <w:lastRenderedPageBreak/>
        <w:t xml:space="preserve">GARBOIS, J. A.; SODRÉ, F.; DALBELLO-ARAUJO, M. Da noção de determinação social à de determinantes sociais da saúde. </w:t>
      </w:r>
      <w:r>
        <w:rPr>
          <w:i/>
        </w:rPr>
        <w:t>Saúde em Debate</w:t>
      </w:r>
      <w:r>
        <w:t>, v. 41, n. 112, p. 63–76, 2017. DOI: 10.1590/0103-1104201711206.</w:t>
      </w:r>
    </w:p>
    <w:p w14:paraId="14E22F4E" w14:textId="77777777" w:rsidR="00114E20" w:rsidRDefault="00D41E34">
      <w:pPr>
        <w:pStyle w:val="ReferenceEntry"/>
      </w:pPr>
      <w:r>
        <w:t xml:space="preserve">GNEITING, T.; RAFTERY, A. E. Strictly Proper Scoring Rules, Prediction, and Estimation. </w:t>
      </w:r>
      <w:r>
        <w:rPr>
          <w:i/>
        </w:rPr>
        <w:t>Journal of the American Statistical Association</w:t>
      </w:r>
      <w:r>
        <w:t>, v. 102, n. 477, p. 359–378, 2007. DOI: 10.1198/016214506000001437.</w:t>
      </w:r>
    </w:p>
    <w:p w14:paraId="443D9156" w14:textId="77777777" w:rsidR="00114E20" w:rsidRDefault="00D41E34">
      <w:pPr>
        <w:pStyle w:val="ReferenceEntry"/>
      </w:pPr>
      <w:r>
        <w:t xml:space="preserve">GRECO, S. et al. On the Methodological Framework of Composite Indices: A Review of the Issues of Weighting, Aggregation, and Robustness. </w:t>
      </w:r>
      <w:r>
        <w:rPr>
          <w:i/>
        </w:rPr>
        <w:t>Social Indicators Research</w:t>
      </w:r>
      <w:r>
        <w:t>, v. 141, n. 1, p. 61–94, 2019. DOI: 10.1007/s11205-017-1832-9.</w:t>
      </w:r>
    </w:p>
    <w:p w14:paraId="08FD6D75" w14:textId="77777777" w:rsidR="00CD492F" w:rsidRDefault="0059251A">
      <w:pPr>
        <w:pStyle w:val="ReferenceEntry"/>
      </w:pPr>
      <w:r>
        <w:rPr>
          <w:rFonts w:eastAsia="Times New Roman" w:cs="Times New Roman"/>
        </w:rPr>
        <w:t>HASTIE, T.; TIBSHIRANI, R.; FRIEDMAN, J. The Elements of Statistical Learning: Data Mining, Inference, and Prediction. 2. ed. New York: Springer, 2009.</w:t>
      </w:r>
    </w:p>
    <w:p w14:paraId="7D5CD37A" w14:textId="77777777" w:rsidR="00114E20" w:rsidRDefault="00D41E34">
      <w:pPr>
        <w:pStyle w:val="ReferenceEntry"/>
      </w:pPr>
      <w:r>
        <w:t xml:space="preserve">HE, H.; GARCIA, E. A. Learning from Imbalanced Data. </w:t>
      </w:r>
      <w:r>
        <w:rPr>
          <w:i/>
        </w:rPr>
        <w:t>IEEE Transactions on Knowledge and Data Engineering</w:t>
      </w:r>
      <w:r>
        <w:t>, v. 21, n. 9, p. 1263–1284, 2009. DOI: 10.1109/TKDE.2008.239.</w:t>
      </w:r>
    </w:p>
    <w:p w14:paraId="6D29F571" w14:textId="77777777" w:rsidR="00114E20" w:rsidRDefault="00D41E34">
      <w:pPr>
        <w:pStyle w:val="ReferenceEntry"/>
      </w:pPr>
      <w:r>
        <w:t xml:space="preserve">HOOKER, G.; MENTCH, L.; ZHOU, S. Unrestricted permutation forces extrapolation: variable importance requires at least one more model, or there is no free variable importance. </w:t>
      </w:r>
      <w:r>
        <w:rPr>
          <w:i/>
        </w:rPr>
        <w:t>Statistics and Computing</w:t>
      </w:r>
      <w:r>
        <w:t>, v. 31, n. 6, art. 82, 2021. DOI: 10.1007/s11222-021-10057-z.</w:t>
      </w:r>
    </w:p>
    <w:p w14:paraId="7DB9CF48" w14:textId="77777777" w:rsidR="00114E20" w:rsidRDefault="00D41E34">
      <w:pPr>
        <w:pStyle w:val="ReferenceEntry"/>
      </w:pPr>
      <w:r>
        <w:t xml:space="preserve">HOSMER, D. W.; LEMESHOW, S.; STURDIVANT, R. X. </w:t>
      </w:r>
      <w:r>
        <w:rPr>
          <w:i/>
        </w:rPr>
        <w:t>Applied Logistic Regression</w:t>
      </w:r>
      <w:r>
        <w:t>. 3. ed. Hoboken: Wiley, 2013. DOI: 10.1002/9781118548387.</w:t>
      </w:r>
    </w:p>
    <w:p w14:paraId="5C51F843" w14:textId="77777777" w:rsidR="00E62C65" w:rsidRDefault="00474360">
      <w:pPr>
        <w:pStyle w:val="ReferenceEntry"/>
      </w:pPr>
      <w:r>
        <w:rPr>
          <w:rFonts w:eastAsia="Times New Roman"/>
        </w:rPr>
        <w:t>IYAWA, G. E.; DANSHARIF, A. R.; KHAN, A. Mobile apps for self-management in pregnancy. Health and Technology, v. 11, n. 2, p. 283–294, 2021. DOI: 10.1007/s12553-021-00523-z.</w:t>
      </w:r>
    </w:p>
    <w:p w14:paraId="4FAE0CF6" w14:textId="77777777" w:rsidR="00114E20" w:rsidRDefault="00D41E34">
      <w:pPr>
        <w:pStyle w:val="ReferenceEntry"/>
      </w:pPr>
      <w:r>
        <w:t xml:space="preserve">KHADIDOS, A. O. et al. Ensemble machine learning framework for predicting maternal health risk during pregnancy. </w:t>
      </w:r>
      <w:r>
        <w:rPr>
          <w:i/>
        </w:rPr>
        <w:t>Scientific Reports</w:t>
      </w:r>
      <w:r>
        <w:t>, v. 14, n. 1, art. 21483, 2024. DOI: 10.1038/s41598-024-71934-x.</w:t>
      </w:r>
    </w:p>
    <w:p w14:paraId="63342569" w14:textId="77777777" w:rsidR="00CD492F" w:rsidRDefault="0059251A">
      <w:pPr>
        <w:pStyle w:val="ReferenceEntry"/>
      </w:pPr>
      <w:r>
        <w:rPr>
          <w:rFonts w:eastAsia="Times New Roman" w:cs="Times New Roman"/>
        </w:rPr>
        <w:t>KOHONEN, T. The self-organizing map. Proceedings of the IEEE, v. 78, n. 9, p. 1464–1480, 1990. DOI: 10.1109/5.58325.</w:t>
      </w:r>
    </w:p>
    <w:p w14:paraId="628C2A7F" w14:textId="77777777" w:rsidR="00CD492F" w:rsidRDefault="0059251A">
      <w:pPr>
        <w:pStyle w:val="ReferenceEntry"/>
      </w:pPr>
      <w:r>
        <w:rPr>
          <w:rFonts w:eastAsia="Times New Roman" w:cs="Times New Roman"/>
        </w:rPr>
        <w:t>KOHONEN, T. Self-Organizing Maps. 3. ed. Berlin: Springer, 2001.</w:t>
      </w:r>
    </w:p>
    <w:p w14:paraId="364745EB" w14:textId="77777777" w:rsidR="00114E20" w:rsidRDefault="00D41E34">
      <w:pPr>
        <w:pStyle w:val="ReferenceEntry"/>
      </w:pPr>
      <w:r>
        <w:t xml:space="preserve">LEAL, M. C. et al. Saúde reprodutiva, materna, neonatal e infantil nos 30 anos do Sistema Único de Saúde (SUS). </w:t>
      </w:r>
      <w:r>
        <w:rPr>
          <w:i/>
        </w:rPr>
        <w:t>Ciência &amp; Saúde Coletiva</w:t>
      </w:r>
      <w:r>
        <w:t>, v. 23, n. 6, p. 1915–1928, 2018. DOI: 10.1590/1413-81232018236.03942018.</w:t>
      </w:r>
    </w:p>
    <w:p w14:paraId="675224E8" w14:textId="77777777" w:rsidR="00CD492F" w:rsidRDefault="0059251A">
      <w:pPr>
        <w:pStyle w:val="ReferenceEntry"/>
      </w:pPr>
      <w:r>
        <w:rPr>
          <w:rFonts w:eastAsia="Times New Roman" w:cs="Times New Roman"/>
        </w:rPr>
        <w:t>MACQUEEN, J. Some methods for classification and analysis of multivariate observations. In: Proceedings of the Fifth Berkeley Symposium on Mathematical Statistics and Probability. Berkeley: University of California Press, 1967. v. 1, p. 281–297.</w:t>
      </w:r>
    </w:p>
    <w:p w14:paraId="555EBEA2" w14:textId="77777777" w:rsidR="00114E20" w:rsidRDefault="00D41E34">
      <w:pPr>
        <w:pStyle w:val="ReferenceEntry"/>
      </w:pPr>
      <w:r>
        <w:t xml:space="preserve">MARMOT, M. Social determinants of health inequalities. </w:t>
      </w:r>
      <w:r>
        <w:rPr>
          <w:i/>
        </w:rPr>
        <w:t>The Lancet</w:t>
      </w:r>
      <w:r>
        <w:t>, v. 365, n. 9464, p. 1099–1104, 2005. DOI: 10.1016/S0140-6736(05)71146-6.</w:t>
      </w:r>
    </w:p>
    <w:p w14:paraId="2EC42B56" w14:textId="77777777" w:rsidR="00114E20" w:rsidRDefault="00D41E34">
      <w:pPr>
        <w:pStyle w:val="ReferenceEntry"/>
      </w:pPr>
      <w:r>
        <w:t xml:space="preserve">MAZZIOTTA, M.; PARETO, A. Methods for Constructing Non-Compensatory Composite Indices: A Comparative Study. </w:t>
      </w:r>
      <w:r>
        <w:rPr>
          <w:i/>
        </w:rPr>
        <w:t>Forum for Social Economics</w:t>
      </w:r>
      <w:r>
        <w:t>, v. 45, n. 2–3, p. 213–229, 2016. DOI: 10.1080/07360932.2014.996912.</w:t>
      </w:r>
    </w:p>
    <w:p w14:paraId="36BF5DF5" w14:textId="77777777" w:rsidR="00114E20" w:rsidRDefault="00D41E34">
      <w:pPr>
        <w:pStyle w:val="ReferenceEntry"/>
      </w:pPr>
      <w:r>
        <w:lastRenderedPageBreak/>
        <w:t xml:space="preserve">MORRIS, T. P.; WHITE, I. R.; CROWTHER, M. J. Using simulation studies to evaluate statistical methods. </w:t>
      </w:r>
      <w:r>
        <w:rPr>
          <w:i/>
        </w:rPr>
        <w:t>Statistics in Medicine</w:t>
      </w:r>
      <w:r>
        <w:t>, v. 38, n. 11, p. 2074–2102, 2019. DOI: 10.1002/sim.8086.</w:t>
      </w:r>
    </w:p>
    <w:p w14:paraId="66844011" w14:textId="77777777" w:rsidR="00114E20" w:rsidRDefault="00D41E34">
      <w:pPr>
        <w:pStyle w:val="ReferenceEntry"/>
      </w:pPr>
      <w:r>
        <w:t xml:space="preserve">OBERMEYER, Z. et al. Dissecting racial bias in an algorithm used to manage the health of populations. </w:t>
      </w:r>
      <w:r>
        <w:rPr>
          <w:i/>
        </w:rPr>
        <w:t>Science</w:t>
      </w:r>
      <w:r>
        <w:t>, v. 366, n. 6464, p. 447–453, 2019. DOI: 10.1126/science.aax2342.</w:t>
      </w:r>
    </w:p>
    <w:p w14:paraId="7A9AB1A0" w14:textId="77777777" w:rsidR="00E62C65" w:rsidRDefault="00474360">
      <w:pPr>
        <w:pStyle w:val="ReferenceEntry"/>
      </w:pPr>
      <w:r>
        <w:rPr>
          <w:rFonts w:eastAsia="Times New Roman"/>
        </w:rPr>
        <w:t>OECD; EUROPEAN COMMISSION; JOINT RESEARCH CENTRE. Handbook on constructing composite indicators: methodology and user guide. Paris: OECD Publishing, 2008. DOI: 10.1787/9789264043466-en.</w:t>
      </w:r>
    </w:p>
    <w:p w14:paraId="1B9D4515" w14:textId="77777777" w:rsidR="00114E20" w:rsidRDefault="00D41E34">
      <w:pPr>
        <w:pStyle w:val="ReferenceEntry"/>
      </w:pPr>
      <w:r>
        <w:t xml:space="preserve">OSBORNE, A. et al. Hierarchical machine learning models for predicting antenatal care utilisation among Nigerian women: Identifying actionable insights for health policy. </w:t>
      </w:r>
      <w:r>
        <w:rPr>
          <w:i/>
        </w:rPr>
        <w:t>BioData Mining</w:t>
      </w:r>
      <w:r>
        <w:t>, v. 19, n. 1, art. 24, 2026. DOI: 10.1186/s13040-026-00538-0.</w:t>
      </w:r>
    </w:p>
    <w:p w14:paraId="7B6FF724" w14:textId="77777777" w:rsidR="00114E20" w:rsidRDefault="00D41E34">
      <w:pPr>
        <w:pStyle w:val="ReferenceEntry"/>
      </w:pPr>
      <w:r>
        <w:t xml:space="preserve">PATEL, S. Y.; AKILESWARAN, C.; BASU, S. Early detection of high risk pregnancies using clinical and social data to improve health outcomes. </w:t>
      </w:r>
      <w:r>
        <w:rPr>
          <w:i/>
        </w:rPr>
        <w:t>npj Digital Public Health</w:t>
      </w:r>
      <w:r>
        <w:t>, v. 1, n. 1, art. 3, 2026. DOI: 10.1038/s44482-025-00003-5.</w:t>
      </w:r>
    </w:p>
    <w:p w14:paraId="116908FB" w14:textId="77777777" w:rsidR="00114E20" w:rsidRDefault="00D41E34">
      <w:pPr>
        <w:pStyle w:val="ReferenceEntry"/>
      </w:pPr>
      <w:r>
        <w:t xml:space="preserve">PRABA, G. C.; VANI, V.; SUGANYA, G. Synthetic Dataset Based Maternal Health Risk Prediction. </w:t>
      </w:r>
      <w:r>
        <w:rPr>
          <w:i/>
        </w:rPr>
        <w:t>SN Computer Science</w:t>
      </w:r>
      <w:r>
        <w:t>, v. 7, n. 4, art. 358, 2026. DOI: 10.1007/s42979-026-04939-0.</w:t>
      </w:r>
    </w:p>
    <w:p w14:paraId="058A440D" w14:textId="77777777" w:rsidR="00E62C65" w:rsidRDefault="00474360">
      <w:pPr>
        <w:pStyle w:val="ReferenceEntry"/>
      </w:pPr>
      <w:r>
        <w:rPr>
          <w:rFonts w:eastAsia="Times New Roman"/>
        </w:rPr>
        <w:t>ROSA, C. Q.; SILVEIRA, D. S.; COSTA, J. S. D. Fatores associados à não realização de pré-natal em município de grande porte. Revista de Saúde Pública, v. 48, n. 6, p. 977–984, 2014. DOI: 10.1590/S0034-8910.2014048005283.</w:t>
      </w:r>
    </w:p>
    <w:p w14:paraId="24616969" w14:textId="77777777" w:rsidR="00CD492F" w:rsidRDefault="0059251A">
      <w:pPr>
        <w:pStyle w:val="ReferenceEntry"/>
      </w:pPr>
      <w:r>
        <w:rPr>
          <w:rFonts w:eastAsia="Times New Roman" w:cs="Times New Roman"/>
        </w:rPr>
        <w:t>ROUSSEEUW, P. J. Silhouettes: A graphical aid to the interpretation and validation of cluster analysis. Journal of Computational and Applied Mathematics, v. 20, p. 53–65, 1987. DOI: 10.1016/0377-0427(87)90125-7.</w:t>
      </w:r>
    </w:p>
    <w:p w14:paraId="4815ADF2" w14:textId="77777777" w:rsidR="00114E20" w:rsidRDefault="00D41E34">
      <w:pPr>
        <w:pStyle w:val="ReferenceEntry"/>
      </w:pPr>
      <w:r>
        <w:t xml:space="preserve">SAITO, T.; REHMSMEIER, M. The Precision-Recall Plot Is More Informative than the ROC Plot When Evaluating Binary Classifiers on Imbalanced Datasets. </w:t>
      </w:r>
      <w:r>
        <w:rPr>
          <w:i/>
        </w:rPr>
        <w:t>PLOS ONE</w:t>
      </w:r>
      <w:r>
        <w:t>, v. 10, n. 3, e0118432, 2015. DOI: 10.1371/journal.pone.0118432.</w:t>
      </w:r>
    </w:p>
    <w:p w14:paraId="02BEFDBA" w14:textId="77777777" w:rsidR="00114E20" w:rsidRDefault="00D41E34">
      <w:pPr>
        <w:pStyle w:val="ReferenceEntry"/>
      </w:pPr>
      <w:r>
        <w:t xml:space="preserve">SALTELLI, A. Composite Indicators between Analysis and Advocacy. </w:t>
      </w:r>
      <w:r>
        <w:rPr>
          <w:i/>
        </w:rPr>
        <w:t>Social Indicators Research</w:t>
      </w:r>
      <w:r>
        <w:t>, v. 81, n. 1, p. 65–77, 2007. DOI: 10.1007/s11205-006-0024-9.</w:t>
      </w:r>
    </w:p>
    <w:p w14:paraId="74186FC1" w14:textId="77777777" w:rsidR="00114E20" w:rsidRDefault="00D41E34">
      <w:pPr>
        <w:pStyle w:val="ReferenceEntry"/>
      </w:pPr>
      <w:r>
        <w:t xml:space="preserve">SANI, J.; OLUWAGBEMIGA, A.; AHMED, M. M. Machine learning-based prediction of optimal antenatal care utilization. </w:t>
      </w:r>
      <w:r>
        <w:rPr>
          <w:i/>
        </w:rPr>
        <w:t>Machine Learning with Applications</w:t>
      </w:r>
      <w:r>
        <w:t>, v. 21, 100698, 2025. DOI: 10.1016/j.mlwa.2025.100698.</w:t>
      </w:r>
    </w:p>
    <w:p w14:paraId="68843F3E" w14:textId="77777777" w:rsidR="00E62C65" w:rsidRDefault="00474360">
      <w:pPr>
        <w:pStyle w:val="ReferenceEntry"/>
      </w:pPr>
      <w:r>
        <w:rPr>
          <w:rFonts w:eastAsia="Times New Roman"/>
        </w:rPr>
        <w:t>SANTORIO, K. T.; SANTORIO, K. T.; BARBOSA, C. N. B. Fatores determinantes na realização do pré-natal no Brasil: uma investigação com dados da PNS. Brazilian Journal of Health Review, v. 7, n. 10, e74857, 2024. DOI: 10.34119/bjhrv7n10-033.</w:t>
      </w:r>
    </w:p>
    <w:p w14:paraId="347B0F4E" w14:textId="77777777" w:rsidR="00E62C65" w:rsidRDefault="00474360">
      <w:pPr>
        <w:pStyle w:val="ReferenceEntry"/>
      </w:pPr>
      <w:r>
        <w:rPr>
          <w:rFonts w:eastAsia="Times New Roman"/>
        </w:rPr>
        <w:t>SOLAR, O.; IRWIN, A. A conceptual framework for action on the social determinants of health. Geneva: World Health Organization, 2010.</w:t>
      </w:r>
    </w:p>
    <w:p w14:paraId="7006FEBF" w14:textId="77777777" w:rsidR="00114E20" w:rsidRDefault="00D41E34">
      <w:pPr>
        <w:pStyle w:val="ReferenceEntry"/>
      </w:pPr>
      <w:r>
        <w:t xml:space="preserve">STEYERBERG, E. W. </w:t>
      </w:r>
      <w:r>
        <w:rPr>
          <w:i/>
        </w:rPr>
        <w:t>Clinical Prediction Models: A Practical Approach to Development, Validation, and Updating</w:t>
      </w:r>
      <w:r>
        <w:t>. 2. ed. Cham: Springer, 2019. DOI: 10.1007/978-3-030-16399-0.</w:t>
      </w:r>
    </w:p>
    <w:p w14:paraId="5767D64D" w14:textId="77777777" w:rsidR="00114E20" w:rsidRDefault="00D41E34">
      <w:pPr>
        <w:pStyle w:val="ReferenceEntry"/>
      </w:pPr>
      <w:r>
        <w:lastRenderedPageBreak/>
        <w:t xml:space="preserve">VAN CALSTER, B. et al. Calibration: the Achilles heel of predictive analytics. </w:t>
      </w:r>
      <w:r>
        <w:rPr>
          <w:i/>
        </w:rPr>
        <w:t>BMC Medicine</w:t>
      </w:r>
      <w:r>
        <w:t>, v. 17, n. 1, art. 230, 2019. DOI: 10.1186/s12916-019-1466-7.</w:t>
      </w:r>
    </w:p>
    <w:p w14:paraId="45953DFC" w14:textId="77777777" w:rsidR="00E62C65" w:rsidRDefault="00474360">
      <w:pPr>
        <w:pStyle w:val="ReferenceEntry"/>
      </w:pPr>
      <w:r>
        <w:rPr>
          <w:rFonts w:eastAsia="Times New Roman"/>
        </w:rPr>
        <w:t>VIELLAS, E. F. et al. Assistência pré-natal no Brasil. Cadernos de Saúde Pública, v. 30, supl. 1, p. S85–S100, 2014. DOI: 10.1590/0102-311X00126013.</w:t>
      </w:r>
    </w:p>
    <w:p w14:paraId="0977C99D" w14:textId="77777777" w:rsidR="00114E20" w:rsidRDefault="00D41E34">
      <w:pPr>
        <w:pStyle w:val="ReferenceEntry"/>
      </w:pPr>
      <w:r>
        <w:t xml:space="preserve">WILDER, B. et al. Development of Prediction Models for Antenatal Care Attendance. </w:t>
      </w:r>
      <w:r>
        <w:rPr>
          <w:i/>
        </w:rPr>
        <w:t>JAMA Network Open</w:t>
      </w:r>
      <w:r>
        <w:t>, v. 6, n. 5, e2315985, 2023. DOI: 10.1001/jamanetworkopen.2023.15985.</w:t>
      </w:r>
    </w:p>
    <w:p w14:paraId="537E3013" w14:textId="77777777" w:rsidR="00114E20" w:rsidRDefault="00D41E34">
      <w:pPr>
        <w:pStyle w:val="ReferenceEntry"/>
      </w:pPr>
      <w:r>
        <w:t xml:space="preserve">WISNER, B. et al. </w:t>
      </w:r>
      <w:r>
        <w:rPr>
          <w:i/>
        </w:rPr>
        <w:t>At Risk: Natural Hazards, People's Vulnerability and Disasters</w:t>
      </w:r>
      <w:r>
        <w:t>. 2. ed. London: Routledge, 2004. DOI: 10.4324/9780203714775.</w:t>
      </w:r>
    </w:p>
    <w:p w14:paraId="2B0730E8" w14:textId="77777777" w:rsidR="00114E20" w:rsidRDefault="00D41E34">
      <w:pPr>
        <w:pStyle w:val="ReferenceEntry"/>
      </w:pPr>
      <w:r>
        <w:t xml:space="preserve">WOLFF, R. F. et al. PROBAST: A Tool to Assess the Risk of Bias and Applicability of Prediction Model Studies. </w:t>
      </w:r>
      <w:r>
        <w:rPr>
          <w:i/>
        </w:rPr>
        <w:t>Annals of Internal Medicine</w:t>
      </w:r>
      <w:r>
        <w:t>, v. 170, n. 1, p. 51–58, 2019. DOI: 10.7326/M18-1376.</w:t>
      </w:r>
    </w:p>
    <w:p w14:paraId="4DEBEC41" w14:textId="77777777" w:rsidR="00E62C65" w:rsidRDefault="00474360">
      <w:pPr>
        <w:pStyle w:val="ReferenceEntry"/>
      </w:pPr>
      <w:r>
        <w:rPr>
          <w:rFonts w:eastAsia="Times New Roman"/>
        </w:rPr>
        <w:t>WORLD HEALTH ORGANIZATION. WHO recommendations on antenatal care for a positive pregnancy experience. Geneva: WHO, 2016.</w:t>
      </w:r>
    </w:p>
    <w:p w14:paraId="6ED34763" w14:textId="77777777" w:rsidR="00E62C65" w:rsidRDefault="00474360">
      <w:pPr>
        <w:pStyle w:val="ReferenceEntry"/>
      </w:pPr>
      <w:r>
        <w:rPr>
          <w:rFonts w:eastAsia="Times New Roman"/>
        </w:rPr>
        <w:t>WORLD HEALTH ORGANIZATION. Trends in maternal mortality 2000 to 2017. Geneva: WHO, 2019.</w:t>
      </w:r>
    </w:p>
    <w:p w14:paraId="3A668FA2" w14:textId="77777777" w:rsidR="00114E20" w:rsidRDefault="00D41E34">
      <w:pPr>
        <w:pStyle w:val="ReferenceEntry"/>
      </w:pPr>
      <w:r>
        <w:t xml:space="preserve">WORLD HEALTH ORGANIZATION. </w:t>
      </w:r>
      <w:r>
        <w:rPr>
          <w:i/>
        </w:rPr>
        <w:t>Ethics and Governance of Artificial Intelligence for Health</w:t>
      </w:r>
      <w:r>
        <w:t>. Geneva: World Health Organization, 2021. ISBN 978-92-4-002920-0.</w:t>
      </w:r>
    </w:p>
    <w:p w14:paraId="0BA11EA2" w14:textId="77777777" w:rsidR="00E62C65" w:rsidRDefault="00474360">
      <w:pPr>
        <w:pStyle w:val="ReferenceEntry"/>
      </w:pPr>
      <w:r>
        <w:rPr>
          <w:rFonts w:eastAsia="Times New Roman"/>
        </w:rPr>
        <w:t>WORLD HEALTH ORGANIZATION. Maternal mortality. Geneva: WHO, 2024. Fact sheet.</w:t>
      </w:r>
    </w:p>
    <w:p w14:paraId="3F20EC17" w14:textId="77777777" w:rsidR="00E62C65" w:rsidRDefault="00474360">
      <w:pPr>
        <w:pStyle w:val="ReferenceEntry"/>
      </w:pPr>
      <w:r>
        <w:rPr>
          <w:rFonts w:eastAsia="Times New Roman"/>
        </w:rPr>
        <w:t>WORLD HEALTH ORGANIZATION. World report on social determinants of health equity. Geneva: WHO, 2025. ISBN 9789240107588.</w:t>
      </w:r>
    </w:p>
    <w:p w14:paraId="6D0E13E2" w14:textId="77777777" w:rsidR="00114E20" w:rsidRDefault="00D41E34">
      <w:pPr>
        <w:pStyle w:val="ReferenceEntry"/>
      </w:pPr>
      <w:r>
        <w:t xml:space="preserve">YANG, Y.; MADANIAN, S.; PARRY, D. Enhancing Health Equity by Predicting Missed Appointments in Health Care: Machine Learning Study. </w:t>
      </w:r>
      <w:r>
        <w:rPr>
          <w:i/>
        </w:rPr>
        <w:t>JMIR Medical Informatics</w:t>
      </w:r>
      <w:r>
        <w:t>, v. 12, e48273, 2024. DOI: 10.2196/48273.</w:t>
      </w:r>
    </w:p>
    <w:p w14:paraId="501DA3A9" w14:textId="77777777" w:rsidR="00114E20" w:rsidRDefault="00D41E34">
      <w:pPr>
        <w:pStyle w:val="ReferenceEntry"/>
      </w:pPr>
      <w:r>
        <w:t xml:space="preserve">YOSEPH, A.; MUSSIE, L.; BELAYNEH, M. Predicting antenatal care dropout using machine learning. </w:t>
      </w:r>
      <w:r>
        <w:rPr>
          <w:i/>
        </w:rPr>
        <w:t>BMJ Open</w:t>
      </w:r>
      <w:r>
        <w:t>, v. 16, n. 7, e111423, 2026. DOI: 10.1136/bmjopen-2025-111423.</w:t>
      </w:r>
    </w:p>
    <w:p w14:paraId="1C1C6D3A" w14:textId="77777777" w:rsidR="00E62C65" w:rsidRDefault="00474360">
      <w:r>
        <w:br w:type="page"/>
      </w:r>
    </w:p>
    <w:p w14:paraId="099713F4" w14:textId="77777777" w:rsidR="00E62C65" w:rsidRDefault="00474360">
      <w:pPr>
        <w:pStyle w:val="Ttulo1"/>
        <w:spacing w:before="0"/>
      </w:pPr>
      <w:bookmarkStart w:id="63" w:name="_Toc238759999"/>
      <w:r>
        <w:rPr>
          <w:rFonts w:ascii="Times New Roman" w:eastAsia="Times New Roman" w:hAnsi="Times New Roman"/>
        </w:rPr>
        <w:lastRenderedPageBreak/>
        <w:t>APÊNDICE A — DECISÕES METODOLÓGICAS CONSOLIDADAS E EM ABERTO</w:t>
      </w:r>
      <w:bookmarkEnd w:id="63"/>
    </w:p>
    <w:p w14:paraId="03E52EDE" w14:textId="77777777" w:rsidR="00E62C65" w:rsidRDefault="00474360">
      <w:pPr>
        <w:pStyle w:val="EditorialStatus"/>
      </w:pPr>
      <w:r>
        <w:rPr>
          <w:rFonts w:eastAsia="Times New Roman"/>
        </w:rPr>
        <w:t>CONTROLE EDITORIAL — conteúdo será consolidado ao final, evitando duplicação excessiva do Capítulo 3.</w:t>
      </w:r>
    </w:p>
    <w:p w14:paraId="0A43A91C" w14:textId="77777777" w:rsidR="00E62C65" w:rsidRDefault="00474360">
      <w:pPr>
        <w:spacing w:after="0" w:line="360" w:lineRule="auto"/>
        <w:jc w:val="both"/>
      </w:pPr>
      <w:r>
        <w:rPr>
          <w:rFonts w:eastAsia="Times New Roman"/>
        </w:rPr>
        <w:t>Este apêndice será reservado para registrar decisões metodológicas que precisem permanecer auditáveis sem sobrecarregar o corpo principal da monografia.</w:t>
      </w:r>
    </w:p>
    <w:p w14:paraId="60BB3BF6" w14:textId="77777777" w:rsidR="00E62C65" w:rsidRDefault="00474360">
      <w:r>
        <w:br w:type="page"/>
      </w:r>
    </w:p>
    <w:p w14:paraId="09F82D54" w14:textId="77777777" w:rsidR="00E62C65" w:rsidRDefault="00474360">
      <w:pPr>
        <w:pStyle w:val="Ttulo1"/>
        <w:spacing w:before="0"/>
      </w:pPr>
      <w:bookmarkStart w:id="64" w:name="_Toc238760000"/>
      <w:r>
        <w:rPr>
          <w:rFonts w:ascii="Times New Roman" w:eastAsia="Times New Roman" w:hAnsi="Times New Roman"/>
        </w:rPr>
        <w:lastRenderedPageBreak/>
        <w:t>APÊNDICE B — FUNDAMENTAÇÃO DA ESCOLHA DO TÍTULO</w:t>
      </w:r>
      <w:bookmarkEnd w:id="64"/>
    </w:p>
    <w:p w14:paraId="10EFA4A5" w14:textId="77777777" w:rsidR="00E62C65" w:rsidRDefault="00474360">
      <w:pPr>
        <w:pStyle w:val="EditorialStatus"/>
      </w:pPr>
      <w:r>
        <w:rPr>
          <w:rFonts w:eastAsia="Times New Roman"/>
        </w:rPr>
        <w:t>CONTROLE EDITORIAL — manter apenas se o orientador considerar útil; caso contrário, remover antes da entrega.</w:t>
      </w:r>
    </w:p>
    <w:p w14:paraId="548BF919" w14:textId="77777777" w:rsidR="00E62C65" w:rsidRDefault="00474360">
      <w:pPr>
        <w:spacing w:after="0" w:line="360" w:lineRule="auto"/>
        <w:jc w:val="both"/>
      </w:pPr>
      <w:r>
        <w:rPr>
          <w:rFonts w:eastAsia="Times New Roman"/>
        </w:rPr>
        <w:t>O título definitivo deverá ser confirmado com o orientador. A formulação atual privilegia os termos “descontinuidade”, “Determinantes Sociais da Saúde”, “aprendizado de máquina” e “índice de vulnerabilidade”, evitando conotação diagnóstica ou clínica não sustentada.</w:t>
      </w:r>
    </w:p>
    <w:sectPr w:rsidR="00E62C65">
      <w:headerReference w:type="even" r:id="rId26"/>
      <w:headerReference w:type="default" r:id="rId27"/>
      <w:headerReference w:type="first" r:id="rId28"/>
      <w:pgSz w:w="11906" w:h="16838"/>
      <w:pgMar w:top="1701" w:right="1134" w:bottom="1134" w:left="1701" w:header="709" w:footer="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A5188F" w14:textId="77777777" w:rsidR="00474360" w:rsidRDefault="00474360">
      <w:pPr>
        <w:spacing w:after="0" w:line="240" w:lineRule="auto"/>
      </w:pPr>
      <w:r>
        <w:separator/>
      </w:r>
    </w:p>
  </w:endnote>
  <w:endnote w:type="continuationSeparator" w:id="0">
    <w:p w14:paraId="667E3134" w14:textId="77777777" w:rsidR="00474360" w:rsidRDefault="00474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EC4910" w14:textId="77777777" w:rsidR="00474360" w:rsidRDefault="00474360">
      <w:pPr>
        <w:spacing w:after="0" w:line="240" w:lineRule="auto"/>
      </w:pPr>
      <w:r>
        <w:separator/>
      </w:r>
    </w:p>
  </w:footnote>
  <w:footnote w:type="continuationSeparator" w:id="0">
    <w:p w14:paraId="4BC816A1" w14:textId="77777777" w:rsidR="00474360" w:rsidRDefault="004743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0F640" w14:textId="77777777" w:rsidR="00E62C65" w:rsidRDefault="00E62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B52C3"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595BD"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D6374"/>
    <w:multiLevelType w:val="multilevel"/>
    <w:tmpl w:val="5EC40B0A"/>
    <w:lvl w:ilvl="0">
      <w:start w:val="1"/>
      <w:numFmt w:val="bullet"/>
      <w:pStyle w:val="Commarcador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AB23617"/>
    <w:multiLevelType w:val="multilevel"/>
    <w:tmpl w:val="B8B0C2C0"/>
    <w:lvl w:ilvl="0">
      <w:start w:val="1"/>
      <w:numFmt w:val="decimal"/>
      <w:pStyle w:val="Numerada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C74101E"/>
    <w:multiLevelType w:val="multilevel"/>
    <w:tmpl w:val="237CC1E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EDA23FA"/>
    <w:multiLevelType w:val="multilevel"/>
    <w:tmpl w:val="B23893C2"/>
    <w:lvl w:ilvl="0">
      <w:start w:val="1"/>
      <w:numFmt w:val="decimal"/>
      <w:pStyle w:val="Numerada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43E3CA0"/>
    <w:multiLevelType w:val="multilevel"/>
    <w:tmpl w:val="0840E044"/>
    <w:lvl w:ilvl="0">
      <w:start w:val="1"/>
      <w:numFmt w:val="decimal"/>
      <w:pStyle w:val="Numerad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84624CF"/>
    <w:multiLevelType w:val="multilevel"/>
    <w:tmpl w:val="BAD4DBCC"/>
    <w:lvl w:ilvl="0">
      <w:start w:val="1"/>
      <w:numFmt w:val="bullet"/>
      <w:pStyle w:val="Commarcador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CB6147E"/>
    <w:multiLevelType w:val="multilevel"/>
    <w:tmpl w:val="C8A0321A"/>
    <w:lvl w:ilvl="0">
      <w:start w:val="1"/>
      <w:numFmt w:val="bullet"/>
      <w:pStyle w:val="Commarcador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84308719">
    <w:abstractNumId w:val="6"/>
  </w:num>
  <w:num w:numId="2" w16cid:durableId="630134990">
    <w:abstractNumId w:val="5"/>
  </w:num>
  <w:num w:numId="3" w16cid:durableId="1469008012">
    <w:abstractNumId w:val="0"/>
  </w:num>
  <w:num w:numId="4" w16cid:durableId="490407484">
    <w:abstractNumId w:val="4"/>
  </w:num>
  <w:num w:numId="5" w16cid:durableId="213659811">
    <w:abstractNumId w:val="1"/>
  </w:num>
  <w:num w:numId="6" w16cid:durableId="1238709715">
    <w:abstractNumId w:val="3"/>
  </w:num>
  <w:num w:numId="7" w16cid:durableId="11776185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2C65"/>
    <w:rsid w:val="00114E20"/>
    <w:rsid w:val="00324805"/>
    <w:rsid w:val="0033527E"/>
    <w:rsid w:val="00364895"/>
    <w:rsid w:val="00474360"/>
    <w:rsid w:val="004E587F"/>
    <w:rsid w:val="0059251A"/>
    <w:rsid w:val="008E4D80"/>
    <w:rsid w:val="00B67F73"/>
    <w:rsid w:val="00B94D51"/>
    <w:rsid w:val="00BA7DB6"/>
    <w:rsid w:val="00BD1FD8"/>
    <w:rsid w:val="00C1050E"/>
    <w:rsid w:val="00CD492F"/>
    <w:rsid w:val="00D41E34"/>
    <w:rsid w:val="00D46B31"/>
    <w:rsid w:val="00E62C65"/>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DD8DC1"/>
  <w15:docId w15:val="{366AD8F4-8C8B-4C13-992D-1FA0BBAE2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Times New Roman" w:hAnsi="Times New Roman"/>
      <w:sz w:val="24"/>
    </w:rPr>
  </w:style>
  <w:style w:type="paragraph" w:styleId="Ttulo1">
    <w:name w:val="heading 1"/>
    <w:basedOn w:val="Normal"/>
    <w:next w:val="Normal"/>
    <w:link w:val="Ttulo1Char"/>
    <w:uiPriority w:val="9"/>
    <w:qFormat/>
    <w:rsid w:val="00FC693F"/>
    <w:pPr>
      <w:keepNext/>
      <w:keepLines/>
      <w:spacing w:before="360" w:after="240" w:line="240" w:lineRule="auto"/>
      <w:outlineLvl w:val="0"/>
    </w:pPr>
    <w:rPr>
      <w:rFonts w:asciiTheme="majorHAnsi" w:eastAsiaTheme="majorEastAsia" w:hAnsiTheme="majorHAnsi" w:cstheme="majorBidi"/>
      <w:b/>
      <w:bCs/>
      <w:szCs w:val="28"/>
    </w:rPr>
  </w:style>
  <w:style w:type="paragraph" w:styleId="Ttulo2">
    <w:name w:val="heading 2"/>
    <w:basedOn w:val="Normal"/>
    <w:next w:val="Normal"/>
    <w:link w:val="Ttulo2Char"/>
    <w:uiPriority w:val="9"/>
    <w:unhideWhenUsed/>
    <w:qFormat/>
    <w:rsid w:val="00FC693F"/>
    <w:pPr>
      <w:keepNext/>
      <w:keepLines/>
      <w:spacing w:before="240" w:after="120" w:line="240" w:lineRule="auto"/>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160" w:after="80" w:line="240" w:lineRule="auto"/>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qFormat/>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link w:val="CorpodetextoCh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paragraph" w:styleId="SemEspaamento">
    <w:name w:val="No Spacing"/>
    <w:uiPriority w:val="1"/>
    <w:qFormat/>
    <w:rsid w:val="00FC693F"/>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har"/>
    <w:uiPriority w:val="11"/>
    <w:qFormat/>
    <w:rsid w:val="00FC693F"/>
    <w:rPr>
      <w:rFonts w:asciiTheme="majorHAnsi" w:eastAsiaTheme="majorEastAsia" w:hAnsiTheme="majorHAnsi" w:cstheme="majorBidi"/>
      <w:i/>
      <w:iCs/>
      <w:color w:val="4F81BD" w:themeColor="accent1"/>
      <w:spacing w:val="15"/>
      <w:szCs w:val="24"/>
    </w:rPr>
  </w:style>
  <w:style w:type="paragraph" w:styleId="PargrafodaLista">
    <w:name w:val="List Paragraph"/>
    <w:basedOn w:val="Normal"/>
    <w:uiPriority w:val="34"/>
    <w:qFormat/>
    <w:rsid w:val="00FC693F"/>
    <w:pPr>
      <w:ind w:left="720"/>
      <w:contextualSpacing/>
    </w:pPr>
  </w:style>
  <w:style w:type="paragraph" w:styleId="Corpodetexto2">
    <w:name w:val="Body Text 2"/>
    <w:basedOn w:val="Normal"/>
    <w:link w:val="Corpodetexto2Char"/>
    <w:uiPriority w:val="99"/>
    <w:unhideWhenUsed/>
    <w:qFormat/>
    <w:rsid w:val="00AA1D8D"/>
    <w:pPr>
      <w:spacing w:after="120" w:line="480" w:lineRule="auto"/>
    </w:pPr>
  </w:style>
  <w:style w:type="paragraph" w:styleId="Corpodetexto3">
    <w:name w:val="Body Text 3"/>
    <w:basedOn w:val="Normal"/>
    <w:link w:val="Corpodetexto3Ch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4"/>
      </w:numPr>
      <w:contextualSpacing/>
    </w:pPr>
  </w:style>
  <w:style w:type="paragraph" w:styleId="Numerada2">
    <w:name w:val="List Number 2"/>
    <w:basedOn w:val="Normal"/>
    <w:uiPriority w:val="99"/>
    <w:unhideWhenUsed/>
    <w:rsid w:val="0029639D"/>
    <w:pPr>
      <w:numPr>
        <w:numId w:val="5"/>
      </w:numPr>
      <w:contextualSpacing/>
    </w:pPr>
  </w:style>
  <w:style w:type="paragraph" w:styleId="Numerada3">
    <w:name w:val="List Number 3"/>
    <w:basedOn w:val="Normal"/>
    <w:uiPriority w:val="99"/>
    <w:unhideWhenUsed/>
    <w:rsid w:val="0029639D"/>
    <w:pPr>
      <w:numPr>
        <w:numId w:val="6"/>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semiHidden/>
    <w:unhideWhenUsed/>
    <w:qFormat/>
    <w:rsid w:val="00FC693F"/>
    <w:pPr>
      <w:outlineLvl w:val="9"/>
    </w:pPr>
  </w:style>
  <w:style w:type="paragraph" w:customStyle="1" w:styleId="EditorialStatus">
    <w:name w:val="Editorial Status"/>
    <w:qFormat/>
    <w:pPr>
      <w:spacing w:before="80" w:after="160"/>
      <w:ind w:left="227" w:right="227"/>
    </w:pPr>
    <w:rPr>
      <w:rFonts w:ascii="Times New Roman" w:hAnsi="Times New Roman"/>
      <w:i/>
      <w:sz w:val="20"/>
    </w:rPr>
  </w:style>
  <w:style w:type="paragraph" w:customStyle="1" w:styleId="CodeBlock">
    <w:name w:val="Code Block"/>
    <w:qFormat/>
    <w:pPr>
      <w:spacing w:before="80" w:after="120"/>
      <w:ind w:left="283" w:right="283"/>
    </w:pPr>
    <w:rPr>
      <w:rFonts w:ascii="Courier New" w:hAnsi="Courier New"/>
      <w:sz w:val="18"/>
    </w:rPr>
  </w:style>
  <w:style w:type="paragraph" w:customStyle="1" w:styleId="ReferenceEntry">
    <w:name w:val="Reference Entry"/>
    <w:qFormat/>
    <w:pPr>
      <w:spacing w:after="240"/>
    </w:pPr>
    <w:rPr>
      <w:rFonts w:ascii="Times New Roman" w:hAnsi="Times New Roman"/>
      <w:sz w:val="24"/>
    </w:rPr>
  </w:style>
  <w:style w:type="paragraph" w:styleId="Sumrio1">
    <w:name w:val="toc 1"/>
    <w:basedOn w:val="Index"/>
    <w:uiPriority w:val="39"/>
    <w:pPr>
      <w:tabs>
        <w:tab w:val="right" w:leader="dot" w:pos="9071"/>
      </w:tabs>
    </w:pPr>
  </w:style>
  <w:style w:type="paragraph" w:styleId="Sumrio2">
    <w:name w:val="toc 2"/>
    <w:basedOn w:val="Index"/>
    <w:uiPriority w:val="39"/>
    <w:pPr>
      <w:tabs>
        <w:tab w:val="right" w:leader="dot" w:pos="8788"/>
      </w:tabs>
      <w:ind w:left="283"/>
    </w:pPr>
  </w:style>
  <w:style w:type="paragraph" w:styleId="Sumrio3">
    <w:name w:val="toc 3"/>
    <w:basedOn w:val="Index"/>
    <w:uiPriority w:val="39"/>
    <w:pPr>
      <w:tabs>
        <w:tab w:val="right" w:leader="dot" w:pos="8504"/>
      </w:tabs>
      <w:ind w:left="567"/>
    </w:pPr>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74</Pages>
  <Words>18010</Words>
  <Characters>108088</Characters>
  <Application>Microsoft Office Word</Application>
  <DocSecurity>0</DocSecurity>
  <Lines>2423</Lines>
  <Paragraphs>1044</Paragraphs>
  <ScaleCrop>false</ScaleCrop>
  <Company/>
  <LinksUpToDate>false</LinksUpToDate>
  <CharactersWithSpaces>125634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Hárliton Martins</cp:lastModifiedBy>
  <cp:revision>7</cp:revision>
  <dcterms:created xsi:type="dcterms:W3CDTF">2026-08-26T20:21:00Z</dcterms:created>
  <dcterms:modified xsi:type="dcterms:W3CDTF">2026-08-28T01:52:00Z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Antônio Hárliton Martins de Souza</dc:creator>
  <dc:description>Documento mestre de trabalho. Capítulo 1 congelado; capítulos 2–6 em evolução sincronizada com o projeto.</dc:description>
  <dc:language>en-US</dc:language>
  <cp:lastModifiedBy/>
  <dcterms:modified xsi:type="dcterms:W3CDTF">2026-08-25T04:58:04Z</dcterms:modified>
  <cp:revision>2</cp:revision>
  <dc:subject>Trabalho de Conclusão de Curso – Engenharia de Software – IFAM Campus Manaus Zona Leste</dc:subject>
  <dc:title>TCC2 – Estimativa da propensão à descontinuidade do acompanhamento pré-natal</dc:title>
</cp:coreProperties>
</file>