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347"/>
        <w:gridCol w:w="803"/>
        <w:gridCol w:w="2654"/>
      </w:tblGrid>
      <w:tr w:rsidR="002B45A4" w:rsidRPr="002F2F6F" w14:paraId="52DB6AE3" w14:textId="77777777" w:rsidTr="00A67485">
        <w:tc>
          <w:tcPr>
            <w:tcW w:w="32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98839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088BD8B0" w14:textId="77777777" w:rsidR="002B45A4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rFonts w:ascii="Arial Narrow" w:hAnsi="Arial Narrow" w:cs="Arial"/>
                <w:noProof/>
                <w:sz w:val="16"/>
                <w:szCs w:val="16"/>
                <w:lang w:val="en-US" w:eastAsia="en-US"/>
              </w:rPr>
              <w:drawing>
                <wp:inline distT="0" distB="0" distL="0" distR="0" wp14:anchorId="067EA405" wp14:editId="4367148E">
                  <wp:extent cx="1933575" cy="495300"/>
                  <wp:effectExtent l="19050" t="0" r="9525" b="0"/>
                  <wp:docPr id="1" name="Picture 1" descr="VIU acronym_and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U acronym_and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49394" w14:textId="77777777" w:rsidR="002B45A4" w:rsidRDefault="002B45A4" w:rsidP="00A67485">
            <w:pPr>
              <w:spacing w:before="60" w:after="60"/>
              <w:rPr>
                <w:sz w:val="16"/>
              </w:rPr>
            </w:pPr>
          </w:p>
          <w:p w14:paraId="629E8515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45B41" w14:textId="77777777" w:rsidR="002B45A4" w:rsidRDefault="002B45A4" w:rsidP="00A67485"/>
          <w:p w14:paraId="030DCAA6" w14:textId="77777777" w:rsidR="002B45A4" w:rsidRPr="00A353D3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>Advanced Diploma in GIS Applications</w:t>
            </w:r>
          </w:p>
          <w:p w14:paraId="4323E380" w14:textId="77777777" w:rsidR="002B45A4" w:rsidRPr="00557D66" w:rsidRDefault="002B45A4" w:rsidP="00A67485">
            <w:pPr>
              <w:jc w:val="center"/>
              <w:rPr>
                <w:b/>
                <w:sz w:val="34"/>
              </w:rPr>
            </w:pPr>
            <w:r w:rsidRPr="00A353D3">
              <w:rPr>
                <w:b/>
                <w:sz w:val="34"/>
              </w:rPr>
              <w:t xml:space="preserve">Practicum </w:t>
            </w:r>
            <w:r>
              <w:rPr>
                <w:b/>
                <w:sz w:val="34"/>
              </w:rPr>
              <w:t xml:space="preserve">Opportunity </w:t>
            </w:r>
            <w:r w:rsidRPr="00A353D3">
              <w:rPr>
                <w:b/>
                <w:sz w:val="34"/>
              </w:rPr>
              <w:t>Summary</w:t>
            </w:r>
          </w:p>
        </w:tc>
      </w:tr>
      <w:tr w:rsidR="002B45A4" w:rsidRPr="002F2F6F" w14:paraId="3721C83D" w14:textId="77777777" w:rsidTr="00A67485">
        <w:tc>
          <w:tcPr>
            <w:tcW w:w="1951" w:type="dxa"/>
            <w:vMerge w:val="restart"/>
            <w:tcBorders>
              <w:top w:val="single" w:sz="4" w:space="0" w:color="auto"/>
            </w:tcBorders>
          </w:tcPr>
          <w:p w14:paraId="46A05896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0734F55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</w:tcBorders>
          </w:tcPr>
          <w:p w14:paraId="32B72561" w14:textId="77777777" w:rsidR="002B45A4" w:rsidRPr="002F2F6F" w:rsidRDefault="00D942F3" w:rsidP="00562201">
            <w:pPr>
              <w:spacing w:before="60" w:after="60"/>
              <w:rPr>
                <w:sz w:val="16"/>
              </w:rPr>
            </w:pPr>
            <w:r w:rsidRPr="00D942F3">
              <w:rPr>
                <w:sz w:val="16"/>
              </w:rPr>
              <w:t>Clean Energy and Economic Development web map application development</w:t>
            </w:r>
          </w:p>
        </w:tc>
      </w:tr>
      <w:tr w:rsidR="002B45A4" w:rsidRPr="002F2F6F" w14:paraId="148192BA" w14:textId="77777777" w:rsidTr="00A67485">
        <w:tc>
          <w:tcPr>
            <w:tcW w:w="1951" w:type="dxa"/>
            <w:vMerge/>
          </w:tcPr>
          <w:p w14:paraId="260BA95F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286D79DB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Organisation:</w:t>
            </w:r>
          </w:p>
        </w:tc>
        <w:tc>
          <w:tcPr>
            <w:tcW w:w="6804" w:type="dxa"/>
            <w:gridSpan w:val="3"/>
          </w:tcPr>
          <w:p w14:paraId="0AE87FF5" w14:textId="77777777" w:rsidR="002B45A4" w:rsidRPr="002F2F6F" w:rsidRDefault="00D942F3" w:rsidP="00A67485">
            <w:pPr>
              <w:spacing w:before="60" w:after="60"/>
              <w:rPr>
                <w:sz w:val="16"/>
              </w:rPr>
            </w:pPr>
            <w:r w:rsidRPr="00D942F3">
              <w:rPr>
                <w:sz w:val="16"/>
              </w:rPr>
              <w:t>Barkley Project Group</w:t>
            </w:r>
          </w:p>
        </w:tc>
      </w:tr>
      <w:tr w:rsidR="002B45A4" w:rsidRPr="002F2F6F" w14:paraId="42E030F2" w14:textId="77777777" w:rsidTr="00A67485">
        <w:tc>
          <w:tcPr>
            <w:tcW w:w="1951" w:type="dxa"/>
            <w:vMerge/>
          </w:tcPr>
          <w:p w14:paraId="49E6B04D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320665CC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Location:</w:t>
            </w:r>
          </w:p>
        </w:tc>
        <w:tc>
          <w:tcPr>
            <w:tcW w:w="6804" w:type="dxa"/>
            <w:gridSpan w:val="3"/>
          </w:tcPr>
          <w:p w14:paraId="3A7C0532" w14:textId="77777777" w:rsidR="002B45A4" w:rsidRPr="002F2F6F" w:rsidRDefault="00D942F3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Nanaimo</w:t>
            </w:r>
          </w:p>
        </w:tc>
      </w:tr>
      <w:tr w:rsidR="002B45A4" w:rsidRPr="002F2F6F" w14:paraId="65274996" w14:textId="77777777" w:rsidTr="00A67485">
        <w:tc>
          <w:tcPr>
            <w:tcW w:w="1951" w:type="dxa"/>
            <w:vMerge w:val="restart"/>
          </w:tcPr>
          <w:p w14:paraId="2DC28F54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Sponsor</w:t>
            </w:r>
          </w:p>
        </w:tc>
        <w:tc>
          <w:tcPr>
            <w:tcW w:w="1276" w:type="dxa"/>
          </w:tcPr>
          <w:p w14:paraId="1C015412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Name:</w:t>
            </w:r>
          </w:p>
        </w:tc>
        <w:tc>
          <w:tcPr>
            <w:tcW w:w="3347" w:type="dxa"/>
          </w:tcPr>
          <w:p w14:paraId="7A03061C" w14:textId="68C6FDE6" w:rsidR="002B45A4" w:rsidRPr="002F2F6F" w:rsidRDefault="002B45A4" w:rsidP="00A67485">
            <w:pPr>
              <w:spacing w:before="60" w:after="60"/>
              <w:rPr>
                <w:sz w:val="16"/>
              </w:rPr>
            </w:pPr>
            <w:bookmarkStart w:id="0" w:name="_GoBack"/>
            <w:bookmarkEnd w:id="0"/>
          </w:p>
        </w:tc>
        <w:tc>
          <w:tcPr>
            <w:tcW w:w="803" w:type="dxa"/>
          </w:tcPr>
          <w:p w14:paraId="610E5CA0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Title:</w:t>
            </w:r>
          </w:p>
        </w:tc>
        <w:tc>
          <w:tcPr>
            <w:tcW w:w="2654" w:type="dxa"/>
          </w:tcPr>
          <w:p w14:paraId="7F045B16" w14:textId="4B5256E2" w:rsidR="002B45A4" w:rsidRPr="002F2F6F" w:rsidRDefault="00ED52F9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GIS Advisor</w:t>
            </w:r>
          </w:p>
        </w:tc>
      </w:tr>
      <w:tr w:rsidR="002B45A4" w:rsidRPr="002F2F6F" w14:paraId="43B12BD5" w14:textId="77777777" w:rsidTr="00A67485">
        <w:tc>
          <w:tcPr>
            <w:tcW w:w="1951" w:type="dxa"/>
            <w:vMerge/>
          </w:tcPr>
          <w:p w14:paraId="2F3EDD3B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1276" w:type="dxa"/>
          </w:tcPr>
          <w:p w14:paraId="19B9DCD4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Email:</w:t>
            </w:r>
          </w:p>
        </w:tc>
        <w:tc>
          <w:tcPr>
            <w:tcW w:w="3347" w:type="dxa"/>
          </w:tcPr>
          <w:p w14:paraId="0A5973EE" w14:textId="35075C43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  <w:tc>
          <w:tcPr>
            <w:tcW w:w="803" w:type="dxa"/>
          </w:tcPr>
          <w:p w14:paraId="24C12CCE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2F2F6F">
              <w:rPr>
                <w:sz w:val="16"/>
              </w:rPr>
              <w:t>Phone:</w:t>
            </w:r>
          </w:p>
        </w:tc>
        <w:tc>
          <w:tcPr>
            <w:tcW w:w="2654" w:type="dxa"/>
          </w:tcPr>
          <w:p w14:paraId="21E0AF48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1A5F8F91" w14:textId="77777777" w:rsidTr="00A67485">
        <w:tc>
          <w:tcPr>
            <w:tcW w:w="1951" w:type="dxa"/>
          </w:tcPr>
          <w:p w14:paraId="7EEB5993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Project Overview</w:t>
            </w:r>
          </w:p>
        </w:tc>
        <w:tc>
          <w:tcPr>
            <w:tcW w:w="8080" w:type="dxa"/>
            <w:gridSpan w:val="4"/>
          </w:tcPr>
          <w:p w14:paraId="25D85C62" w14:textId="61D941EC" w:rsidR="002B45A4" w:rsidRDefault="00D942F3" w:rsidP="00A67485">
            <w:pPr>
              <w:spacing w:before="60" w:after="60"/>
              <w:rPr>
                <w:sz w:val="16"/>
              </w:rPr>
            </w:pPr>
            <w:r w:rsidRPr="00350834">
              <w:rPr>
                <w:sz w:val="16"/>
              </w:rPr>
              <w:t xml:space="preserve">Barkley Project Group </w:t>
            </w:r>
            <w:r w:rsidR="00367CEF" w:rsidRPr="00350834">
              <w:rPr>
                <w:sz w:val="16"/>
              </w:rPr>
              <w:t xml:space="preserve">is a Nanaimo-based organization which provides the technical capacity required for development of community-owned sustainable energy and infrastructure. </w:t>
            </w:r>
            <w:r w:rsidR="00391D54" w:rsidRPr="00350834">
              <w:rPr>
                <w:sz w:val="16"/>
              </w:rPr>
              <w:t>We manage all the services required to bring renewable energy and community infrastructure projects to life</w:t>
            </w:r>
            <w:r w:rsidR="005528B9" w:rsidRPr="00350834">
              <w:rPr>
                <w:sz w:val="16"/>
              </w:rPr>
              <w:t>. Services</w:t>
            </w:r>
            <w:r w:rsidR="00E83A1D" w:rsidRPr="00350834">
              <w:rPr>
                <w:sz w:val="16"/>
              </w:rPr>
              <w:t xml:space="preserve"> where GIS plays a critical role </w:t>
            </w:r>
            <w:r w:rsidR="001277C0" w:rsidRPr="00350834">
              <w:rPr>
                <w:sz w:val="16"/>
              </w:rPr>
              <w:t>rang</w:t>
            </w:r>
            <w:r w:rsidR="005528B9" w:rsidRPr="00350834">
              <w:rPr>
                <w:sz w:val="16"/>
              </w:rPr>
              <w:t>e</w:t>
            </w:r>
            <w:r w:rsidR="001277C0" w:rsidRPr="00350834">
              <w:rPr>
                <w:sz w:val="16"/>
              </w:rPr>
              <w:t xml:space="preserve"> from </w:t>
            </w:r>
            <w:r w:rsidR="00C73438" w:rsidRPr="00350834">
              <w:rPr>
                <w:sz w:val="16"/>
              </w:rPr>
              <w:t xml:space="preserve">business planning, </w:t>
            </w:r>
            <w:r w:rsidR="001277C0" w:rsidRPr="00350834">
              <w:rPr>
                <w:sz w:val="16"/>
              </w:rPr>
              <w:t>renewable</w:t>
            </w:r>
            <w:r w:rsidR="00693AA4" w:rsidRPr="00350834">
              <w:rPr>
                <w:sz w:val="16"/>
              </w:rPr>
              <w:t xml:space="preserve"> energy</w:t>
            </w:r>
            <w:r w:rsidR="001277C0" w:rsidRPr="00350834">
              <w:rPr>
                <w:sz w:val="16"/>
              </w:rPr>
              <w:t xml:space="preserve"> resource assessments,</w:t>
            </w:r>
            <w:r w:rsidR="00E83A1D" w:rsidRPr="00350834">
              <w:rPr>
                <w:sz w:val="16"/>
              </w:rPr>
              <w:t xml:space="preserve"> feasibility and</w:t>
            </w:r>
            <w:r w:rsidR="001277C0" w:rsidRPr="00350834">
              <w:rPr>
                <w:sz w:val="16"/>
              </w:rPr>
              <w:t xml:space="preserve"> regulatory permitting</w:t>
            </w:r>
            <w:r w:rsidR="005528B9" w:rsidRPr="00350834">
              <w:rPr>
                <w:sz w:val="16"/>
              </w:rPr>
              <w:t xml:space="preserve"> all the way</w:t>
            </w:r>
            <w:r w:rsidR="00693AA4" w:rsidRPr="00350834">
              <w:rPr>
                <w:sz w:val="16"/>
              </w:rPr>
              <w:t xml:space="preserve"> through to construction and operations management.</w:t>
            </w:r>
          </w:p>
          <w:p w14:paraId="785CD85E" w14:textId="77777777" w:rsidR="00D942F3" w:rsidRDefault="00D942F3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Barkley has a number of web applications which were developed using ArcGIS Web </w:t>
            </w:r>
            <w:proofErr w:type="spellStart"/>
            <w:r>
              <w:rPr>
                <w:sz w:val="16"/>
              </w:rPr>
              <w:t>AppBuilder</w:t>
            </w:r>
            <w:proofErr w:type="spellEnd"/>
            <w:r>
              <w:rPr>
                <w:sz w:val="16"/>
              </w:rPr>
              <w:t xml:space="preserve">, and with ESRI retiring this product, there is a need to modernize these web applications.  </w:t>
            </w:r>
            <w:r w:rsidR="00367CEF">
              <w:rPr>
                <w:sz w:val="16"/>
              </w:rPr>
              <w:t>W</w:t>
            </w:r>
            <w:r w:rsidR="00367CEF" w:rsidRPr="00367CEF">
              <w:rPr>
                <w:sz w:val="16"/>
              </w:rPr>
              <w:t>hat the new</w:t>
            </w:r>
            <w:r w:rsidR="00367CEF">
              <w:rPr>
                <w:sz w:val="16"/>
              </w:rPr>
              <w:t xml:space="preserve"> version would look like is TBD, and the</w:t>
            </w:r>
            <w:r w:rsidR="00367CEF" w:rsidRPr="00367CEF">
              <w:rPr>
                <w:sz w:val="16"/>
              </w:rPr>
              <w:t xml:space="preserve"> student can have some freedom</w:t>
            </w:r>
            <w:r w:rsidR="00367CEF">
              <w:rPr>
                <w:sz w:val="16"/>
              </w:rPr>
              <w:t xml:space="preserve"> in </w:t>
            </w:r>
            <w:r w:rsidR="00877CDA">
              <w:rPr>
                <w:sz w:val="16"/>
              </w:rPr>
              <w:t>shaping</w:t>
            </w:r>
            <w:r w:rsidR="00367CEF">
              <w:rPr>
                <w:sz w:val="16"/>
              </w:rPr>
              <w:t xml:space="preserve"> a solution.  </w:t>
            </w:r>
            <w:r>
              <w:rPr>
                <w:sz w:val="16"/>
              </w:rPr>
              <w:t>See further discussion at:</w:t>
            </w:r>
          </w:p>
          <w:p w14:paraId="1CE573E7" w14:textId="77777777" w:rsidR="00D942F3" w:rsidRDefault="00BD1AA4" w:rsidP="00A67485">
            <w:pPr>
              <w:spacing w:before="60" w:after="60"/>
              <w:rPr>
                <w:sz w:val="16"/>
              </w:rPr>
            </w:pPr>
            <w:hyperlink r:id="rId6" w:anchor="main-content" w:history="1">
              <w:r w:rsidR="00D942F3" w:rsidRPr="00F94A50">
                <w:rPr>
                  <w:rStyle w:val="Hyperlink"/>
                  <w:sz w:val="16"/>
                </w:rPr>
                <w:t>https://resources.esri.ca/webinars/making-the-next-move-strategies-for-migrating-from-arcgis-web-appbuilder#main-content</w:t>
              </w:r>
            </w:hyperlink>
          </w:p>
          <w:p w14:paraId="299C322C" w14:textId="77777777" w:rsidR="00696E98" w:rsidRDefault="00367CEF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 xml:space="preserve">An internal business application is a likely candidate for the initial migration, and depending upon progress there are many other </w:t>
            </w:r>
            <w:r w:rsidRPr="00367CEF">
              <w:rPr>
                <w:sz w:val="16"/>
              </w:rPr>
              <w:t>web map applications specific to a variety</w:t>
            </w:r>
            <w:r>
              <w:rPr>
                <w:sz w:val="16"/>
              </w:rPr>
              <w:t xml:space="preserve"> of</w:t>
            </w:r>
            <w:r w:rsidRPr="00367CEF">
              <w:rPr>
                <w:sz w:val="16"/>
              </w:rPr>
              <w:t xml:space="preserve"> clean energy and infrastructure projects that can be worked on.</w:t>
            </w:r>
            <w:r>
              <w:rPr>
                <w:sz w:val="16"/>
              </w:rPr>
              <w:t xml:space="preserve"> The</w:t>
            </w:r>
            <w:r w:rsidRPr="00367CEF">
              <w:rPr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 w:rsidRPr="00367CEF">
              <w:rPr>
                <w:sz w:val="16"/>
              </w:rPr>
              <w:t>dea is to put these web map apps in the hands of the projec</w:t>
            </w:r>
            <w:r>
              <w:rPr>
                <w:sz w:val="16"/>
              </w:rPr>
              <w:t>t teams so they have easy up-to-</w:t>
            </w:r>
            <w:r w:rsidRPr="00367CEF">
              <w:rPr>
                <w:sz w:val="16"/>
              </w:rPr>
              <w:t>date access to relevant project mapping information ranging from design, land status, environmental sensitivities</w:t>
            </w:r>
            <w:r>
              <w:rPr>
                <w:sz w:val="16"/>
              </w:rPr>
              <w:t>,</w:t>
            </w:r>
            <w:r w:rsidRPr="00367CEF">
              <w:rPr>
                <w:sz w:val="16"/>
              </w:rPr>
              <w:t xml:space="preserve"> etc. Generally</w:t>
            </w:r>
            <w:r>
              <w:rPr>
                <w:sz w:val="16"/>
              </w:rPr>
              <w:t>, Barkley has</w:t>
            </w:r>
            <w:r w:rsidRPr="00367CEF">
              <w:rPr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 w:rsidRPr="00367CEF">
              <w:rPr>
                <w:sz w:val="16"/>
              </w:rPr>
              <w:t xml:space="preserve"> trying to move from the use of static PDF maps to web maps so the student could potentially help with creating more awareness of our web maps, GIS capabilities etc.</w:t>
            </w:r>
          </w:p>
          <w:p w14:paraId="683D7FDF" w14:textId="77777777" w:rsidR="00696E98" w:rsidRPr="002F2F6F" w:rsidRDefault="00696E98" w:rsidP="00A67485">
            <w:pPr>
              <w:spacing w:before="60" w:after="60"/>
              <w:rPr>
                <w:sz w:val="16"/>
              </w:rPr>
            </w:pPr>
          </w:p>
        </w:tc>
      </w:tr>
      <w:tr w:rsidR="002B45A4" w:rsidRPr="002F2F6F" w14:paraId="13A2C931" w14:textId="77777777" w:rsidTr="00A67485">
        <w:tc>
          <w:tcPr>
            <w:tcW w:w="1951" w:type="dxa"/>
          </w:tcPr>
          <w:p w14:paraId="5F136353" w14:textId="77777777" w:rsidR="002B45A4" w:rsidRDefault="002B45A4" w:rsidP="00A67485">
            <w:pPr>
              <w:spacing w:before="60" w:after="60"/>
              <w:rPr>
                <w:sz w:val="20"/>
              </w:rPr>
            </w:pPr>
            <w:r w:rsidRPr="004D6C5C">
              <w:rPr>
                <w:sz w:val="20"/>
              </w:rPr>
              <w:t>Task Summary</w:t>
            </w:r>
          </w:p>
          <w:p w14:paraId="05D64318" w14:textId="77777777" w:rsidR="002B45A4" w:rsidRDefault="002B45A4" w:rsidP="00A67485">
            <w:pPr>
              <w:spacing w:before="60" w:after="60"/>
              <w:rPr>
                <w:sz w:val="20"/>
              </w:rPr>
            </w:pPr>
          </w:p>
          <w:p w14:paraId="07D89E54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>
              <w:rPr>
                <w:sz w:val="20"/>
              </w:rPr>
              <w:t>(Types of work involved)</w:t>
            </w:r>
          </w:p>
        </w:tc>
        <w:tc>
          <w:tcPr>
            <w:tcW w:w="8080" w:type="dxa"/>
            <w:gridSpan w:val="4"/>
          </w:tcPr>
          <w:p w14:paraId="1C3EAF3F" w14:textId="77777777" w:rsidR="00367CEF" w:rsidRPr="00367CEF" w:rsidRDefault="00367CEF" w:rsidP="00367CEF">
            <w:pPr>
              <w:spacing w:before="60" w:after="60"/>
              <w:rPr>
                <w:sz w:val="16"/>
              </w:rPr>
            </w:pPr>
            <w:r w:rsidRPr="00367CEF">
              <w:rPr>
                <w:sz w:val="16"/>
              </w:rPr>
              <w:t>Upgrade of existing web mapping application(s) used to support the advancement of Clean Energy and Economic initiatives</w:t>
            </w:r>
          </w:p>
          <w:p w14:paraId="2BD5B63D" w14:textId="074B28CC" w:rsidR="00367CEF" w:rsidRPr="00FB6FEA" w:rsidRDefault="006676D0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I</w:t>
            </w:r>
            <w:r w:rsidR="00367CEF" w:rsidRPr="00FB6FEA">
              <w:rPr>
                <w:sz w:val="16"/>
              </w:rPr>
              <w:t xml:space="preserve">nvestigate potential </w:t>
            </w:r>
            <w:r w:rsidR="00FB6FEA" w:rsidRPr="00FB6FEA">
              <w:rPr>
                <w:sz w:val="16"/>
              </w:rPr>
              <w:t>migration options, e.g., ArcGIS Experience Builder, ArcGIS Instant Apps, ArcGIS Dashboards, ArcGIS StoryMaps</w:t>
            </w:r>
          </w:p>
          <w:p w14:paraId="40BD1E66" w14:textId="77777777" w:rsidR="00367CEF" w:rsidRDefault="00367CEF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FB6FEA">
              <w:rPr>
                <w:sz w:val="16"/>
              </w:rPr>
              <w:t xml:space="preserve">Migrate existing web apps from Web </w:t>
            </w:r>
            <w:proofErr w:type="spellStart"/>
            <w:r w:rsidRPr="00FB6FEA">
              <w:rPr>
                <w:sz w:val="16"/>
              </w:rPr>
              <w:t>AppBuilder</w:t>
            </w:r>
            <w:proofErr w:type="spellEnd"/>
            <w:r w:rsidRPr="00FB6FEA">
              <w:rPr>
                <w:sz w:val="16"/>
              </w:rPr>
              <w:t xml:space="preserve"> </w:t>
            </w:r>
          </w:p>
          <w:p w14:paraId="645BD869" w14:textId="2A4FBCBB" w:rsidR="00746903" w:rsidRDefault="00746903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Configure web maps in the new web map viewer</w:t>
            </w:r>
          </w:p>
          <w:p w14:paraId="622E3780" w14:textId="7050F1E5" w:rsidR="00ED52F9" w:rsidRPr="00FB6FEA" w:rsidRDefault="00ED52F9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>
              <w:rPr>
                <w:sz w:val="16"/>
              </w:rPr>
              <w:t>Organize layers</w:t>
            </w:r>
          </w:p>
          <w:p w14:paraId="3243F989" w14:textId="77777777" w:rsidR="00367CEF" w:rsidRPr="00FB6FEA" w:rsidRDefault="00367CEF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FB6FEA">
              <w:rPr>
                <w:sz w:val="16"/>
              </w:rPr>
              <w:t xml:space="preserve">Customize / configure widgets and tools etc. </w:t>
            </w:r>
          </w:p>
          <w:p w14:paraId="74C8C55F" w14:textId="77777777" w:rsidR="00367CEF" w:rsidRPr="00FB6FEA" w:rsidRDefault="00367CEF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FB6FEA">
              <w:rPr>
                <w:sz w:val="16"/>
              </w:rPr>
              <w:t>Improve user experience (more user friendly)</w:t>
            </w:r>
          </w:p>
          <w:p w14:paraId="5548CE16" w14:textId="77777777" w:rsidR="00367CEF" w:rsidRPr="00FB6FEA" w:rsidRDefault="00367CEF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FB6FEA">
              <w:rPr>
                <w:sz w:val="16"/>
              </w:rPr>
              <w:t xml:space="preserve">Integration of publicly available data sources (e.g. compilation of land interests for whole of BC, using information from the Integrated Land and Resource Registry). </w:t>
            </w:r>
          </w:p>
          <w:p w14:paraId="65171681" w14:textId="77777777" w:rsidR="00367CEF" w:rsidRPr="00FB6FEA" w:rsidRDefault="00367CEF" w:rsidP="00FB6FEA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FB6FEA">
              <w:rPr>
                <w:sz w:val="16"/>
              </w:rPr>
              <w:t>Development and advancement of a company wide GIS platform / increase awareness company wide of the use of web maps for “non GIS” users</w:t>
            </w:r>
          </w:p>
          <w:p w14:paraId="41C73E03" w14:textId="77777777" w:rsidR="00696E98" w:rsidRPr="00FB6FEA" w:rsidRDefault="00367CEF" w:rsidP="00696E98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16"/>
              </w:rPr>
            </w:pPr>
            <w:r w:rsidRPr="00FB6FEA">
              <w:rPr>
                <w:sz w:val="16"/>
              </w:rPr>
              <w:t>Development of instruction manual</w:t>
            </w:r>
            <w:r w:rsidR="00FB6FEA">
              <w:rPr>
                <w:sz w:val="16"/>
              </w:rPr>
              <w:t>(s)</w:t>
            </w:r>
          </w:p>
        </w:tc>
      </w:tr>
      <w:tr w:rsidR="002B45A4" w:rsidRPr="002F2F6F" w14:paraId="5ACA0D0E" w14:textId="77777777" w:rsidTr="00A67485">
        <w:tc>
          <w:tcPr>
            <w:tcW w:w="1951" w:type="dxa"/>
          </w:tcPr>
          <w:p w14:paraId="670D16F1" w14:textId="77777777" w:rsidR="002B45A4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Additional Information</w:t>
            </w:r>
          </w:p>
          <w:p w14:paraId="7C3619F4" w14:textId="77777777" w:rsidR="002B45A4" w:rsidRDefault="002B45A4" w:rsidP="00A67485">
            <w:pPr>
              <w:spacing w:before="60" w:after="60"/>
              <w:rPr>
                <w:sz w:val="20"/>
              </w:rPr>
            </w:pPr>
          </w:p>
          <w:p w14:paraId="428E8FE4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(Appealing Aspects)</w:t>
            </w:r>
          </w:p>
        </w:tc>
        <w:tc>
          <w:tcPr>
            <w:tcW w:w="8080" w:type="dxa"/>
            <w:gridSpan w:val="4"/>
          </w:tcPr>
          <w:p w14:paraId="330B7D13" w14:textId="3DCEFFC5" w:rsidR="00696E98" w:rsidRDefault="00FB6FEA" w:rsidP="00A67485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</w:t>
            </w:r>
            <w:r w:rsidRPr="00FB6FEA">
              <w:rPr>
                <w:sz w:val="16"/>
              </w:rPr>
              <w:t>epending on timing</w:t>
            </w:r>
            <w:r>
              <w:rPr>
                <w:sz w:val="16"/>
              </w:rPr>
              <w:t xml:space="preserve"> and migration progress</w:t>
            </w:r>
            <w:r w:rsidRPr="00FB6FEA">
              <w:rPr>
                <w:sz w:val="16"/>
              </w:rPr>
              <w:t>, there may the opportunity to help out with other GIS projects related to geothermal, hydropower, solar and wind energy</w:t>
            </w:r>
          </w:p>
        </w:tc>
      </w:tr>
      <w:tr w:rsidR="002B45A4" w:rsidRPr="002F2F6F" w14:paraId="40F8CE92" w14:textId="77777777" w:rsidTr="00A67485">
        <w:tc>
          <w:tcPr>
            <w:tcW w:w="1951" w:type="dxa"/>
          </w:tcPr>
          <w:p w14:paraId="1463B30C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sz w:val="20"/>
              </w:rPr>
              <w:t>Funding</w:t>
            </w:r>
          </w:p>
        </w:tc>
        <w:tc>
          <w:tcPr>
            <w:tcW w:w="8080" w:type="dxa"/>
            <w:gridSpan w:val="4"/>
          </w:tcPr>
          <w:p w14:paraId="4FD8887C" w14:textId="77777777" w:rsidR="002B45A4" w:rsidRPr="002F2F6F" w:rsidRDefault="006F7A7F" w:rsidP="00A67485">
            <w:pPr>
              <w:spacing w:before="60" w:after="60"/>
              <w:rPr>
                <w:sz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 w:rsidRPr="004D6C5C">
              <w:rPr>
                <w:rFonts w:cs="Arial"/>
                <w:sz w:val="16"/>
                <w:szCs w:val="16"/>
              </w:rPr>
              <w:t>None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 xml:space="preserve">     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Minor (&lt; $3,000)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Major (&gt;$3,000)</w:t>
            </w:r>
          </w:p>
        </w:tc>
      </w:tr>
      <w:tr w:rsidR="002B45A4" w:rsidRPr="002F2F6F" w14:paraId="601A9B91" w14:textId="77777777" w:rsidTr="00A67485">
        <w:tc>
          <w:tcPr>
            <w:tcW w:w="1951" w:type="dxa"/>
          </w:tcPr>
          <w:p w14:paraId="2419827E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Workplace</w:t>
            </w:r>
          </w:p>
        </w:tc>
        <w:tc>
          <w:tcPr>
            <w:tcW w:w="8080" w:type="dxa"/>
            <w:gridSpan w:val="4"/>
          </w:tcPr>
          <w:p w14:paraId="01AFF23F" w14:textId="30CC9BFA" w:rsidR="002B45A4" w:rsidRDefault="00696E98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Off-site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6C4BFA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="006C4BFA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 w:rsidR="006C4BFA">
              <w:rPr>
                <w:rFonts w:cs="Arial"/>
                <w:sz w:val="16"/>
                <w:szCs w:val="16"/>
              </w:rPr>
              <w:fldChar w:fldCharType="end"/>
            </w:r>
            <w:r w:rsidR="002B45A4" w:rsidRPr="004D6C5C">
              <w:rPr>
                <w:rFonts w:cs="Arial"/>
                <w:sz w:val="16"/>
                <w:szCs w:val="16"/>
              </w:rPr>
              <w:t xml:space="preserve">   Full-Time On-Site</w:t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tab/>
            </w:r>
            <w:r w:rsidR="002B45A4"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2B45A4"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 w:rsidR="002B45A4" w:rsidRPr="004D6C5C"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Other/Mixture</w:t>
            </w:r>
          </w:p>
          <w:p w14:paraId="55ECFF87" w14:textId="77777777"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  <w:p w14:paraId="0E7CAD8C" w14:textId="79F45359" w:rsidR="002B45A4" w:rsidRPr="00ED52F9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Description (if Other): </w:t>
            </w:r>
          </w:p>
        </w:tc>
      </w:tr>
      <w:tr w:rsidR="002B45A4" w:rsidRPr="002F2F6F" w14:paraId="56CB374F" w14:textId="77777777" w:rsidTr="00A67485">
        <w:tc>
          <w:tcPr>
            <w:tcW w:w="1951" w:type="dxa"/>
          </w:tcPr>
          <w:p w14:paraId="77CEEAA6" w14:textId="77777777" w:rsidR="002B45A4" w:rsidRPr="004D6C5C" w:rsidRDefault="002B45A4" w:rsidP="00A67485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Student Selection</w:t>
            </w:r>
          </w:p>
        </w:tc>
        <w:tc>
          <w:tcPr>
            <w:tcW w:w="8080" w:type="dxa"/>
            <w:gridSpan w:val="4"/>
          </w:tcPr>
          <w:p w14:paraId="580CDC49" w14:textId="77777777" w:rsidR="002B45A4" w:rsidRDefault="002B45A4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>
              <w:rPr>
                <w:rFonts w:cs="Arial"/>
                <w:sz w:val="16"/>
                <w:szCs w:val="16"/>
              </w:rPr>
              <w:t>Faculty Selection</w:t>
            </w:r>
            <w:r>
              <w:rPr>
                <w:rFonts w:cs="Arial"/>
                <w:sz w:val="16"/>
                <w:szCs w:val="16"/>
              </w:rPr>
              <w:tab/>
              <w:t xml:space="preserve">     </w:t>
            </w:r>
            <w:r>
              <w:rPr>
                <w:rFonts w:cs="Arial"/>
                <w:sz w:val="16"/>
                <w:szCs w:val="16"/>
              </w:rPr>
              <w:tab/>
              <w:t>(Student with highest grades selected from among those interested)</w:t>
            </w:r>
          </w:p>
          <w:p w14:paraId="006BD1A3" w14:textId="04E4E7A5" w:rsidR="002B45A4" w:rsidRDefault="00107C7A" w:rsidP="00A6748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="002B45A4">
              <w:rPr>
                <w:rFonts w:cs="Arial"/>
                <w:sz w:val="14"/>
                <w:szCs w:val="14"/>
              </w:rPr>
              <w:t xml:space="preserve">   </w:t>
            </w:r>
            <w:r w:rsidR="002B45A4">
              <w:rPr>
                <w:rFonts w:cs="Arial"/>
                <w:sz w:val="16"/>
                <w:szCs w:val="16"/>
              </w:rPr>
              <w:t>Shared Selection</w:t>
            </w:r>
            <w:r w:rsidR="002B45A4">
              <w:rPr>
                <w:rFonts w:cs="Arial"/>
                <w:sz w:val="16"/>
                <w:szCs w:val="16"/>
              </w:rPr>
              <w:tab/>
            </w:r>
            <w:r w:rsidR="002B45A4">
              <w:rPr>
                <w:rFonts w:cs="Arial"/>
                <w:sz w:val="16"/>
                <w:szCs w:val="16"/>
              </w:rPr>
              <w:tab/>
              <w:t>(Faculty and Sponsor make selection based on discussion of interested students)</w:t>
            </w:r>
          </w:p>
          <w:p w14:paraId="43560A05" w14:textId="77777777" w:rsidR="002B45A4" w:rsidRPr="002F2F6F" w:rsidRDefault="002B45A4" w:rsidP="00A67485">
            <w:pPr>
              <w:spacing w:before="60" w:after="60"/>
              <w:rPr>
                <w:sz w:val="16"/>
              </w:rPr>
            </w:pPr>
            <w:r w:rsidRPr="004D6C5C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4D6C5C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BD1AA4">
              <w:rPr>
                <w:rFonts w:cs="Arial"/>
                <w:sz w:val="16"/>
                <w:szCs w:val="16"/>
              </w:rPr>
            </w:r>
            <w:r w:rsidR="00BD1AA4">
              <w:rPr>
                <w:rFonts w:cs="Arial"/>
                <w:sz w:val="16"/>
                <w:szCs w:val="16"/>
              </w:rPr>
              <w:fldChar w:fldCharType="separate"/>
            </w:r>
            <w:r w:rsidRPr="004D6C5C"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4"/>
              </w:rPr>
              <w:t xml:space="preserve">   </w:t>
            </w:r>
            <w:r w:rsidRPr="00A353D3">
              <w:rPr>
                <w:rFonts w:cs="Arial"/>
                <w:sz w:val="16"/>
                <w:szCs w:val="16"/>
              </w:rPr>
              <w:t>Sponsor Competition</w:t>
            </w:r>
            <w:r>
              <w:rPr>
                <w:rFonts w:cs="Arial"/>
                <w:sz w:val="16"/>
                <w:szCs w:val="16"/>
              </w:rPr>
              <w:tab/>
              <w:t>(Sponsor interviews, in-person or via telephone, and selects from interested students)</w:t>
            </w:r>
          </w:p>
        </w:tc>
      </w:tr>
    </w:tbl>
    <w:p w14:paraId="4D15C0AB" w14:textId="77777777" w:rsidR="0005609C" w:rsidRPr="002B45A4" w:rsidRDefault="0005609C" w:rsidP="002B45A4">
      <w:pPr>
        <w:tabs>
          <w:tab w:val="left" w:pos="7655"/>
        </w:tabs>
        <w:rPr>
          <w:i/>
        </w:rPr>
      </w:pPr>
    </w:p>
    <w:sectPr w:rsidR="0005609C" w:rsidRPr="002B45A4" w:rsidSect="00056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2CA9"/>
    <w:multiLevelType w:val="hybridMultilevel"/>
    <w:tmpl w:val="3B964C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1E87"/>
    <w:multiLevelType w:val="multilevel"/>
    <w:tmpl w:val="90E67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E3CAA"/>
    <w:multiLevelType w:val="hybridMultilevel"/>
    <w:tmpl w:val="2CE00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5A4"/>
    <w:rsid w:val="000264F9"/>
    <w:rsid w:val="0005609C"/>
    <w:rsid w:val="000B1669"/>
    <w:rsid w:val="00107C7A"/>
    <w:rsid w:val="001277C0"/>
    <w:rsid w:val="002B45A4"/>
    <w:rsid w:val="00350834"/>
    <w:rsid w:val="00367CEF"/>
    <w:rsid w:val="00391D54"/>
    <w:rsid w:val="003B2552"/>
    <w:rsid w:val="005528B9"/>
    <w:rsid w:val="00562201"/>
    <w:rsid w:val="00582BEC"/>
    <w:rsid w:val="005A01EC"/>
    <w:rsid w:val="006676D0"/>
    <w:rsid w:val="00693AA4"/>
    <w:rsid w:val="00696E98"/>
    <w:rsid w:val="006C4BFA"/>
    <w:rsid w:val="006E2F92"/>
    <w:rsid w:val="006F7A7F"/>
    <w:rsid w:val="00746903"/>
    <w:rsid w:val="007A0364"/>
    <w:rsid w:val="008561E4"/>
    <w:rsid w:val="00877CDA"/>
    <w:rsid w:val="008C0303"/>
    <w:rsid w:val="00B609F7"/>
    <w:rsid w:val="00BD1AA4"/>
    <w:rsid w:val="00C73438"/>
    <w:rsid w:val="00D942F3"/>
    <w:rsid w:val="00DE285A"/>
    <w:rsid w:val="00E61FE8"/>
    <w:rsid w:val="00E83A1D"/>
    <w:rsid w:val="00ED52F9"/>
    <w:rsid w:val="00EE6311"/>
    <w:rsid w:val="00F05F35"/>
    <w:rsid w:val="00F069B3"/>
    <w:rsid w:val="00F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0608"/>
  <w15:docId w15:val="{7B0D9A17-5458-46D2-ADE3-8F14ED5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45A4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A4"/>
    <w:rPr>
      <w:rFonts w:ascii="Tahoma" w:eastAsia="Times New Roman" w:hAnsi="Tahoma" w:cs="Tahoma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6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s.esri.ca/webinars/making-the-next-move-strategies-for-migrating-from-arcgis-web-appbuild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Malaspina University-College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caked</dc:creator>
  <cp:keywords/>
  <dc:description/>
  <cp:lastModifiedBy>Dave Cake</cp:lastModifiedBy>
  <cp:revision>24</cp:revision>
  <dcterms:created xsi:type="dcterms:W3CDTF">2010-10-14T18:19:00Z</dcterms:created>
  <dcterms:modified xsi:type="dcterms:W3CDTF">2023-11-01T15:58:00Z</dcterms:modified>
</cp:coreProperties>
</file>