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B04901162                                                                                                                      </w:t>
      </w:r>
      <w:r>
        <w:rPr/>
        <w:t>林皓謙</w:t>
      </w:r>
    </w:p>
    <w:tbl>
      <w:tblPr>
        <w:tblW w:w="10013"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Look w:val="0000" w:noVBand="0" w:noHBand="0" w:lastColumn="0" w:firstColumn="0" w:lastRow="0" w:firstRow="0"/>
      </w:tblPr>
      <w:tblGrid>
        <w:gridCol w:w="1343"/>
        <w:gridCol w:w="1439"/>
        <w:gridCol w:w="1446"/>
        <w:gridCol w:w="1440"/>
        <w:gridCol w:w="1446"/>
        <w:gridCol w:w="1439"/>
        <w:gridCol w:w="1459"/>
      </w:tblGrid>
      <w:tr>
        <w:trPr>
          <w:trHeight w:val="369" w:hRule="atLeast"/>
        </w:trPr>
        <w:tc>
          <w:tcPr>
            <w:tcW w:w="134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eastAsia="Times New Roman" w:cs="Times New Roman"/>
                <w:sz w:val="20"/>
                <w:szCs w:val="24"/>
              </w:rPr>
            </w:pPr>
            <w:r>
              <w:rPr>
                <w:rFonts w:eastAsia="Times New Roman" w:cs="Times New Roman" w:ascii="Times New Roman" w:hAnsi="Times New Roman"/>
                <w:color w:val="000000"/>
                <w:sz w:val="20"/>
                <w:szCs w:val="16"/>
              </w:rPr>
              <w:t>I</w:t>
            </w:r>
            <w:r>
              <w:rPr>
                <w:rFonts w:eastAsia="Times New Roman" w:cs="Times New Roman" w:ascii="Times New Roman" w:hAnsi="Times New Roman"/>
                <w:color w:val="000000"/>
                <w:sz w:val="20"/>
                <w:szCs w:val="24"/>
              </w:rPr>
              <w:t>nput size</w:t>
            </w:r>
          </w:p>
        </w:tc>
        <w:tc>
          <w:tcPr>
            <w:tcW w:w="2885" w:type="dxa"/>
            <w:gridSpan w:val="2"/>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IS</w:t>
            </w:r>
          </w:p>
        </w:tc>
        <w:tc>
          <w:tcPr>
            <w:tcW w:w="2886" w:type="dxa"/>
            <w:gridSpan w:val="2"/>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MS</w:t>
            </w:r>
          </w:p>
        </w:tc>
        <w:tc>
          <w:tcPr>
            <w:tcW w:w="289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HS</w:t>
            </w:r>
          </w:p>
        </w:tc>
      </w:tr>
      <w:tr>
        <w:trPr>
          <w:trHeight w:val="753" w:hRule="atLeast"/>
        </w:trPr>
        <w:tc>
          <w:tcPr>
            <w:tcW w:w="134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eastAsia="Times New Roman"/>
                <w:color w:val="000000"/>
                <w:sz w:val="20"/>
                <w:szCs w:val="24"/>
              </w:rPr>
            </w:pPr>
            <w:r>
              <w:rPr>
                <w:rFonts w:eastAsia="Times New Roman" w:ascii="Times New Roman" w:hAnsi="Times New Roman"/>
                <w:color w:val="000000"/>
                <w:sz w:val="20"/>
                <w:szCs w:val="24"/>
              </w:rPr>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 xml:space="preserve">CPU time </w:t>
            </w:r>
          </w:p>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(s)</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Memory</w:t>
            </w:r>
          </w:p>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(KB)</w:t>
            </w:r>
          </w:p>
        </w:tc>
        <w:tc>
          <w:tcPr>
            <w:tcW w:w="144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 xml:space="preserve">CPU time </w:t>
            </w:r>
          </w:p>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(s)</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Memory</w:t>
            </w:r>
          </w:p>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(KB)</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 xml:space="preserve">CPU time </w:t>
            </w:r>
          </w:p>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(s)</w:t>
            </w:r>
          </w:p>
        </w:tc>
        <w:tc>
          <w:tcPr>
            <w:tcW w:w="1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Memory</w:t>
            </w:r>
          </w:p>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(KB)</w:t>
            </w:r>
          </w:p>
        </w:tc>
      </w:tr>
      <w:tr>
        <w:trPr>
          <w:trHeight w:val="382" w:hRule="atLeast"/>
        </w:trPr>
        <w:tc>
          <w:tcPr>
            <w:tcW w:w="134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4000.bc</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0.000077</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13284</w:t>
            </w:r>
          </w:p>
        </w:tc>
        <w:tc>
          <w:tcPr>
            <w:tcW w:w="144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0.000153</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13284</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tabs>
                <w:tab w:val="left" w:pos="702" w:leader="none"/>
              </w:tabs>
              <w:suppressAutoHyphens w:val="true"/>
              <w:jc w:val="both"/>
              <w:rPr>
                <w:rFonts w:ascii="Times New Roman" w:hAnsi="Times New Roman" w:eastAsia="Times New Roman"/>
                <w:color w:val="000000"/>
                <w:sz w:val="20"/>
                <w:szCs w:val="24"/>
              </w:rPr>
            </w:pPr>
            <w:r>
              <w:rPr>
                <w:rFonts w:eastAsia="Times New Roman" w:ascii="Times New Roman" w:hAnsi="Times New Roman"/>
                <w:color w:val="000000"/>
                <w:sz w:val="20"/>
                <w:szCs w:val="24"/>
              </w:rPr>
              <w:t>0.000205</w:t>
            </w:r>
          </w:p>
        </w:tc>
        <w:tc>
          <w:tcPr>
            <w:tcW w:w="1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13284</w:t>
            </w:r>
          </w:p>
        </w:tc>
      </w:tr>
      <w:tr>
        <w:trPr>
          <w:trHeight w:val="369" w:hRule="atLeast"/>
        </w:trPr>
        <w:tc>
          <w:tcPr>
            <w:tcW w:w="134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4000.wc</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0.005357</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13284</w:t>
            </w:r>
          </w:p>
        </w:tc>
        <w:tc>
          <w:tcPr>
            <w:tcW w:w="144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0.000207</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13284</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0.000225</w:t>
            </w:r>
          </w:p>
        </w:tc>
        <w:tc>
          <w:tcPr>
            <w:tcW w:w="1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13284</w:t>
            </w:r>
          </w:p>
        </w:tc>
      </w:tr>
      <w:tr>
        <w:trPr>
          <w:trHeight w:val="369" w:hRule="atLeast"/>
        </w:trPr>
        <w:tc>
          <w:tcPr>
            <w:tcW w:w="134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4000.ac</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0.001941</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13284</w:t>
            </w:r>
          </w:p>
        </w:tc>
        <w:tc>
          <w:tcPr>
            <w:tcW w:w="144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0.000372</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13284</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eastAsia="Times New Roman"/>
                <w:color w:val="000000"/>
                <w:sz w:val="20"/>
                <w:szCs w:val="24"/>
              </w:rPr>
            </w:pPr>
            <w:r>
              <w:rPr>
                <w:rFonts w:eastAsia="Times New Roman" w:ascii="Times New Roman" w:hAnsi="Times New Roman"/>
                <w:color w:val="000000"/>
                <w:sz w:val="20"/>
                <w:szCs w:val="24"/>
              </w:rPr>
              <w:t>0.00034</w:t>
            </w:r>
          </w:p>
        </w:tc>
        <w:tc>
          <w:tcPr>
            <w:tcW w:w="1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uppressAutoHyphens w:val="true"/>
              <w:jc w:val="both"/>
              <w:rPr>
                <w:rFonts w:ascii="Times New Roman" w:hAnsi="Times New Roman" w:eastAsia="Times New Roman"/>
                <w:color w:val="000000"/>
                <w:sz w:val="20"/>
                <w:szCs w:val="24"/>
              </w:rPr>
            </w:pPr>
            <w:r>
              <w:rPr>
                <w:rFonts w:ascii="Times New Roman" w:hAnsi="Times New Roman"/>
                <w:color w:val="000000"/>
                <w:sz w:val="20"/>
                <w:szCs w:val="24"/>
              </w:rPr>
              <w:t>13284</w:t>
            </w:r>
          </w:p>
        </w:tc>
      </w:tr>
      <w:tr>
        <w:trPr>
          <w:trHeight w:val="382" w:hRule="atLeast"/>
        </w:trPr>
        <w:tc>
          <w:tcPr>
            <w:tcW w:w="134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eastAsia="Times New Roman"/>
                <w:sz w:val="20"/>
                <w:szCs w:val="24"/>
              </w:rPr>
            </w:pPr>
            <w:bookmarkStart w:id="0" w:name="_GoBack"/>
            <w:bookmarkEnd w:id="0"/>
            <w:r>
              <w:rPr>
                <w:rFonts w:eastAsia="Times New Roman" w:ascii="Times New Roman" w:hAnsi="Times New Roman"/>
                <w:color w:val="000000"/>
                <w:sz w:val="20"/>
                <w:szCs w:val="24"/>
              </w:rPr>
              <w:t>16000.bc</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0.000088</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13432</w:t>
            </w:r>
          </w:p>
        </w:tc>
        <w:tc>
          <w:tcPr>
            <w:tcW w:w="144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0.000488</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13432</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0.000864</w:t>
            </w:r>
          </w:p>
        </w:tc>
        <w:tc>
          <w:tcPr>
            <w:tcW w:w="1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13432</w:t>
            </w:r>
          </w:p>
        </w:tc>
      </w:tr>
      <w:tr>
        <w:trPr>
          <w:trHeight w:val="369" w:hRule="atLeast"/>
        </w:trPr>
        <w:tc>
          <w:tcPr>
            <w:tcW w:w="134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16000.wc</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0.083658</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13432</w:t>
            </w:r>
          </w:p>
        </w:tc>
        <w:tc>
          <w:tcPr>
            <w:tcW w:w="144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0.000904</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13432</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0.000884</w:t>
            </w:r>
          </w:p>
        </w:tc>
        <w:tc>
          <w:tcPr>
            <w:tcW w:w="1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13432</w:t>
            </w:r>
          </w:p>
        </w:tc>
      </w:tr>
      <w:tr>
        <w:trPr>
          <w:trHeight w:val="369" w:hRule="atLeast"/>
        </w:trPr>
        <w:tc>
          <w:tcPr>
            <w:tcW w:w="134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16000.ac</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0.043941</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13432</w:t>
            </w:r>
          </w:p>
        </w:tc>
        <w:tc>
          <w:tcPr>
            <w:tcW w:w="144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0.002145</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13432</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0.002377</w:t>
            </w:r>
          </w:p>
        </w:tc>
        <w:tc>
          <w:tcPr>
            <w:tcW w:w="1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13432</w:t>
            </w:r>
          </w:p>
        </w:tc>
      </w:tr>
      <w:tr>
        <w:trPr>
          <w:trHeight w:val="382" w:hRule="atLeast"/>
        </w:trPr>
        <w:tc>
          <w:tcPr>
            <w:tcW w:w="134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32000.bc</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0.000226</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13432</w:t>
            </w:r>
          </w:p>
        </w:tc>
        <w:tc>
          <w:tcPr>
            <w:tcW w:w="144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tabs>
                <w:tab w:val="left" w:pos="870" w:leader="none"/>
              </w:tabs>
              <w:suppressAutoHyphens w:val="true"/>
              <w:jc w:val="both"/>
              <w:rPr>
                <w:rFonts w:ascii="Times New Roman" w:hAnsi="Times New Roman" w:eastAsia="Times New Roman"/>
                <w:color w:val="000000"/>
                <w:sz w:val="20"/>
                <w:szCs w:val="24"/>
              </w:rPr>
            </w:pPr>
            <w:r>
              <w:rPr>
                <w:rFonts w:eastAsia="Times New Roman" w:ascii="Times New Roman" w:hAnsi="Times New Roman"/>
                <w:color w:val="000000"/>
                <w:sz w:val="20"/>
                <w:szCs w:val="24"/>
              </w:rPr>
              <w:t>0.000952</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13436</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0.001911</w:t>
            </w:r>
          </w:p>
        </w:tc>
        <w:tc>
          <w:tcPr>
            <w:tcW w:w="1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13432</w:t>
            </w:r>
          </w:p>
        </w:tc>
      </w:tr>
      <w:tr>
        <w:trPr>
          <w:trHeight w:val="369" w:hRule="atLeast"/>
        </w:trPr>
        <w:tc>
          <w:tcPr>
            <w:tcW w:w="134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32000.wc</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0.304047</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13432</w:t>
            </w:r>
          </w:p>
        </w:tc>
        <w:tc>
          <w:tcPr>
            <w:tcW w:w="144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tabs>
                <w:tab w:val="left" w:pos="606" w:leader="none"/>
              </w:tabs>
              <w:suppressAutoHyphens w:val="true"/>
              <w:jc w:val="both"/>
              <w:rPr>
                <w:rFonts w:ascii="Times New Roman" w:hAnsi="Times New Roman" w:eastAsia="Times New Roman"/>
                <w:color w:val="000000"/>
                <w:sz w:val="20"/>
                <w:szCs w:val="24"/>
              </w:rPr>
            </w:pPr>
            <w:r>
              <w:rPr>
                <w:rFonts w:eastAsia="Times New Roman" w:ascii="Times New Roman" w:hAnsi="Times New Roman"/>
                <w:color w:val="000000"/>
                <w:sz w:val="20"/>
                <w:szCs w:val="24"/>
              </w:rPr>
              <w:t>0.00117</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13436</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0.001907</w:t>
            </w:r>
          </w:p>
        </w:tc>
        <w:tc>
          <w:tcPr>
            <w:tcW w:w="1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13432</w:t>
            </w:r>
          </w:p>
        </w:tc>
      </w:tr>
      <w:tr>
        <w:trPr>
          <w:trHeight w:val="369" w:hRule="atLeast"/>
        </w:trPr>
        <w:tc>
          <w:tcPr>
            <w:tcW w:w="134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32000.ac</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0.171376</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13432</w:t>
            </w:r>
          </w:p>
        </w:tc>
        <w:tc>
          <w:tcPr>
            <w:tcW w:w="144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0.002844</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13446</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0.002131</w:t>
            </w:r>
          </w:p>
        </w:tc>
        <w:tc>
          <w:tcPr>
            <w:tcW w:w="1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13432</w:t>
            </w:r>
          </w:p>
        </w:tc>
      </w:tr>
      <w:tr>
        <w:trPr>
          <w:trHeight w:val="382" w:hRule="atLeast"/>
        </w:trPr>
        <w:tc>
          <w:tcPr>
            <w:tcW w:w="134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1000000.bc</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0.001387</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19456</w:t>
            </w:r>
          </w:p>
        </w:tc>
        <w:tc>
          <w:tcPr>
            <w:tcW w:w="144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0.035143</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21192</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0.082954</w:t>
            </w:r>
          </w:p>
        </w:tc>
        <w:tc>
          <w:tcPr>
            <w:tcW w:w="1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uppressAutoHyphens w:val="true"/>
              <w:rPr>
                <w:rFonts w:ascii="Times New Roman" w:hAnsi="Times New Roman"/>
                <w:color w:val="000000"/>
                <w:sz w:val="20"/>
                <w:szCs w:val="24"/>
              </w:rPr>
            </w:pPr>
            <w:r>
              <w:rPr>
                <w:rFonts w:ascii="Times New Roman" w:hAnsi="Times New Roman"/>
                <w:color w:val="000000"/>
                <w:sz w:val="20"/>
                <w:szCs w:val="24"/>
              </w:rPr>
              <w:t>19456</w:t>
            </w:r>
          </w:p>
        </w:tc>
      </w:tr>
      <w:tr>
        <w:trPr>
          <w:trHeight w:val="369" w:hRule="atLeast"/>
        </w:trPr>
        <w:tc>
          <w:tcPr>
            <w:tcW w:w="134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1000000.wc</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260.180</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19456</w:t>
            </w:r>
          </w:p>
        </w:tc>
        <w:tc>
          <w:tcPr>
            <w:tcW w:w="144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0.039822</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21192</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0.079941</w:t>
            </w:r>
          </w:p>
        </w:tc>
        <w:tc>
          <w:tcPr>
            <w:tcW w:w="1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19456</w:t>
            </w:r>
          </w:p>
        </w:tc>
      </w:tr>
      <w:tr>
        <w:trPr>
          <w:trHeight w:val="369" w:hRule="atLeast"/>
        </w:trPr>
        <w:tc>
          <w:tcPr>
            <w:tcW w:w="134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eastAsia="Times New Roman"/>
                <w:sz w:val="20"/>
                <w:szCs w:val="24"/>
              </w:rPr>
            </w:pPr>
            <w:r>
              <w:rPr>
                <w:rFonts w:eastAsia="Times New Roman" w:ascii="Times New Roman" w:hAnsi="Times New Roman"/>
                <w:color w:val="000000"/>
                <w:sz w:val="20"/>
                <w:szCs w:val="24"/>
              </w:rPr>
              <w:t>1000000.ac</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153.642</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19456</w:t>
            </w:r>
          </w:p>
        </w:tc>
        <w:tc>
          <w:tcPr>
            <w:tcW w:w="144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0.105422</w:t>
            </w:r>
          </w:p>
        </w:tc>
        <w:tc>
          <w:tcPr>
            <w:tcW w:w="144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21192</w:t>
            </w:r>
          </w:p>
        </w:tc>
        <w:tc>
          <w:tcPr>
            <w:tcW w:w="143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uppressAutoHyphens w:val="true"/>
              <w:jc w:val="both"/>
              <w:rPr>
                <w:rFonts w:ascii="Times New Roman" w:hAnsi="Times New Roman"/>
                <w:color w:val="000000"/>
                <w:sz w:val="20"/>
                <w:szCs w:val="24"/>
              </w:rPr>
            </w:pPr>
            <w:r>
              <w:rPr>
                <w:rFonts w:ascii="Times New Roman" w:hAnsi="Times New Roman"/>
                <w:color w:val="000000"/>
                <w:sz w:val="20"/>
                <w:szCs w:val="24"/>
              </w:rPr>
              <w:t>0.143788</w:t>
            </w:r>
          </w:p>
        </w:tc>
        <w:tc>
          <w:tcPr>
            <w:tcW w:w="1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uppressAutoHyphens w:val="true"/>
              <w:jc w:val="both"/>
              <w:rPr>
                <w:sz w:val="20"/>
              </w:rPr>
            </w:pPr>
            <w:r>
              <w:rPr>
                <w:rFonts w:ascii="Times New Roman" w:hAnsi="Times New Roman"/>
                <w:color w:val="000000"/>
                <w:sz w:val="20"/>
                <w:szCs w:val="24"/>
              </w:rPr>
              <w:t>19456</w:t>
            </w:r>
          </w:p>
        </w:tc>
      </w:tr>
    </w:tbl>
    <w:p>
      <w:pPr>
        <w:pStyle w:val="Normal"/>
        <w:rPr/>
      </w:pPr>
      <w:r>
        <w:rPr/>
      </w:r>
    </w:p>
    <w:p>
      <w:pPr>
        <w:pStyle w:val="Normal"/>
        <w:rPr/>
      </w:pPr>
      <w:r>
        <w:rPr/>
        <w:t>In terms of speed, both Heap Sort and Merge Sort seem to require similar CPU time to sort input files of various sizes. This is due to the fact that their worst and average case sorting times are all to the nlgn relation. From what was observed, both of them were able to sort efficiently even for inputs of very big sizes. On the other hand, Insertion sort also performed quite well(still worse compared to MS and HS) when there were less input, however the CPU time increased drastically with the input size. This is as a result of the n^2 sorting rate of Insertion sort. Both the average case and worst case sorts less efficiently than MS and HS. Yet, it is interesting to note that IS performs more efficiently than MS and HS in all best-case input scenarios. IS is good for a list that is almost sorted since it doesn’t have to go through the “while loop” which compares if the value in previous indexes are higher than the key. This limits IS to an “n” rate in time complexity.</w:t>
      </w:r>
    </w:p>
    <w:p>
      <w:pPr>
        <w:pStyle w:val="Normal"/>
        <w:rPr/>
      </w:pPr>
      <w:r>
        <w:rPr/>
      </w:r>
    </w:p>
    <w:p>
      <w:pPr>
        <w:pStyle w:val="Normal"/>
        <w:rPr/>
      </w:pPr>
      <w:r>
        <w:rPr/>
      </w:r>
    </w:p>
    <w:p>
      <w:pPr>
        <w:pStyle w:val="Normal"/>
        <w:rPr/>
      </w:pPr>
      <w:r>
        <w:rPr/>
      </w:r>
    </w:p>
    <w:p>
      <w:pPr>
        <w:pStyle w:val="Normal"/>
        <w:rPr/>
      </w:pPr>
      <w:r>
        <w:rPr/>
        <w:t>In terms of memory, IS and HS performed identically; moreover, they outperformed MS. This is mainly due to the fact that IS and HS are both in place, thus requiring only the original set of arrays for data storage; which also explains why IS and HS require identical amounts of memory.</w:t>
      </w:r>
    </w:p>
    <w:p>
      <w:pPr>
        <w:pStyle w:val="Normal"/>
        <w:rPr/>
      </w:pPr>
      <w:r>
        <w:rPr/>
      </w:r>
    </w:p>
    <w:p>
      <w:pPr>
        <w:pStyle w:val="Normal"/>
        <w:rPr/>
      </w:pPr>
      <w:r>
        <w:rPr/>
        <w:drawing>
          <wp:inline distT="0" distB="0" distL="0" distR="0">
            <wp:extent cx="5269230" cy="38735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40"/>
          <w:szCs w:val="40"/>
        </w:rPr>
      </w:pPr>
      <w:r>
        <w:rPr>
          <w:b/>
          <w:bCs/>
          <w:sz w:val="40"/>
          <w:szCs w:val="40"/>
        </w:rPr>
        <w:t>bc</w:t>
      </w:r>
    </w:p>
    <w:p>
      <w:pPr>
        <w:pStyle w:val="Normal"/>
        <w:rPr/>
      </w:pPr>
      <w:r>
        <w:rPr/>
        <w:drawing>
          <wp:inline distT="0" distB="0" distL="0" distR="0">
            <wp:extent cx="5258435" cy="366014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pPr>
      <w:r>
        <w:rPr/>
      </w:r>
    </w:p>
    <w:p>
      <w:pPr>
        <w:pStyle w:val="Normal"/>
        <w:rPr/>
      </w:pPr>
      <w:r>
        <w:rPr/>
      </w:r>
    </w:p>
    <w:p>
      <w:pPr>
        <w:pStyle w:val="Normal"/>
        <w:rPr/>
      </w:pPr>
      <w:r>
        <w:rPr/>
        <w:drawing>
          <wp:inline distT="0" distB="0" distL="0" distR="0">
            <wp:extent cx="5215255" cy="379476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type w:val="nextPage"/>
      <w:pgSz w:w="11906" w:h="16838"/>
      <w:pgMar w:left="1800" w:right="1800" w:header="0" w:top="1440" w:footer="0" w:bottom="1440" w:gutter="0"/>
      <w:pgNumType w:fmt="decimal"/>
      <w:formProt w:val="false"/>
      <w:textDirection w:val="lrTb"/>
      <w:docGrid w:type="lines"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8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4"/>
        <w:szCs w:val="22"/>
        <w:lang w:val="en-US" w:eastAsia="zh-TW"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left"/>
    </w:pPr>
    <w:rPr>
      <w:rFonts w:ascii="Calibri" w:hAnsi="Calibri" w:eastAsia="新細明體" w:cs="" w:asciiTheme="minorHAnsi" w:cstheme="minorBidi" w:eastAsiaTheme="minorEastAsia" w:hAnsiTheme="minorHAnsi"/>
      <w:color w:val="auto"/>
      <w:sz w:val="24"/>
      <w:szCs w:val="22"/>
      <w:lang w:val="en-US" w:eastAsia="zh-TW"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595959"/>
                </a:solidFill>
                <a:uFill>
                  <a:solidFill>
                    <a:srgbClr val="ffffff"/>
                  </a:solidFill>
                </a:uFill>
                <a:latin typeface="Calibri"/>
              </a:defRPr>
            </a:pPr>
            <a:r>
              <a:rPr b="1" sz="1800" spc="-1" strike="noStrike">
                <a:solidFill>
                  <a:srgbClr val="595959"/>
                </a:solidFill>
                <a:uFill>
                  <a:solidFill>
                    <a:srgbClr val="ffffff"/>
                  </a:solidFill>
                </a:uFill>
                <a:latin typeface="Calibri"/>
              </a:rPr>
              <a:t>ac</a:t>
            </a:r>
          </a:p>
        </c:rich>
      </c:tx>
      <c:overlay val="0"/>
    </c:title>
    <c:autoTitleDeleted val="0"/>
    <c:plotArea>
      <c:scatterChart>
        <c:scatterStyle val="line"/>
        <c:varyColors val="0"/>
        <c:ser>
          <c:idx val="0"/>
          <c:order val="0"/>
          <c:tx>
            <c:strRef>
              <c:f>label 0</c:f>
              <c:strCache>
                <c:ptCount val="1"/>
                <c:pt idx="0">
                  <c:v>IS</c:v>
                </c:pt>
              </c:strCache>
            </c:strRef>
          </c:tx>
          <c:spPr>
            <a:solidFill>
              <a:srgbClr val="4472c4"/>
            </a:solidFill>
            <a:ln w="19080">
              <a:solidFill>
                <a:srgbClr val="4472c4"/>
              </a:solidFill>
              <a:round/>
            </a:ln>
          </c:spPr>
          <c:marker>
            <c:symbol val="none"/>
          </c:marker>
          <c:dLbls>
            <c:dLblPos val="r"/>
            <c:showLegendKey val="0"/>
            <c:showVal val="0"/>
            <c:showCatName val="0"/>
            <c:showSerName val="0"/>
            <c:showPercent val="0"/>
            <c:showLeaderLines val="0"/>
          </c:dLbls>
          <c:xVal>
            <c:numRef>
              <c:f>1</c:f>
              <c:numCache>
                <c:formatCode>General</c:formatCode>
                <c:ptCount val="4"/>
                <c:pt idx="0">
                  <c:v>4000</c:v>
                </c:pt>
                <c:pt idx="1">
                  <c:v>16000</c:v>
                </c:pt>
                <c:pt idx="2">
                  <c:v>32000</c:v>
                </c:pt>
                <c:pt idx="3">
                  <c:v>1000000</c:v>
                </c:pt>
              </c:numCache>
            </c:numRef>
          </c:xVal>
          <c:yVal>
            <c:numRef>
              <c:f>0</c:f>
              <c:numCache>
                <c:formatCode>General</c:formatCode>
                <c:ptCount val="4"/>
                <c:pt idx="0">
                  <c:v>0.005357</c:v>
                </c:pt>
                <c:pt idx="1">
                  <c:v>0.043941</c:v>
                </c:pt>
                <c:pt idx="2">
                  <c:v>0.171376</c:v>
                </c:pt>
                <c:pt idx="3">
                  <c:v>153.642</c:v>
                </c:pt>
              </c:numCache>
            </c:numRef>
          </c:yVal>
          <c:smooth val="1"/>
        </c:ser>
        <c:ser>
          <c:idx val="1"/>
          <c:order val="1"/>
          <c:tx>
            <c:strRef>
              <c:f>label 2</c:f>
              <c:strCache>
                <c:ptCount val="1"/>
                <c:pt idx="0">
                  <c:v>HS</c:v>
                </c:pt>
              </c:strCache>
            </c:strRef>
          </c:tx>
          <c:spPr>
            <a:solidFill>
              <a:srgbClr val="ed7d31"/>
            </a:solidFill>
            <a:ln w="19080">
              <a:solidFill>
                <a:srgbClr val="ed7d31"/>
              </a:solidFill>
              <a:round/>
            </a:ln>
          </c:spPr>
          <c:marker>
            <c:symbol val="none"/>
          </c:marker>
          <c:dLbls>
            <c:dLblPos val="r"/>
            <c:showLegendKey val="0"/>
            <c:showVal val="0"/>
            <c:showCatName val="0"/>
            <c:showSerName val="0"/>
            <c:showPercent val="0"/>
            <c:showLeaderLines val="0"/>
          </c:dLbls>
          <c:xVal>
            <c:numRef>
              <c:f>3</c:f>
              <c:numCache>
                <c:formatCode>General</c:formatCode>
                <c:ptCount val="4"/>
                <c:pt idx="0">
                  <c:v>4000</c:v>
                </c:pt>
                <c:pt idx="1">
                  <c:v>16000</c:v>
                </c:pt>
                <c:pt idx="2">
                  <c:v>32000</c:v>
                </c:pt>
                <c:pt idx="3">
                  <c:v>1000000</c:v>
                </c:pt>
              </c:numCache>
            </c:numRef>
          </c:xVal>
          <c:yVal>
            <c:numRef>
              <c:f>2</c:f>
              <c:numCache>
                <c:formatCode>General</c:formatCode>
                <c:ptCount val="4"/>
                <c:pt idx="0">
                  <c:v>0.00034</c:v>
                </c:pt>
                <c:pt idx="1">
                  <c:v>0.002377</c:v>
                </c:pt>
                <c:pt idx="2">
                  <c:v>0.002131</c:v>
                </c:pt>
                <c:pt idx="3">
                  <c:v>0.143788</c:v>
                </c:pt>
              </c:numCache>
            </c:numRef>
          </c:yVal>
          <c:smooth val="1"/>
        </c:ser>
        <c:ser>
          <c:idx val="2"/>
          <c:order val="2"/>
          <c:tx>
            <c:strRef>
              <c:f>label 4</c:f>
              <c:strCache>
                <c:ptCount val="1"/>
                <c:pt idx="0">
                  <c:v>MS</c:v>
                </c:pt>
              </c:strCache>
            </c:strRef>
          </c:tx>
          <c:spPr>
            <a:solidFill>
              <a:srgbClr val="a5a5a5"/>
            </a:solidFill>
            <a:ln w="19080">
              <a:solidFill>
                <a:srgbClr val="a5a5a5"/>
              </a:solidFill>
              <a:round/>
            </a:ln>
          </c:spPr>
          <c:marker>
            <c:symbol val="none"/>
          </c:marker>
          <c:dLbls>
            <c:dLblPos val="r"/>
            <c:showLegendKey val="0"/>
            <c:showVal val="0"/>
            <c:showCatName val="0"/>
            <c:showSerName val="0"/>
            <c:showPercent val="0"/>
            <c:showLeaderLines val="0"/>
          </c:dLbls>
          <c:xVal>
            <c:numRef>
              <c:f>5</c:f>
              <c:numCache>
                <c:formatCode>General</c:formatCode>
                <c:ptCount val="4"/>
                <c:pt idx="0">
                  <c:v>4000</c:v>
                </c:pt>
                <c:pt idx="1">
                  <c:v>16000</c:v>
                </c:pt>
                <c:pt idx="2">
                  <c:v>32000</c:v>
                </c:pt>
                <c:pt idx="3">
                  <c:v>1000000</c:v>
                </c:pt>
              </c:numCache>
            </c:numRef>
          </c:xVal>
          <c:yVal>
            <c:numRef>
              <c:f>4</c:f>
              <c:numCache>
                <c:formatCode>General</c:formatCode>
                <c:ptCount val="4"/>
                <c:pt idx="0">
                  <c:v>0.000372</c:v>
                </c:pt>
                <c:pt idx="1">
                  <c:v>0.002145</c:v>
                </c:pt>
                <c:pt idx="2">
                  <c:v>0.002844</c:v>
                </c:pt>
                <c:pt idx="3">
                  <c:v>0.105422</c:v>
                </c:pt>
              </c:numCache>
            </c:numRef>
          </c:yVal>
          <c:smooth val="1"/>
        </c:ser>
        <c:axId val="69919822"/>
        <c:axId val="77772268"/>
      </c:scatterChart>
      <c:valAx>
        <c:axId val="69919822"/>
        <c:scaling>
          <c:orientation val="minMax"/>
        </c:scaling>
        <c:delete val="0"/>
        <c:axPos val="b"/>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Input Size</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77772268"/>
        <c:crosses val="autoZero"/>
        <c:crossBetween val="midCat"/>
      </c:valAx>
      <c:valAx>
        <c:axId val="77772268"/>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CPU Time(s)</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69919822"/>
        <c:crosses val="autoZero"/>
        <c:crossBetween val="midCat"/>
      </c:valAx>
      <c:spPr>
        <a:noFill/>
        <a:ln>
          <a:noFill/>
        </a:ln>
      </c:spPr>
    </c:plotArea>
    <c:legend>
      <c:legendPos val="r"/>
      <c:overlay val="0"/>
      <c:spPr>
        <a:noFill/>
        <a:ln>
          <a:noFill/>
        </a:ln>
      </c:sp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
        <c:varyColors val="0"/>
        <c:ser>
          <c:idx val="0"/>
          <c:order val="0"/>
          <c:tx>
            <c:strRef>
              <c:f>label 0</c:f>
              <c:strCache>
                <c:ptCount val="1"/>
                <c:pt idx="0">
                  <c:v>IS</c:v>
                </c:pt>
              </c:strCache>
            </c:strRef>
          </c:tx>
          <c:spPr>
            <a:solidFill>
              <a:srgbClr val="4472c4"/>
            </a:solidFill>
            <a:ln w="19080">
              <a:solidFill>
                <a:srgbClr val="4472c4"/>
              </a:solidFill>
              <a:round/>
            </a:ln>
          </c:spPr>
          <c:marker>
            <c:symbol val="none"/>
          </c:marker>
          <c:dLbls>
            <c:dLblPos val="r"/>
            <c:showLegendKey val="0"/>
            <c:showVal val="0"/>
            <c:showCatName val="0"/>
            <c:showSerName val="0"/>
            <c:showPercent val="0"/>
            <c:showLeaderLines val="0"/>
          </c:dLbls>
          <c:xVal>
            <c:numRef>
              <c:f>1</c:f>
              <c:numCache>
                <c:formatCode>General</c:formatCode>
                <c:ptCount val="4"/>
                <c:pt idx="0">
                  <c:v>4000</c:v>
                </c:pt>
                <c:pt idx="1">
                  <c:v>16000</c:v>
                </c:pt>
                <c:pt idx="2">
                  <c:v>32000</c:v>
                </c:pt>
                <c:pt idx="3">
                  <c:v>1000000</c:v>
                </c:pt>
              </c:numCache>
            </c:numRef>
          </c:xVal>
          <c:yVal>
            <c:numRef>
              <c:f>0</c:f>
              <c:numCache>
                <c:formatCode>General</c:formatCode>
                <c:ptCount val="4"/>
                <c:pt idx="0">
                  <c:v>7.7E-005</c:v>
                </c:pt>
                <c:pt idx="1">
                  <c:v>8.8E-005</c:v>
                </c:pt>
                <c:pt idx="2">
                  <c:v>0.000226</c:v>
                </c:pt>
                <c:pt idx="3">
                  <c:v>0.001387</c:v>
                </c:pt>
              </c:numCache>
            </c:numRef>
          </c:yVal>
          <c:smooth val="1"/>
        </c:ser>
        <c:ser>
          <c:idx val="1"/>
          <c:order val="1"/>
          <c:tx>
            <c:strRef>
              <c:f>label 2</c:f>
              <c:strCache>
                <c:ptCount val="1"/>
                <c:pt idx="0">
                  <c:v>HS</c:v>
                </c:pt>
              </c:strCache>
            </c:strRef>
          </c:tx>
          <c:spPr>
            <a:solidFill>
              <a:srgbClr val="ed7d31"/>
            </a:solidFill>
            <a:ln w="19080">
              <a:solidFill>
                <a:srgbClr val="ed7d31"/>
              </a:solidFill>
              <a:round/>
            </a:ln>
          </c:spPr>
          <c:marker>
            <c:symbol val="none"/>
          </c:marker>
          <c:dLbls>
            <c:dLblPos val="r"/>
            <c:showLegendKey val="0"/>
            <c:showVal val="0"/>
            <c:showCatName val="0"/>
            <c:showSerName val="0"/>
            <c:showPercent val="0"/>
            <c:showLeaderLines val="0"/>
          </c:dLbls>
          <c:xVal>
            <c:numRef>
              <c:f>3</c:f>
              <c:numCache>
                <c:formatCode>General</c:formatCode>
                <c:ptCount val="4"/>
                <c:pt idx="0">
                  <c:v>4000</c:v>
                </c:pt>
                <c:pt idx="1">
                  <c:v>16000</c:v>
                </c:pt>
                <c:pt idx="2">
                  <c:v>32000</c:v>
                </c:pt>
                <c:pt idx="3">
                  <c:v>1000000</c:v>
                </c:pt>
              </c:numCache>
            </c:numRef>
          </c:xVal>
          <c:yVal>
            <c:numRef>
              <c:f>2</c:f>
              <c:numCache>
                <c:formatCode>General</c:formatCode>
                <c:ptCount val="4"/>
                <c:pt idx="0">
                  <c:v>0.000205</c:v>
                </c:pt>
                <c:pt idx="1">
                  <c:v>0.000864</c:v>
                </c:pt>
                <c:pt idx="2">
                  <c:v>0.001911</c:v>
                </c:pt>
                <c:pt idx="3">
                  <c:v>0.082954</c:v>
                </c:pt>
              </c:numCache>
            </c:numRef>
          </c:yVal>
          <c:smooth val="1"/>
        </c:ser>
        <c:ser>
          <c:idx val="2"/>
          <c:order val="2"/>
          <c:tx>
            <c:strRef>
              <c:f>label 4</c:f>
              <c:strCache>
                <c:ptCount val="1"/>
                <c:pt idx="0">
                  <c:v>MS</c:v>
                </c:pt>
              </c:strCache>
            </c:strRef>
          </c:tx>
          <c:spPr>
            <a:solidFill>
              <a:srgbClr val="a5a5a5"/>
            </a:solidFill>
            <a:ln w="19080">
              <a:solidFill>
                <a:srgbClr val="a5a5a5"/>
              </a:solidFill>
              <a:round/>
            </a:ln>
          </c:spPr>
          <c:marker>
            <c:symbol val="none"/>
          </c:marker>
          <c:dLbls>
            <c:dLblPos val="r"/>
            <c:showLegendKey val="0"/>
            <c:showVal val="0"/>
            <c:showCatName val="0"/>
            <c:showSerName val="0"/>
            <c:showPercent val="0"/>
            <c:showLeaderLines val="0"/>
          </c:dLbls>
          <c:xVal>
            <c:numRef>
              <c:f>5</c:f>
              <c:numCache>
                <c:formatCode>General</c:formatCode>
                <c:ptCount val="4"/>
                <c:pt idx="0">
                  <c:v>4000</c:v>
                </c:pt>
                <c:pt idx="1">
                  <c:v>16000</c:v>
                </c:pt>
                <c:pt idx="2">
                  <c:v>32000</c:v>
                </c:pt>
                <c:pt idx="3">
                  <c:v>1000000</c:v>
                </c:pt>
              </c:numCache>
            </c:numRef>
          </c:xVal>
          <c:yVal>
            <c:numRef>
              <c:f>4</c:f>
              <c:numCache>
                <c:formatCode>General</c:formatCode>
                <c:ptCount val="4"/>
                <c:pt idx="0">
                  <c:v>0.000153</c:v>
                </c:pt>
                <c:pt idx="1">
                  <c:v>0.000488</c:v>
                </c:pt>
                <c:pt idx="2">
                  <c:v>0.000952</c:v>
                </c:pt>
                <c:pt idx="3">
                  <c:v>0.035143</c:v>
                </c:pt>
              </c:numCache>
            </c:numRef>
          </c:yVal>
          <c:smooth val="1"/>
        </c:ser>
        <c:axId val="23194935"/>
        <c:axId val="80595292"/>
      </c:scatterChart>
      <c:valAx>
        <c:axId val="23194935"/>
        <c:scaling>
          <c:orientation val="minMax"/>
        </c:scaling>
        <c:delete val="0"/>
        <c:axPos val="b"/>
        <c:title>
          <c:tx>
            <c:rich>
              <a:bodyPr rot="0"/>
              <a:lstStyle/>
              <a:p>
                <a:pPr>
                  <a:defRPr b="0" sz="1000" spc="-1" strike="noStrike">
                    <a:solidFill>
                      <a:srgbClr val="000000"/>
                    </a:solidFill>
                    <a:uFill>
                      <a:solidFill>
                        <a:srgbClr val="ffffff"/>
                      </a:solidFill>
                    </a:uFill>
                    <a:latin typeface="Calibri"/>
                  </a:defRPr>
                </a:pPr>
                <a:r>
                  <a:rPr b="0" sz="1000" spc="-1" strike="noStrike">
                    <a:solidFill>
                      <a:srgbClr val="000000"/>
                    </a:solidFill>
                    <a:uFill>
                      <a:solidFill>
                        <a:srgbClr val="ffffff"/>
                      </a:solidFill>
                    </a:uFill>
                    <a:latin typeface="Calibri"/>
                  </a:rPr>
                  <a:t>Input Size</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80595292"/>
        <c:crosses val="autoZero"/>
        <c:crossBetween val="midCat"/>
      </c:valAx>
      <c:valAx>
        <c:axId val="80595292"/>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000000"/>
                    </a:solidFill>
                    <a:uFill>
                      <a:solidFill>
                        <a:srgbClr val="ffffff"/>
                      </a:solidFill>
                    </a:uFill>
                    <a:latin typeface="Calibri"/>
                  </a:defRPr>
                </a:pPr>
                <a:r>
                  <a:rPr b="0" sz="1000" spc="-1" strike="noStrike">
                    <a:solidFill>
                      <a:srgbClr val="000000"/>
                    </a:solidFill>
                    <a:uFill>
                      <a:solidFill>
                        <a:srgbClr val="ffffff"/>
                      </a:solidFill>
                    </a:uFill>
                    <a:latin typeface="Calibri"/>
                  </a:rPr>
                  <a:t>CPU Time(s)</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23194935"/>
        <c:crosses val="autoZero"/>
        <c:crossBetween val="midCat"/>
      </c:valAx>
      <c:spPr>
        <a:noFill/>
        <a:ln>
          <a:noFill/>
        </a:ln>
      </c:spPr>
    </c:plotArea>
    <c:legend>
      <c:legendPos val="r"/>
      <c:layout>
        <c:manualLayout>
          <c:xMode val="edge"/>
          <c:yMode val="edge"/>
          <c:x val="0.8781875"/>
          <c:y val="0.490222222222222"/>
        </c:manualLayout>
      </c:layout>
      <c:overlay val="0"/>
      <c:spPr>
        <a:noFill/>
        <a:ln>
          <a:noFill/>
        </a:ln>
      </c:sp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2000" spc="-1" strike="noStrike">
                <a:solidFill>
                  <a:srgbClr val="595959"/>
                </a:solidFill>
                <a:uFill>
                  <a:solidFill>
                    <a:srgbClr val="ffffff"/>
                  </a:solidFill>
                </a:uFill>
                <a:latin typeface="Calibri"/>
              </a:defRPr>
            </a:pPr>
            <a:r>
              <a:rPr b="1" sz="2000" spc="-1" strike="noStrike">
                <a:solidFill>
                  <a:srgbClr val="595959"/>
                </a:solidFill>
                <a:uFill>
                  <a:solidFill>
                    <a:srgbClr val="ffffff"/>
                  </a:solidFill>
                </a:uFill>
                <a:latin typeface="Calibri"/>
              </a:rPr>
              <a:t>wc</a:t>
            </a:r>
          </a:p>
        </c:rich>
      </c:tx>
      <c:overlay val="0"/>
    </c:title>
    <c:autoTitleDeleted val="0"/>
    <c:plotArea>
      <c:scatterChart>
        <c:scatterStyle val="line"/>
        <c:varyColors val="0"/>
        <c:ser>
          <c:idx val="0"/>
          <c:order val="0"/>
          <c:tx>
            <c:strRef>
              <c:f>label 0</c:f>
              <c:strCache>
                <c:ptCount val="1"/>
                <c:pt idx="0">
                  <c:v>IS</c:v>
                </c:pt>
              </c:strCache>
            </c:strRef>
          </c:tx>
          <c:spPr>
            <a:solidFill>
              <a:srgbClr val="4472c4"/>
            </a:solidFill>
            <a:ln w="19080">
              <a:solidFill>
                <a:srgbClr val="4472c4"/>
              </a:solidFill>
              <a:round/>
            </a:ln>
          </c:spPr>
          <c:marker>
            <c:symbol val="none"/>
          </c:marker>
          <c:dLbls>
            <c:dLblPos val="r"/>
            <c:showLegendKey val="0"/>
            <c:showVal val="0"/>
            <c:showCatName val="0"/>
            <c:showSerName val="0"/>
            <c:showPercent val="0"/>
            <c:showLeaderLines val="0"/>
          </c:dLbls>
          <c:xVal>
            <c:numRef>
              <c:f>1</c:f>
              <c:numCache>
                <c:formatCode>General</c:formatCode>
                <c:ptCount val="4"/>
                <c:pt idx="0">
                  <c:v>4000</c:v>
                </c:pt>
                <c:pt idx="1">
                  <c:v>16000</c:v>
                </c:pt>
                <c:pt idx="2">
                  <c:v>32000</c:v>
                </c:pt>
                <c:pt idx="3">
                  <c:v>1000000</c:v>
                </c:pt>
              </c:numCache>
            </c:numRef>
          </c:xVal>
          <c:yVal>
            <c:numRef>
              <c:f>0</c:f>
              <c:numCache>
                <c:formatCode>General</c:formatCode>
                <c:ptCount val="4"/>
                <c:pt idx="0">
                  <c:v>0.005357</c:v>
                </c:pt>
                <c:pt idx="1">
                  <c:v>0.083658</c:v>
                </c:pt>
                <c:pt idx="2">
                  <c:v>0.304047</c:v>
                </c:pt>
                <c:pt idx="3">
                  <c:v>260.18</c:v>
                </c:pt>
              </c:numCache>
            </c:numRef>
          </c:yVal>
          <c:smooth val="1"/>
        </c:ser>
        <c:ser>
          <c:idx val="1"/>
          <c:order val="1"/>
          <c:tx>
            <c:strRef>
              <c:f>label 2</c:f>
              <c:strCache>
                <c:ptCount val="1"/>
                <c:pt idx="0">
                  <c:v>HS</c:v>
                </c:pt>
              </c:strCache>
            </c:strRef>
          </c:tx>
          <c:spPr>
            <a:solidFill>
              <a:srgbClr val="ed7d31"/>
            </a:solidFill>
            <a:ln w="19080">
              <a:solidFill>
                <a:srgbClr val="ed7d31"/>
              </a:solidFill>
              <a:round/>
            </a:ln>
          </c:spPr>
          <c:marker>
            <c:symbol val="none"/>
          </c:marker>
          <c:dLbls>
            <c:dLblPos val="r"/>
            <c:showLegendKey val="0"/>
            <c:showVal val="0"/>
            <c:showCatName val="0"/>
            <c:showSerName val="0"/>
            <c:showPercent val="0"/>
            <c:showLeaderLines val="0"/>
          </c:dLbls>
          <c:xVal>
            <c:numRef>
              <c:f>3</c:f>
              <c:numCache>
                <c:formatCode>General</c:formatCode>
                <c:ptCount val="4"/>
                <c:pt idx="0">
                  <c:v>4000</c:v>
                </c:pt>
                <c:pt idx="1">
                  <c:v>16000</c:v>
                </c:pt>
                <c:pt idx="2">
                  <c:v>32000</c:v>
                </c:pt>
                <c:pt idx="3">
                  <c:v>1000000</c:v>
                </c:pt>
              </c:numCache>
            </c:numRef>
          </c:xVal>
          <c:yVal>
            <c:numRef>
              <c:f>2</c:f>
              <c:numCache>
                <c:formatCode>General</c:formatCode>
                <c:ptCount val="4"/>
                <c:pt idx="0">
                  <c:v>0.000225</c:v>
                </c:pt>
                <c:pt idx="1">
                  <c:v>0.000884</c:v>
                </c:pt>
                <c:pt idx="2">
                  <c:v>0.001907</c:v>
                </c:pt>
                <c:pt idx="3">
                  <c:v>0.079941</c:v>
                </c:pt>
              </c:numCache>
            </c:numRef>
          </c:yVal>
          <c:smooth val="1"/>
        </c:ser>
        <c:ser>
          <c:idx val="2"/>
          <c:order val="2"/>
          <c:tx>
            <c:strRef>
              <c:f>label 4</c:f>
              <c:strCache>
                <c:ptCount val="1"/>
                <c:pt idx="0">
                  <c:v>MS</c:v>
                </c:pt>
              </c:strCache>
            </c:strRef>
          </c:tx>
          <c:spPr>
            <a:solidFill>
              <a:srgbClr val="a5a5a5"/>
            </a:solidFill>
            <a:ln w="19080">
              <a:solidFill>
                <a:srgbClr val="a5a5a5"/>
              </a:solidFill>
              <a:round/>
            </a:ln>
          </c:spPr>
          <c:marker>
            <c:symbol val="none"/>
          </c:marker>
          <c:dLbls>
            <c:dLblPos val="r"/>
            <c:showLegendKey val="0"/>
            <c:showVal val="0"/>
            <c:showCatName val="0"/>
            <c:showSerName val="0"/>
            <c:showPercent val="0"/>
            <c:showLeaderLines val="0"/>
          </c:dLbls>
          <c:xVal>
            <c:numRef>
              <c:f>5</c:f>
              <c:numCache>
                <c:formatCode>General</c:formatCode>
                <c:ptCount val="4"/>
                <c:pt idx="0">
                  <c:v>4000</c:v>
                </c:pt>
                <c:pt idx="1">
                  <c:v>16000</c:v>
                </c:pt>
                <c:pt idx="2">
                  <c:v>32000</c:v>
                </c:pt>
                <c:pt idx="3">
                  <c:v>1000000</c:v>
                </c:pt>
              </c:numCache>
            </c:numRef>
          </c:xVal>
          <c:yVal>
            <c:numRef>
              <c:f>4</c:f>
              <c:numCache>
                <c:formatCode>General</c:formatCode>
                <c:ptCount val="4"/>
                <c:pt idx="0">
                  <c:v>0.000207</c:v>
                </c:pt>
                <c:pt idx="1">
                  <c:v>0.000904</c:v>
                </c:pt>
                <c:pt idx="2">
                  <c:v>0.00117</c:v>
                </c:pt>
                <c:pt idx="3">
                  <c:v>0.039822</c:v>
                </c:pt>
              </c:numCache>
            </c:numRef>
          </c:yVal>
          <c:smooth val="1"/>
        </c:ser>
        <c:axId val="70307790"/>
        <c:axId val="23741956"/>
      </c:scatterChart>
      <c:valAx>
        <c:axId val="70307790"/>
        <c:scaling>
          <c:orientation val="minMax"/>
        </c:scaling>
        <c:delete val="0"/>
        <c:axPos val="b"/>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Input Size</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23741956"/>
        <c:crosses val="autoZero"/>
        <c:crossBetween val="midCat"/>
      </c:valAx>
      <c:valAx>
        <c:axId val="23741956"/>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CPU Time(s)</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70307790"/>
        <c:crosses val="autoZero"/>
        <c:crossBetween val="midCat"/>
      </c:valAx>
      <c:spPr>
        <a:noFill/>
        <a:ln>
          <a:noFill/>
        </a:ln>
      </c:spPr>
    </c:plotArea>
    <c:legend>
      <c:legendPos val="r"/>
      <c:layout>
        <c:manualLayout>
          <c:xMode val="edge"/>
          <c:yMode val="edge"/>
          <c:x val="0.883625"/>
          <c:y val="0.506111111111111"/>
        </c:manualLayout>
      </c:layout>
      <c:overlay val="0"/>
      <c:spPr>
        <a:noFill/>
        <a:ln>
          <a:noFill/>
        </a:ln>
      </c:sp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DABFC-4FD8-42C5-B6EC-95CC134F7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Application>LibreOffice/5.1.6.2$Linux_X86_64 LibreOffice_project/10m0$Build-2</Application>
  <Pages>3</Pages>
  <Words>343</Words>
  <Characters>1688</Characters>
  <CharactersWithSpaces>2045</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2018-03-17T06:28:00Z</dcterms:created>
  <dc:creator>Hao-Chien Lin</dc:creator>
  <dc:description/>
  <dc:language>en-US</dc:language>
  <cp:lastModifiedBy/>
  <dcterms:modified xsi:type="dcterms:W3CDTF">2018-03-20T04:57:57Z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