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color w:val="888888"/>
          <w:spacing w:val="120"/>
          <w:sz w:val="20"/>
          <w:szCs w:val="20"/>
        </w:rPr>
        <w:t xml:space="preserve">PRODUCT STRATEGY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Self-Custodial Bitcoin Bank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F7931A"/>
          <w:sz w:val="48"/>
          <w:szCs w:val="48"/>
        </w:rPr>
        <w:t xml:space="preserve">on Liquid / Simplicity</w:t>
      </w:r>
    </w:p>
    <w:p>
      <w:pPr>
        <w:spacing w:after="80"/>
      </w:pPr>
    </w:p>
    <w:p>
      <w:pPr>
        <w:spacing w:after="40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Feasibility assessment: legal, engineering, go-to-market, and phased MVP approach</w:t>
      </w:r>
    </w:p>
    <w:p>
      <w:pPr>
        <w:pBdr>
          <w:bottom w:val="single" w:color="F7931A" w:sz="6" w:space="1"/>
        </w:pBdr>
        <w:spacing w:after="200"/>
      </w:pPr>
    </w:p>
    <w:p>
      <w:pPr>
        <w:pStyle w:val="Heading1"/>
      </w:pPr>
      <w:r>
        <w:t xml:space="preserve">1. Legal: Do We Need a License?</w:t>
      </w:r>
    </w:p>
    <w:p>
      <w:pPr>
        <w:spacing w:after="160"/>
      </w:pPr>
      <w:r>
        <w:t xml:space="preserve">Short answer: it depends entirely on what the app does at the smart contract level vs. what a third-party partner handles. Here is the breakdown by function.</w:t>
      </w:r>
    </w:p>
    <w:p>
      <w:pPr>
        <w:spacing w:after="80"/>
      </w:pPr>
    </w:p>
    <w:p>
      <w:pPr>
        <w:pStyle w:val="Heading2"/>
      </w:pPr>
      <w:r>
        <w:t xml:space="preserve">Non-custodial smart contracts (no license needed)</w:t>
      </w:r>
    </w:p>
    <w:p>
      <w:pPr>
        <w:spacing w:after="160"/>
      </w:pPr>
      <w:r>
        <w:t xml:space="preserve">If users control their own keys and interact directly with Simplicity contracts on Liquid, </w:t>
      </w:r>
      <w:r>
        <w:rPr>
          <w:b/>
          <w:bCs/>
        </w:rPr>
        <w:t xml:space="preserve">the app is a client, not a financial institution.</w:t>
      </w:r>
      <w:r>
        <w:t xml:space="preserve"> This is the same legal model as MetaMask or Uniswap — the app provides a window into a protocol. Under EU MiCA, roughly 65% of new regulations target centralized exchanges, largely sparing non-custodial interfaces from direct KYC/AML requirements.</w:t>
      </w:r>
    </w:p>
    <w:p>
      <w:pPr>
        <w:spacing w:after="160"/>
      </w:pPr>
      <w:r>
        <w:t xml:space="preserve">Functions that do NOT require licensing: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BTC vault creation via Simplicity contracts (user holds keys)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Peer-to-peer lending via on-chain contracts (no intermediary)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DEX trading on Liquid (stateless, no order book operator)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Portfolio view / net worth dashboard (read-only)</w:t>
      </w:r>
    </w:p>
    <w:p>
      <w:pPr>
        <w:spacing w:after="80"/>
      </w:pPr>
    </w:p>
    <w:p>
      <w:pPr>
        <w:pStyle w:val="Heading2"/>
      </w:pPr>
      <w:r>
        <w:t xml:space="preserve">Debit card integration (partner handles licensing)</w:t>
      </w:r>
    </w:p>
    <w:p>
      <w:pPr>
        <w:spacing w:after="160"/>
      </w:pPr>
      <w:r>
        <w:t xml:space="preserve">The fiat bridge — the debit card — is where regulation kicks in. But </w:t>
      </w:r>
      <w:r>
        <w:rPr>
          <w:b/>
          <w:bCs/>
        </w:rPr>
        <w:t xml:space="preserve">you don’t build this yourself.</w:t>
      </w:r>
      <w:r>
        <w:t xml:space="preserve"> Baanx (who powers MetaMask’s Mastercard) holds the EMI license, handles KYC, card issuance, and Mastercard compliance. You integrate via their API. Cost: API integration fee + revenue share on interchange. No banking license needed from Blockstream’s side.</w:t>
      </w:r>
    </w:p>
    <w:p>
      <w:pPr>
        <w:spacing w:after="80"/>
      </w:pPr>
    </w:p>
    <w:p>
      <w:pPr>
        <w:pStyle w:val="Heading2"/>
      </w:pPr>
      <w:r>
        <w:t xml:space="preserve">VASP registration (maybe needed, low cost)</w:t>
      </w:r>
    </w:p>
    <w:p>
      <w:pPr>
        <w:spacing w:after="160"/>
      </w:pPr>
      <w:r>
        <w:t xml:space="preserve">If the app facilitates crypto-to-crypto swaps or acts as an intermediary in any transaction flow, a VASP registration may be required under MiCA. In practice, if the app is purely a non-custodial interface, this may not apply. But if Blockstream operates any part of the infrastructure (e.g., a liquidity pool, a peg-in/peg-out service), registration is likely needed. </w:t>
      </w:r>
      <w:r>
        <w:rPr>
          <w:b/>
          <w:bCs/>
        </w:rPr>
        <w:t xml:space="preserve">Cost: €15–70K depending on jurisdiction.</w:t>
      </w:r>
      <w:r>
        <w:t xml:space="preserve"> Gibraltar (where Blockstream already operates) or Czech Republic (where Clapp is registered) are viable options with established frameworks.</w:t>
      </w:r>
    </w:p>
    <w:p>
      <w:pPr>
        <w:spacing w:after="80"/>
      </w:pPr>
    </w:p>
    <w:p>
      <w:pPr>
        <w:pStyle w:val="Heading2"/>
      </w:pPr>
      <w:r>
        <w:t xml:space="preserve">Summary: Legal cost for MVP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License needed?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estimate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Smart contracts (vaults, lending)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— non-custodial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€0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 / UX layer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— client software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€0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Debit card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— Baanx holds license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integration fee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VASP registration (if operating infra)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Possibly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€15–70K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Banking license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€0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bCs/>
        </w:rPr>
        <w:t xml:space="preserve">Bottom line: </w:t>
      </w:r>
      <w:r>
        <w:t xml:space="preserve">The legal barrier is dramatically lower than building a bank. The most expensive scenario is €70K for a VASP registration, and even that may not be needed if the architecture stays purely non-custodial. The card partner absorbs the banking compliance.</w:t>
      </w:r>
    </w:p>
    <w:p>
      <w:r>
        <w:br w:type="page"/>
      </w:r>
    </w:p>
    <w:p>
      <w:pPr>
        <w:pStyle w:val="Heading1"/>
      </w:pPr>
      <w:r>
        <w:t xml:space="preserve">2. Phased MVP: Start Smaller Than You Think</w:t>
      </w:r>
    </w:p>
    <w:p>
      <w:pPr>
        <w:spacing w:after="160"/>
      </w:pPr>
      <w:r>
        <w:t xml:space="preserve">The 12–18 month full-build estimate is for a production app with card integration. But validation should happen long before that. Here’s a phased approach that de-risks investment at each step.</w:t>
      </w:r>
    </w:p>
    <w:p>
      <w:pPr>
        <w:spacing w:after="80"/>
      </w:pPr>
    </w:p>
    <w:p>
      <w:pPr>
        <w:pStyle w:val="Heading2"/>
      </w:pPr>
      <w:r>
        <w:t xml:space="preserve">Phase 0: Validate demand (4–6 weeks, €0 cost)</w:t>
      </w:r>
    </w:p>
    <w:p>
      <w:pPr>
        <w:spacing w:after="160"/>
      </w:pPr>
      <w:r>
        <w:t xml:space="preserve">Before writing a single line of Simplicity code, prove that people want this.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Build a high-fidelity interactive prototype (Figma or coded) showing the core flow: deposit BTC → see vault → borrow stablecoins → spend via card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Landing page with waitlist: "The first self-custodial Bitcoin bank. No middlemen. No KYC on your wealth. Borrow against BTC, spend via Mastercard."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Run it through Bitcoin-native channels: Simply Bitcoin, BTC Sessions, Blockstream’s own community (100+ Local chapters, Jade users)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Target: 5,000+ waitlist signups = strong signal. 10,000+ = greenlight.</w:t>
      </w:r>
    </w:p>
    <w:p>
      <w:pPr>
        <w:spacing w:after="160"/>
      </w:pPr>
      <w:r>
        <w:rPr>
          <w:b/>
          <w:bCs/>
        </w:rPr>
        <w:t xml:space="preserve">Why this works: </w:t>
      </w:r>
      <w:r>
        <w:t xml:space="preserve">In the attention economy, you’re not competing for attention — the Bitcoin self-custody community is actively looking for this product. The “never sell your BTC” narrative is already mainstream. You’re offering a tool, not a new concept.</w:t>
      </w:r>
    </w:p>
    <w:p>
      <w:pPr>
        <w:spacing w:after="80"/>
      </w:pPr>
    </w:p>
    <w:p>
      <w:pPr>
        <w:pStyle w:val="Heading2"/>
      </w:pPr>
      <w:r>
        <w:t xml:space="preserve">Phase 1: Vault-only app on Liquid testnet (2–3 months)</w:t>
      </w:r>
    </w:p>
    <w:p>
      <w:pPr>
        <w:spacing w:after="160"/>
      </w:pPr>
      <w:r>
        <w:t xml:space="preserve">Scope: a working app where users can create a Simplicity vault on Liquid testnet, deposit test L-BTC, set time-locks and recovery keys. No lending, no card. Just the vault.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Team: 1 Simplicity engineer, 1 mobile dev, 1 designer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Deliverable: testnet app + open-source vault contracts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Validation: developer adoption, community feedback, contract audits</w:t>
      </w:r>
    </w:p>
    <w:p>
      <w:pPr>
        <w:spacing w:after="160"/>
      </w:pPr>
      <w:r>
        <w:t xml:space="preserve">This phase can run inside Blockstream’s existing team and research budget. It’s a natural extension of the Simplicity bootcamps already happening.</w:t>
      </w:r>
    </w:p>
    <w:p>
      <w:pPr>
        <w:spacing w:after="80"/>
      </w:pPr>
    </w:p>
    <w:p>
      <w:pPr>
        <w:pStyle w:val="Heading2"/>
      </w:pPr>
      <w:r>
        <w:t xml:space="preserve">Phase 2: Lending contract + mainnet vaults (3–4 months)</w:t>
      </w:r>
    </w:p>
    <w:p>
      <w:pPr>
        <w:spacing w:after="160"/>
      </w:pPr>
      <w:r>
        <w:t xml:space="preserve">Add the lending contract: user locks L-BTC, receives L-USDT against collateral. Start with a federated lending model — 3–5 whales or Blockstream itself provides initial stablecoin liquidity. Not a pool, not decentralised yet — just curated counterparties.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Team: +1 Simplicity engineer, +1 backend dev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Key technical challenge: price oracle for LTV monitoring on a UTXO chain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Mainnet launch for vaults (low risk, no lending yet on mainnet)</w:t>
      </w:r>
    </w:p>
    <w:p>
      <w:pPr>
        <w:spacing w:after="80"/>
      </w:pPr>
    </w:p>
    <w:p>
      <w:pPr>
        <w:pStyle w:val="Heading2"/>
      </w:pPr>
      <w:r>
        <w:t xml:space="preserve">Phase 3: Card integration + public launch (3–4 months)</w:t>
      </w:r>
    </w:p>
    <w:p>
      <w:pPr>
        <w:spacing w:after="160"/>
      </w:pPr>
      <w:r>
        <w:t xml:space="preserve">Integrate Baanx card API. Borrowed stablecoins fund the card wallet. User spends stablecoins via Mastercard. KYC happens at the card layer only — the app and vaults remain non-custodial.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Team: +1 backend dev for card integration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VASP registration filed (if needed) during Phase 2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Public launch with waitlist invites → controlled rollout</w:t>
      </w:r>
    </w:p>
    <w:p>
      <w:pPr>
        <w:spacing w:after="80"/>
      </w:pPr>
    </w:p>
    <w:p>
      <w:pPr>
        <w:pStyle w:val="Heading2"/>
      </w:pPr>
      <w:r>
        <w:t xml:space="preserve">Timeline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3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Team size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output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0: Validate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4–6 weeks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designer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Prototype + waitlist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1: Vaults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2–3 months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 people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Testnet app + contracts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2: Lending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3–4 months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 people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Mainnet vaults + lending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3: Card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3–4 months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 people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Public launch with card</w:t>
            </w:r>
          </w:p>
        </w:tc>
      </w:tr>
    </w:tbl>
    <w:p>
      <w:pPr>
        <w:spacing w:after="160"/>
      </w:pPr>
      <w:r>
        <w:rPr>
          <w:b/>
          <w:bCs/>
        </w:rPr>
        <w:t xml:space="preserve">Total: ~12 months from start to card launch.</w:t>
      </w:r>
      <w:r>
        <w:t xml:space="preserve"> But Phase 0 validates demand in 6 weeks with zero engineering investment. That’s the gate.</w:t>
      </w:r>
    </w:p>
    <w:p>
      <w:r>
        <w:br w:type="page"/>
      </w:r>
    </w:p>
    <w:p>
      <w:pPr>
        <w:pStyle w:val="Heading1"/>
      </w:pPr>
      <w:r>
        <w:t xml:space="preserve">3. Market Size: Who Is This For?</w:t>
      </w:r>
    </w:p>
    <w:p>
      <w:pPr>
        <w:spacing w:after="160"/>
      </w:pPr>
      <w:r>
        <w:t xml:space="preserve">The target is NOT all 500M Bitcoin holders. It’s the intersection of three traits: holds meaningful BTC (0.1+ BTC), values self-custody and privacy, and wants to spend without selling.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 estimate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Global BTC holders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~500M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Includes ETF, exchange, custodial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Individual holders (self-custodied + exchange)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~13.8M coins / 65.9% of supply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River Research, Aug 2025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Self-custody aware users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~71% of crypto users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Increased awareness in 2025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Migrating to self-custody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~33% of new wallet registrations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Custodial → non-custodial migration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Confident in key management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~46% of self-custody users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rest need better UX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Target: self-custody + 0.1+ BTC + borrow interest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~2–5M people globally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Addressable market for MVP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Realistic Year 1 users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10–50K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Conservative with waitlist-driven launch</w:t>
            </w:r>
          </w:p>
        </w:tc>
      </w:tr>
    </w:tbl>
    <w:p>
      <w:pPr>
        <w:spacing w:after="80"/>
      </w:pPr>
    </w:p>
    <w:p>
      <w:pPr>
        <w:spacing w:after="160"/>
      </w:pPr>
      <w:r>
        <w:t xml:space="preserve">The crypto custody market is growing at 13–23% CAGR and is projected to reach $4.6–$7.7B by 2032. A self-custodial banking product captures a slice of both the custody market and the crypto lending market (currently dominated by Nexo, Ledn, Xapo at 10%+ APR).</w:t>
      </w:r>
    </w:p>
    <w:p>
      <w:pPr>
        <w:spacing w:after="80"/>
      </w:pPr>
    </w:p>
    <w:p>
      <w:pPr>
        <w:pStyle w:val="Heading2"/>
      </w:pPr>
      <w:r>
        <w:t xml:space="preserve">Competitive positioning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Player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they lack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Xapo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Custodial Bitcoin bank, $1K/yr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 self-custodial. MPC keys held by Xapo.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Ledn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Custodial BTC lending, no card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spending card. Custodial.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CeFi lending + card, 40+ coins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Custodial. Lends out your collateral. Celsius risk model.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Clapp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CeFi neobank, Czech VASP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Custodial. Generic multi-chain. No Bitcoin-native advantage.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MetaMask Card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Self-custodial spending only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lending, no vaults, no Bitcoin focus. EVM-only.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Ready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Self-custodial + card (early)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Early stage. Not on Bitcoin rails.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This product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Self-custodial, Liquid/Simplicity, verifiable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First mover on trustless Bitcoin banking.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Monetisation</w:t>
      </w:r>
    </w:p>
    <w:p>
      <w:pPr>
        <w:spacing w:after="160"/>
      </w:pPr>
      <w:r>
        <w:t xml:space="preserve">Three revenue streams, all aligned with the non-custodial model.</w:t>
      </w:r>
    </w:p>
    <w:p>
      <w:pPr>
        <w:spacing w:after="80"/>
      </w:pPr>
    </w:p>
    <w:p>
      <w:pPr>
        <w:pStyle w:val="Heading2"/>
      </w:pPr>
      <w:r>
        <w:t xml:space="preserve">Lending spread</w:t>
      </w:r>
    </w:p>
    <w:p>
      <w:pPr>
        <w:spacing w:after="160"/>
      </w:pPr>
      <w:r>
        <w:t xml:space="preserve">Charge 2–5% APR on borrowed stablecoins. In the federated model (Phase 2), Blockstream or partner lenders provide liquidity and earn yield. Protocol takes a 0.5–1% fee on top. At scale with a decentralised pool, the protocol fee is the revenue.</w:t>
      </w:r>
    </w:p>
    <w:p>
      <w:pPr>
        <w:spacing w:after="80"/>
      </w:pPr>
    </w:p>
    <w:p>
      <w:pPr>
        <w:pStyle w:val="Heading2"/>
      </w:pPr>
      <w:r>
        <w:t xml:space="preserve">Card interchange revenue share</w:t>
      </w:r>
    </w:p>
    <w:p>
      <w:pPr>
        <w:spacing w:after="160"/>
      </w:pPr>
      <w:r>
        <w:t xml:space="preserve">Baanx shares interchange fees with app partners. Typical: 0.3–0.5% of transaction volume. MetaMask earns enough from this to offer 1–3% cashback. At $500/month average spend per user, 50K users = ~$1.5–2.5M/year.</w:t>
      </w:r>
    </w:p>
    <w:p>
      <w:pPr>
        <w:spacing w:after="80"/>
      </w:pPr>
    </w:p>
    <w:p>
      <w:pPr>
        <w:pStyle w:val="Heading2"/>
      </w:pPr>
      <w:r>
        <w:t xml:space="preserve">Premium subscription</w:t>
      </w:r>
    </w:p>
    <w:p>
      <w:pPr>
        <w:spacing w:after="160"/>
      </w:pPr>
      <w:r>
        <w:t xml:space="preserve">Free tier: basic vault + limited borrowing (25% LTV, single vault). Premium (€10–20/month): higher LTV (40%), multi-sig vault configurations, priority liquidation protection, advanced analytics. At 20% conversion on 50K users = ~€1.2–2.4M/year.</w:t>
      </w:r>
    </w:p>
    <w:p>
      <w:pPr>
        <w:spacing w:after="80"/>
      </w:pPr>
    </w:p>
    <w:p>
      <w:pPr>
        <w:pStyle w:val="Heading2"/>
      </w:pPr>
      <w:r>
        <w:t xml:space="preserve">Revenue projection at 50K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stream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estimate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Lending spread (2% on 30% utilisation, avg 0.5 BTC/user)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€8–12M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Card interchange (0.4% on $500/mo spend)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€1.2–2.4M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Premium subscriptions (20% conversion, €15/mo avg)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€1.8M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€11–16M/year</w:t>
            </w:r>
          </w:p>
        </w:tc>
      </w:tr>
    </w:tbl>
    <w:p>
      <w:pPr>
        <w:spacing w:after="80"/>
      </w:pPr>
    </w:p>
    <w:p>
      <w:pPr>
        <w:spacing w:after="160"/>
      </w:pPr>
      <w:r>
        <w:t xml:space="preserve">For comparison, Xapo charges $1,000/year membership and serves high-net-worth clients. This model is more accessible </w:t>
      </w:r>
      <w:r>
        <w:rPr>
          <w:b/>
          <w:bCs/>
        </w:rPr>
        <w:t xml:space="preserve">and</w:t>
      </w:r>
      <w:r>
        <w:t xml:space="preserve"> more defensible — the protocol fees are embedded in the smart contracts, not in a company’s pricing page.</w:t>
      </w:r>
    </w:p>
    <w:p>
      <w:r>
        <w:br w:type="page"/>
      </w:r>
    </w:p>
    <w:p>
      <w:pPr>
        <w:pStyle w:val="Heading1"/>
      </w:pPr>
      <w:r>
        <w:t xml:space="preserve">5. Distribution Strategy</w:t>
      </w:r>
    </w:p>
    <w:p>
      <w:pPr>
        <w:spacing w:after="160"/>
      </w:pPr>
      <w:r>
        <w:t xml:space="preserve">The Bitcoin community is uniquely receptive to this product because the narrative already exists. “Never sell your BTC” is not a marketing message to create — it’s a belief to serve.</w:t>
      </w:r>
    </w:p>
    <w:p>
      <w:pPr>
        <w:spacing w:after="80"/>
      </w:pPr>
    </w:p>
    <w:p>
      <w:pPr>
        <w:pStyle w:val="Heading2"/>
      </w:pPr>
      <w:r>
        <w:t xml:space="preserve">Organic channels (cost: €0)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Blockstream’s own ecosystem: 100+ Local chapters, Jade wallet users, Green wallet users, Simplicity bootcamp alumni. Pre-qualified self-custody Bitcoiners.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Bitcoin media: Simply Bitcoin, BTC Sessions, Bitcoin Magazine. Key voices like Jack Mallers (Strike precedent), The Bitcoin Way, and existing Blockstream ambassadors.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Bitcoin conferences: Plan B, BTC++, Bitcoin Amsterdam, Adopting Bitcoin. Product demos at events Blockstream already sponsors.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Open-source credibility: Simplicity contracts are auditable. Code is the marketing. Developers validate, influencers amplify.</w:t>
      </w:r>
    </w:p>
    <w:p>
      <w:pPr>
        <w:spacing w:after="80"/>
      </w:pPr>
    </w:p>
    <w:p>
      <w:pPr>
        <w:pStyle w:val="Heading2"/>
      </w:pPr>
      <w:r>
        <w:t xml:space="preserve">Referral loop</w:t>
      </w:r>
    </w:p>
    <w:p>
      <w:pPr>
        <w:spacing w:after="160"/>
      </w:pPr>
      <w:r>
        <w:t xml:space="preserve">Lenders recruit borrowers (they need utilisation for yield). Borrowers recruit lenders (they need liquidity for credit). The two sides of the marketplace naturally pull each other in.</w:t>
      </w:r>
    </w:p>
    <w:p>
      <w:pPr>
        <w:spacing w:after="80"/>
      </w:pPr>
    </w:p>
    <w:p>
      <w:pPr>
        <w:pStyle w:val="Heading2"/>
      </w:pPr>
      <w:r>
        <w:t xml:space="preserve">Key risk: attention economy</w:t>
      </w:r>
    </w:p>
    <w:p>
      <w:pPr>
        <w:spacing w:after="160"/>
      </w:pPr>
      <w:r>
        <w:t xml:space="preserve">The challenge isn’t reaching Bitcoiners — it’s standing out among the noise. The differentiator is </w:t>
      </w:r>
      <w:r>
        <w:rPr>
          <w:b/>
          <w:bCs/>
        </w:rPr>
        <w:t xml:space="preserve">Blockstream’s brand.</w:t>
      </w:r>
      <w:r>
        <w:t xml:space="preserve"> They invented Liquid, built Simplicity, co-authored Taproot. If Blockstream ships a self-custodial bank, that’s not another DeFi project — it’s the most trusted infrastructure team in Bitcoin building the consumer layer. That’s the story that cuts through.</w:t>
      </w:r>
    </w:p>
    <w:p>
      <w:r>
        <w:br w:type="page"/>
      </w:r>
    </w:p>
    <w:p>
      <w:pPr>
        <w:pStyle w:val="Heading1"/>
      </w:pPr>
      <w:r>
        <w:t xml:space="preserve">6. Key Technical Challenges</w:t>
      </w:r>
    </w:p>
    <w:p>
      <w:pPr>
        <w:spacing w:after="80"/>
      </w:pPr>
    </w:p>
    <w:p>
      <w:pPr>
        <w:pStyle w:val="Heading2"/>
      </w:pPr>
      <w:r>
        <w:t xml:space="preserve">Peg-in/peg-out latency</w:t>
      </w:r>
    </w:p>
    <w:p>
      <w:pPr>
        <w:spacing w:after="160"/>
      </w:pPr>
      <w:r>
        <w:t xml:space="preserve">Moving BTC to Liquid (peg-in) takes ~100 confirmations (~17 hours). Users won’t wait. Solutions: instant peg-in service with liquidity pre-funded on Liquid side, or a swap service that fronts L-BTC against incoming BTC. This is solvable but requires upfront liquidity.</w:t>
      </w:r>
    </w:p>
    <w:p>
      <w:pPr>
        <w:spacing w:after="80"/>
      </w:pPr>
    </w:p>
    <w:p>
      <w:pPr>
        <w:pStyle w:val="Heading2"/>
      </w:pPr>
      <w:r>
        <w:t xml:space="preserve">Price oracle on UTXO chain</w:t>
      </w:r>
    </w:p>
    <w:p>
      <w:pPr>
        <w:spacing w:after="160"/>
      </w:pPr>
      <w:r>
        <w:t xml:space="preserve">Simplicity contracts are stateless — no global state, no on-chain oracle. LTV monitoring for lending needs price feeds. Options: federated oracle (Liquid federation members sign price attestations), or periodic settlement where the contract checks price at defined intervals. This is the hardest unsolved problem for the lending contract.</w:t>
      </w:r>
    </w:p>
    <w:p>
      <w:pPr>
        <w:spacing w:after="80"/>
      </w:pPr>
    </w:p>
    <w:p>
      <w:pPr>
        <w:pStyle w:val="Heading2"/>
      </w:pPr>
      <w:r>
        <w:t xml:space="preserve">SimplicityHL maturity</w:t>
      </w:r>
    </w:p>
    <w:p>
      <w:pPr>
        <w:spacing w:after="160"/>
      </w:pPr>
      <w:r>
        <w:t xml:space="preserve">The high-level language is still early. No recursion, no branching, no unbound loops (by design). Writing lending logic in this paradigm requires a mathematical circuit mindset. The team that can do this is extremely small — essentially Blockstream Research themselves. This is both the moat and the bottleneck.</w:t>
      </w:r>
    </w:p>
    <w:p>
      <w:pPr>
        <w:spacing w:after="80"/>
      </w:pPr>
    </w:p>
    <w:p>
      <w:pPr>
        <w:pStyle w:val="Heading2"/>
      </w:pPr>
      <w:r>
        <w:t xml:space="preserve">Liquidity bootstrapping</w:t>
      </w:r>
    </w:p>
    <w:p>
      <w:pPr>
        <w:spacing w:after="160"/>
      </w:pPr>
      <w:r>
        <w:t xml:space="preserve">A lending market needs stablecoin lenders. Start federated (3–5 known counterparties), then open to a pool. The cold start is real but manageable if Blockstream or a partner provides initial liquidity. Liquid already has $3.27B TVL, and L-USDT exists.</w:t>
      </w:r>
    </w:p>
    <w:p>
      <w:r>
        <w:br w:type="page"/>
      </w:r>
    </w:p>
    <w:p>
      <w:pPr>
        <w:pStyle w:val="Heading1"/>
      </w:pPr>
      <w:r>
        <w:t xml:space="preserve">7. Decision Framework: Go / No-Go</w:t>
      </w:r>
    </w:p>
    <w:p>
      <w:pPr>
        <w:spacing w:after="80"/>
      </w:pPr>
    </w:p>
    <w:p>
      <w:pPr>
        <w:spacing w:after="160"/>
      </w:pPr>
      <w:r>
        <w:t xml:space="preserve">The investment gates, ordered by cost.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Investment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 to proceed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Prototype + waitlist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€0 (designer time only)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5,000+ signups in 6 weeks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Testnet vault app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~€50–80K (3 people, 3 months)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Developer adoption, contract audit pass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Lending on mainnet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~€150–200K (5 people, 4 months)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First loans originated, LTV logic works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VASP registration (if needed)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~€15–70K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Legal review confirms requirement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Card integration + public launch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~€100–150K (6 people, 4 months)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Waitlist conversion &gt; 10%, card spend &gt; $100K/month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bCs/>
        </w:rPr>
        <w:t xml:space="preserve">Total investment to public launch: ~€300–500K over 12 months.</w:t>
      </w:r>
      <w:r>
        <w:t xml:space="preserve"> For context, Xapo raised $40M in Series A. Ledn raised $70M. This is a fraction of what competitors spent, because the core infrastructure (Liquid, Simplicity) already exists. The product is a UX layer on top of proven protocol primitives.</w:t>
      </w:r>
    </w:p>
    <w:p>
      <w:pPr>
        <w:spacing w:after="80"/>
      </w:pPr>
    </w:p>
    <w:p>
      <w:pPr>
        <w:pBdr>
          <w:bottom w:val="single" w:color="F7931A" w:sz="6" w:space="1"/>
        </w:pBdr>
        <w:spacing w:after="200"/>
      </w:pPr>
    </w:p>
    <w:p>
      <w:pPr>
        <w:spacing w:after="80"/>
      </w:pPr>
    </w:p>
    <w:p>
      <w:pPr>
        <w:spacing w:after="160"/>
      </w:pPr>
      <w:r>
        <w:rPr>
          <w:b/>
          <w:bCs/>
        </w:rPr>
        <w:t xml:space="preserve">The one-line pitch: </w:t>
      </w:r>
      <w:r>
        <w:t xml:space="preserve">Everything Xapo does, but trustless. Everything Nexo promises, but verifiable. Built on the only Bitcoin-native smart contract platform that exists, by the team that invented it.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D2D5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2026-04-04T10:53:39.722Z</dcterms:created>
  <dcterms:modified xsi:type="dcterms:W3CDTF">2026-04-04T10:53:39.723Z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