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FA47F"/>
          <w:sz w:val="72"/>
          <w:szCs w:val="72"/>
        </w:rPr>
        <w:t xml:space="preserve">校 园 集 市</w:t>
      </w:r>
    </w:p>
    <w:p>
      <w:pPr>
        <w:spacing w:before="160"/>
        <w:jc w:val="center"/>
      </w:pPr>
      <w:r>
        <w:rPr>
          <w:sz w:val="30"/>
          <w:szCs w:val="30"/>
        </w:rPr>
        <w:t xml:space="preserve">大学校园二手交易平台</w:t>
      </w:r>
    </w:p>
    <w:p>
      <w:pPr>
        <w:spacing w:before="480"/>
        <w:jc w:val="center"/>
      </w:pPr>
      <w:r>
        <w:rPr>
          <w:b/>
          <w:bCs/>
          <w:sz w:val="44"/>
          <w:szCs w:val="44"/>
        </w:rPr>
        <w:t xml:space="preserve">作 品 说 明 书</w:t>
      </w:r>
    </w:p>
    <w:p>
      <w:pPr>
        <w:spacing w:after="60" w:before="1200"/>
        <w:jc w:val="center"/>
      </w:pPr>
      <w:r>
        <w:rPr>
          <w:sz w:val="22"/>
          <w:szCs w:val="22"/>
        </w:rPr>
        <w:t xml:space="preserve">作品名称：校园集市 · 大学校园二手交易平台</w:t>
      </w:r>
    </w:p>
    <w:p>
      <w:pPr>
        <w:spacing w:after="60"/>
        <w:jc w:val="center"/>
      </w:pPr>
      <w:r>
        <w:rPr>
          <w:sz w:val="22"/>
          <w:szCs w:val="22"/>
        </w:rPr>
        <w:t xml:space="preserve">作品类型：Web 应用（Next.js 全栈）</w:t>
      </w:r>
    </w:p>
    <w:p>
      <w:pPr>
        <w:spacing w:after="60"/>
        <w:jc w:val="center"/>
      </w:pPr>
      <w:r>
        <w:rPr>
          <w:sz w:val="22"/>
          <w:szCs w:val="22"/>
        </w:rPr>
        <w:t xml:space="preserve">提交人／团队：____________________</w:t>
      </w:r>
    </w:p>
    <w:p>
      <w:pPr>
        <w:spacing w:after="60"/>
        <w:jc w:val="center"/>
      </w:pPr>
      <w:r>
        <w:rPr>
          <w:sz w:val="22"/>
          <w:szCs w:val="22"/>
        </w:rPr>
        <w:t xml:space="preserve">日期：2026 年 10 月</w:t>
      </w:r>
    </w:p>
    <w:p>
      <w:r>
        <w:br w:type="page"/>
      </w:r>
    </w:p>
    <w:p>
      <w:pPr>
        <w:pStyle w:val="Heading1"/>
      </w:pPr>
      <w:bookmarkStart w:name="_Toc1" w:id="1"/>
      <w:r>
        <w:t xml:space="preserve">目  录</w:t>
      </w:r>
      <w:bookmarkEnd w:id="1"/>
    </w:p>
    <w:p>
      <w:pPr>
        <w:spacing w:after="120"/>
      </w:pPr>
      <w:r>
        <w:rPr>
          <w:color w:val="7C8AA0"/>
          <w:sz w:val="18"/>
          <w:szCs w:val="18"/>
        </w:rPr>
        <w:t xml:space="preserve">（在 Word 中打开后，于此目录处按 F9 可自动更新页码）</w:t>
      </w:r>
    </w:p>
    <w:sdt>
      <w:sdtPr>
        <w:alias w:val="目录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目  录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一、作品概述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1.1 背景与意义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">
            <w:r>
              <w:t xml:space="preserve">1.2 作品定位与核心特色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1.3 作品形态与交付物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">
            <w:r>
              <w:t xml:space="preserve">二、功能模块说明（含界面截图）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2.1 模块总览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2.2 商品交易闭环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2.3 实时聊天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0">
            <w:r>
              <w:t xml:space="preserve">2.4 用户与认证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2.5 商品发布与个人中心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2.6 管理后台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3">
            <w:r>
              <w:t xml:space="preserve">三、运行环境与使用说明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4">
            <w:r>
              <w:t xml:space="preserve">3.1 在线演示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5">
            <w:r>
              <w:t xml:space="preserve">3.2 本地一键运行（可运行版本）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3.3 演示账号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7">
            <w:r>
              <w:t xml:space="preserve">四、技术架构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8">
            <w:r>
              <w:t xml:space="preserve">4.1 总体架构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9">
            <w:r>
              <w:t xml:space="preserve">4.2 技术选型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0">
            <w:r>
              <w:t xml:space="preserve">4.3 数据模型（12 张表）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1">
            <w:r>
              <w:t xml:space="preserve">4.4 实时聊天核心设计：一条消息的旅程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2">
            <w:r>
              <w:t xml:space="preserve">4.5 关键技术亮点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3">
            <w:r>
              <w:t xml:space="preserve">五、功能演示说明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4">
            <w:r>
              <w:t xml:space="preserve">六、测试说明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5">
            <w:r>
              <w:t xml:space="preserve">6.1 测试策略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6">
            <w:r>
              <w:t xml:space="preserve">6.2 测试规模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7">
            <w:r>
              <w:t xml:space="preserve">6.3 关键场景测试（节选）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8">
            <w:r>
              <w:t xml:space="preserve">6.4 执行方法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9">
            <w:r>
              <w:t xml:space="preserve">附录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0">
            <w:r>
              <w:t xml:space="preserve">附录 A：演示账号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1">
            <w:r>
              <w:t xml:space="preserve">附录 B：项目目录结构（主要部分）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2">
            <w:r>
              <w:t xml:space="preserve">附录 C：已知限制（透明化说明）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2" w:id="2"/>
      <w:r>
        <w:t xml:space="preserve">一、作品概述</w:t>
      </w:r>
      <w:bookmarkEnd w:id="2"/>
    </w:p>
    <w:p>
      <w:pPr>
        <w:pStyle w:val="Heading2"/>
      </w:pPr>
      <w:bookmarkStart w:name="_Toc3" w:id="3"/>
      <w:r>
        <w:t xml:space="preserve">1.1 背景与意义</w:t>
      </w:r>
      <w:bookmarkEnd w:id="3"/>
    </w:p>
    <w:p>
      <w:pPr>
        <w:spacing w:after="120" w:line="320"/>
      </w:pPr>
      <w:r>
        <w:t xml:space="preserve">大学校园内二手交易需求旺盛——教材、自行车、数码设备、宿舍电器在毕业季与开学季高频流转。但现有渠道存在明显痛点：微信群/表白墙发布信息迅速沉底、难以检索；交易双方缺少真实身份与信誉背书；沟通靠私聊、成交靠运气，没有完整的“发布—沟通—成交—评价”闭环。</w:t>
      </w:r>
    </w:p>
    <w:p>
      <w:pPr>
        <w:spacing w:after="120" w:line="320"/>
      </w:pPr>
      <w:r>
        <w:t xml:space="preserve">「校园集市」面向大学校园场景，围绕“便捷发布、高效淘货、实时沟通、可信交易、社区治理”五个目标，提供覆盖完整交易链路的 Web 平台。</w:t>
      </w:r>
    </w:p>
    <w:p>
      <w:pPr>
        <w:pStyle w:val="Heading2"/>
      </w:pPr>
      <w:bookmarkStart w:name="_Toc4" w:id="4"/>
      <w:r>
        <w:t xml:space="preserve">1.2 作品定位与核心特色</w:t>
      </w:r>
      <w:bookmarkEnd w:id="4"/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实时沟通：买家与卖家在商品页一键发起会话，站内实时聊天支持消息回执、已读状态、“正在输入”提示与未读红点，沟通体验对齐成熟电商产品。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瀑布流淘货：首页采用图片瀑布流布局，商品图片按真实比例错落排布，滚动加载不抖动，浏览体验流畅自然。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可信交易：学生认证徽章、卖家信誉分（成交互评加权）、防刷评价机制共同构建信任体系。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社区治理：管理员后台提供认证审核、商品管理、用户封禁、举报处理与数据仪表盘，形成完整的平台治理闭环。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零外部依赖：全站在无 VPN 环境下完整可用，图片、字体、图标全部本地化。</w:t>
      </w:r>
    </w:p>
    <w:p>
      <w:pPr>
        <w:pStyle w:val="Heading2"/>
      </w:pPr>
      <w:bookmarkStart w:name="_Toc5" w:id="5"/>
      <w:r>
        <w:t xml:space="preserve">1.3 作品形态与交付物</w:t>
      </w:r>
      <w:bookmarkEnd w:id="5"/>
    </w:p>
    <w:p>
      <w:pPr>
        <w:spacing w:after="120" w:line="320"/>
      </w:pPr>
      <w:r>
        <w:t xml:space="preserve">本作品为可访问、可运行的 Web 应用：① 提供在线演示地址（见 3.1）；② 提供完整可运行的源代码与一键运行说明（见 3.2）；③ 本说明书包含系统说明、功能演示、界面截图、技术架构与测试说明。</w:t>
      </w:r>
    </w:p>
    <w:p>
      <w:r>
        <w:br w:type="page"/>
      </w:r>
    </w:p>
    <w:p>
      <w:pPr>
        <w:pStyle w:val="Heading1"/>
      </w:pPr>
      <w:bookmarkStart w:name="_Toc6" w:id="6"/>
      <w:r>
        <w:t xml:space="preserve">二、功能模块说明（含界面截图）</w:t>
      </w:r>
      <w:bookmarkEnd w:id="6"/>
    </w:p>
    <w:p>
      <w:pPr>
        <w:pStyle w:val="Heading2"/>
      </w:pPr>
      <w:bookmarkStart w:name="_Toc7" w:id="7"/>
      <w:r>
        <w:t xml:space="preserve">2.1 模块总览</w:t>
      </w:r>
      <w:bookmarkEnd w:id="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200"/>
        <w:gridCol w:w="2126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核心功能点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对应截图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商品交易闭环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发布（多图/分类/成色）、瀑布流浏览、搜索筛选排序、详情、状态机（在售→已预订→已售出/下架）、选买家成交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图 1–4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实时聊天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会话列表（未读红点）、实时消息、已读回执、正在输入、图片消息、断线重连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图 5–6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用户与认证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注册登录、学生认证（上传→管理员审核→徽章）、个人主页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图 7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发布与个人中心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发布商品、我的发布（状态操作）、我的收藏、浏览历史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图 8–9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管理后台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数据仪表盘、认证审核、商品管理、用户管理、举报处理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图 10–11</w:t>
            </w:r>
          </w:p>
        </w:tc>
      </w:tr>
    </w:tbl>
    <w:p>
      <w:pPr>
        <w:pStyle w:val="Heading2"/>
      </w:pPr>
      <w:bookmarkStart w:name="_Toc8" w:id="8"/>
      <w:r>
        <w:t xml:space="preserve">2.2 商品交易闭环</w:t>
      </w:r>
      <w:bookmarkEnd w:id="8"/>
    </w:p>
    <w:p>
      <w:pPr>
        <w:spacing w:after="120" w:line="320"/>
      </w:pPr>
      <w:r>
        <w:t xml:space="preserve">首页为图片瀑布流：商品封面按原始比例展示（服务端预置占位尺寸，加载全程零布局抖动），滚动自动加载下一页。顶栏提供全局搜索，分类胶囊条一键筛选，支持按最新、价格升降序排列。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5562600"/>
            <wp:effectExtent t="0" r="0" b="0" l="0"/>
            <wp:docPr id="1" name="首页瀑布流" descr="首页瀑布流" title="首页瀑布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C8AA0"/>
          <w:sz w:val="18"/>
          <w:szCs w:val="18"/>
        </w:rPr>
        <w:t xml:space="preserve">图 1  首页：商品瀑布流（在售/已预订商品，含认证徽章、价格、可小刀标记与楼栋地点）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24150"/>
            <wp:effectExtent t="0" r="0" b="0" l="0"/>
            <wp:docPr id="2" name="搜索结果" descr="搜索结果" title="搜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C8AA0"/>
          <w:sz w:val="18"/>
          <w:szCs w:val="18"/>
        </w:rPr>
        <w:t xml:space="preserve">图 2  关键词搜索：标题与描述全文匹配，结果即时呈现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24150"/>
            <wp:effectExtent t="0" r="0" b="0" l="0"/>
            <wp:docPr id="3" name="空状态" descr="空状态" title="空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C8AA0"/>
          <w:sz w:val="18"/>
          <w:szCs w:val="18"/>
        </w:rPr>
        <w:t xml:space="preserve">图 3  空结果状态：已售出商品不再出现在公开列表（示例商品已成交，搜索正确返回空态并引导发布）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143250"/>
            <wp:effectExtent t="0" r="0" b="0" l="0"/>
            <wp:docPr id="4" name="商品详情" descr="商品详情" title="商品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C8AA0"/>
          <w:sz w:val="18"/>
          <w:szCs w:val="18"/>
        </w:rPr>
        <w:t xml:space="preserve">图 4  商品详情：图片轮播、价格与成色信息、卖家卡片（认证徽章/信誉分/成交数）、收藏与聊天入口、公开留言区</w:t>
      </w:r>
    </w:p>
    <w:p>
      <w:pPr>
        <w:pStyle w:val="Heading2"/>
      </w:pPr>
      <w:bookmarkStart w:name="_Toc9" w:id="9"/>
      <w:r>
        <w:t xml:space="preserve">2.3 实时聊天</w:t>
      </w:r>
      <w:bookmarkEnd w:id="9"/>
    </w:p>
    <w:p>
      <w:pPr>
        <w:spacing w:after="120" w:line="320"/>
      </w:pPr>
      <w:r>
        <w:t xml:space="preserve">聊天为站内实时通信：同一买家与同一商品自动归入唯一会话；会话列表按最新消息排序并显示未读数；进入会话即自动标记已读，发送方可见“已读/未读”回执；对方输入时出现“正在输入…”提示；支持发送图片核对商品成色；网络中断后自动重连并补齐遗漏消息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24150"/>
            <wp:effectExtent t="0" r="0" b="0" l="0"/>
            <wp:docPr id="5" name="会话列表" descr="会话列表" title="会话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C8AA0"/>
          <w:sz w:val="18"/>
          <w:szCs w:val="18"/>
        </w:rPr>
        <w:t xml:space="preserve">图 5  消息列表：未读红点、最后一条消息预览、关联商品信息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24150"/>
            <wp:effectExtent t="0" r="0" b="0" l="0"/>
            <wp:docPr id="6" name="聊天窗口" descr="聊天窗口" title="聊天窗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C8AA0"/>
          <w:sz w:val="18"/>
          <w:szCs w:val="18"/>
        </w:rPr>
        <w:t xml:space="preserve">图 6  聊天窗口：气泡消息、商品信息条、在线状态、已读标记（种子数据含完整砍价对话示例）</w:t>
      </w:r>
    </w:p>
    <w:p>
      <w:pPr>
        <w:pStyle w:val="Heading2"/>
      </w:pPr>
      <w:bookmarkStart w:name="_Toc10" w:id="10"/>
      <w:r>
        <w:t xml:space="preserve">2.4 用户与认证</w:t>
      </w:r>
      <w:bookmarkEnd w:id="10"/>
    </w:p>
    <w:p>
      <w:pPr>
        <w:spacing w:after="120" w:line="320"/>
      </w:pPr>
      <w:r>
        <w:t xml:space="preserve">支持邮箱注册与登录；登录失败统一提示防止账号探测；登录后可在个人中心提交学号与学生证照片申请学生认证，管理员审核通过后全站展示“已认证”徽章。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24150"/>
            <wp:effectExtent t="0" r="0" b="0" l="0"/>
            <wp:docPr id="7" name="登录页面" descr="登录页面" title="登录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C8AA0"/>
          <w:sz w:val="18"/>
          <w:szCs w:val="18"/>
        </w:rPr>
        <w:t xml:space="preserve">图 7  登录页面（演示账号见附录 A）</w:t>
      </w:r>
    </w:p>
    <w:p>
      <w:pPr>
        <w:pStyle w:val="Heading2"/>
      </w:pPr>
      <w:bookmarkStart w:name="_Toc11" w:id="11"/>
      <w:r>
        <w:t xml:space="preserve">2.5 商品发布与个人中心</w:t>
      </w:r>
      <w:bookmarkEnd w:id="11"/>
    </w:p>
    <w:p>
      <w:pPr>
        <w:spacing w:after="120" w:line="320"/>
      </w:pPr>
      <w:r>
        <w:t xml:space="preserve">发布页支持 1–9 张图片上传（自动转 WebP 并记录尺寸）、分类/成色/交易地点选择。个人中心聚合“我的发布（含预订/下架/标记已售等状态操作）、我的收藏、浏览历史”三个面板。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924175"/>
            <wp:effectExtent t="0" r="0" b="0" l="0"/>
            <wp:docPr id="8" name="发布页面" descr="发布页面" title="发布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C8AA0"/>
          <w:sz w:val="18"/>
          <w:szCs w:val="18"/>
        </w:rPr>
        <w:t xml:space="preserve">图 8  发布商品：多图上传、价格（可小刀）、分类与成色、交易地点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24150"/>
            <wp:effectExtent t="0" r="0" b="0" l="0"/>
            <wp:docPr id="9" name="个人中心" descr="个人中心" title="个人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C8AA0"/>
          <w:sz w:val="18"/>
          <w:szCs w:val="18"/>
        </w:rPr>
        <w:t xml:space="preserve">图 9  个人中心：我的发布（状态徽标与操作按钮：标记已预订/下架/标记已售等）</w:t>
      </w:r>
    </w:p>
    <w:p>
      <w:pPr>
        <w:pStyle w:val="Heading2"/>
      </w:pPr>
      <w:bookmarkStart w:name="_Toc12" w:id="12"/>
      <w:r>
        <w:t xml:space="preserve">2.6 管理后台</w:t>
      </w:r>
      <w:bookmarkEnd w:id="12"/>
    </w:p>
    <w:p>
      <w:pPr>
        <w:spacing w:after="120" w:line="320"/>
      </w:pPr>
      <w:r>
        <w:t xml:space="preserve">管理员后台包含五个板块：数据仪表盘（用户、商品、消息、待办统计与近 7 天趋势图）、认证审核、商品管理、用户管理、举报处理。核心治理操作均记录可追溯，管理员账号受防自锁保护。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24150"/>
            <wp:effectExtent t="0" r="0" b="0" l="0"/>
            <wp:docPr id="10" name="后台仪表盘" descr="后台仪表盘" title="后台仪表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C8AA0"/>
          <w:sz w:val="18"/>
          <w:szCs w:val="18"/>
        </w:rPr>
        <w:t xml:space="preserve">图 10  管理后台：仪表盘（统计卡片 + 近 7 天新增趋势迷你柱状图，零图表依赖）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724150"/>
            <wp:effectExtent t="0" r="0" b="0" l="0"/>
            <wp:docPr id="11" name="认证审核" descr="认证审核" title="认证审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7C8AA0"/>
          <w:sz w:val="18"/>
          <w:szCs w:val="18"/>
        </w:rPr>
        <w:t xml:space="preserve">图 11  认证审核：待审核申请（学生证预览 / 通过 / 驳回并填写理由）</w:t>
      </w:r>
    </w:p>
    <w:p>
      <w:r>
        <w:br w:type="page"/>
      </w:r>
    </w:p>
    <w:p>
      <w:pPr>
        <w:pStyle w:val="Heading1"/>
      </w:pPr>
      <w:bookmarkStart w:name="_Toc13" w:id="13"/>
      <w:r>
        <w:t xml:space="preserve">三、运行环境与使用说明</w:t>
      </w:r>
      <w:bookmarkEnd w:id="13"/>
    </w:p>
    <w:p>
      <w:pPr>
        <w:pStyle w:val="Heading2"/>
      </w:pPr>
      <w:bookmarkStart w:name="_Toc14" w:id="14"/>
      <w:r>
        <w:t xml:space="preserve">3.1 在线演示</w:t>
      </w:r>
      <w:bookmarkEnd w:id="14"/>
    </w:p>
    <w:p>
      <w:pPr>
        <w:spacing w:after="120" w:line="320"/>
      </w:pPr>
      <w:r>
        <w:t xml:space="preserve">在线演示地址：https://praise-eugene-analytical-horn.trycloudflare.com（演示期间有效；若无法访问，请按 3.2 在本地一键运行，功能完全一致）。</w:t>
      </w:r>
    </w:p>
    <w:p>
      <w:pPr>
        <w:pStyle w:val="Heading2"/>
      </w:pPr>
      <w:bookmarkStart w:name="_Toc15" w:id="15"/>
      <w:r>
        <w:t xml:space="preserve">3.2 本地一键运行（可运行版本）</w:t>
      </w:r>
      <w:bookmarkEnd w:id="15"/>
    </w:p>
    <w:p>
      <w:pPr>
        <w:spacing w:after="120" w:line="320"/>
      </w:pPr>
      <w:r>
        <w:t xml:space="preserve">运行环境要求：Node.js ≥ 20，npm；无需 VPN，无需外部数据库（内置 SQLite），Windows / macOS / Linux 均可。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获取源码：git clone https://github.com/h8t4mb6kkd-netizen/campus-market（或 GitHub 页面下载 ZIP 解压）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一键初始化：npm run setup  —— 自动安装依赖、初始化数据库并灌入演示数据（33 件商品、5 个演示账号、历史会话等）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启动：npm run dev —— 访问 http://localhost:3000 即可使用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运行测试：npm test —— 全部 159 项自动化测试约 1 分钟跑完</w:t>
      </w:r>
    </w:p>
    <w:p>
      <w:pPr>
        <w:pStyle w:val="Heading2"/>
      </w:pPr>
      <w:bookmarkStart w:name="_Toc16" w:id="16"/>
      <w:r>
        <w:t xml:space="preserve">3.3 演示账号</w:t>
      </w:r>
      <w:bookmarkEnd w:id="1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账号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admin@campus.dev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管理员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可进入 /admin 管理后台（全部五个板块）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xiaolu@campus.dev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认证学生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有在售商品、收藏、历史与聊天会话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azhe@campus.dev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认证学生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有在售商品；与 xiaolu 存在历史会话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taozi@campus.dev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未认证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已提交待审核的学生认证申请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doudou@campus.dev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未认证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已提交待审核的学生认证申请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（统一密码）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demo1234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——</w:t>
            </w:r>
          </w:p>
        </w:tc>
      </w:tr>
    </w:tbl>
    <w:p>
      <w:pPr>
        <w:spacing w:after="120" w:line="320"/>
      </w:pPr>
      <w:r>
        <w:t xml:space="preserve">推荐体验路径：① 用 xiaolu 登录浏览首页与商品详情；② 打开一个会话体验实时聊天；③ 用 admin 登录查看管理后台与认证审核。</w:t>
      </w:r>
    </w:p>
    <w:p>
      <w:r>
        <w:br w:type="page"/>
      </w:r>
    </w:p>
    <w:p>
      <w:pPr>
        <w:pStyle w:val="Heading1"/>
      </w:pPr>
      <w:bookmarkStart w:name="_Toc17" w:id="17"/>
      <w:r>
        <w:t xml:space="preserve">四、技术架构</w:t>
      </w:r>
      <w:bookmarkEnd w:id="17"/>
    </w:p>
    <w:p>
      <w:pPr>
        <w:pStyle w:val="Heading2"/>
      </w:pPr>
      <w:bookmarkStart w:name="_Toc18" w:id="18"/>
      <w:r>
        <w:t xml:space="preserve">4.1 总体架构</w:t>
      </w:r>
      <w:bookmarkEnd w:id="18"/>
    </w:p>
    <w:p>
      <w:pPr>
        <w:spacing w:after="120" w:line="320"/>
      </w:pPr>
      <w:r>
        <w:t xml:space="preserve">系统采用 Next.js 自定义服务器（server.ts）单进程架构：页面渲染、REST API 与 Socket.IO 实时层运行在同一 Node 进程中，共享同一套会话鉴权与数据访问层；数据持久化使用 Prisma + SQLite（部署时可无缝切换 PostgreSQL）；上传图片经 sharp 转码为 WebP 后存储于本地磁盘（经存储接口抽象，可切换对象存储）。</w:t>
      </w:r>
    </w:p>
    <w:p>
      <w:pPr>
        <w:spacing w:after="120" w:line="320"/>
      </w:pPr>
      <w:r>
        <w:t xml:space="preserve">架构要点：浏览器与服务器之间同时存在两条通道——HTTP/RSC 通道承载页面与数据请求，WebSocket 通道承载实时聊天；两条通道复用同一套登录会话（Cookie），无需第二套鉴权体系。</w:t>
      </w:r>
    </w:p>
    <w:p>
      <w:pPr>
        <w:pStyle w:val="Heading2"/>
      </w:pPr>
      <w:bookmarkStart w:name="_Toc19" w:id="19"/>
      <w:r>
        <w:t xml:space="preserve">4.2 技术选型</w:t>
      </w:r>
      <w:bookmarkEnd w:id="19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层次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选型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框架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Next.js（App Router）+ TypeScript strict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服务端组件直连数据库，首屏快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Socket.IO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房间、消息回执、自动重连开箱即用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Prisma ORM + SQLite / PostgreSQL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开发零配置，部署一键切换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鉴权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手写会话（bcrypt + HttpOnly Cookie）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库内只存令牌哈希，与实时层共享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校验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Zod（前后端共享 Schema）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一处定义两端复用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图片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sharp（转 WebP + 读取尺寸）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不信任客户端声明，服务端实解码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测试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Vitest（单元 + 集成 + 实时层端到端）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bookmarkStart w:name="_Toc20" w:id="20"/>
      <w:r>
        <w:t xml:space="preserve">4.3 数据模型（12 张表）</w:t>
      </w:r>
      <w:bookmarkEnd w:id="2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数据表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/ Session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用户主体（含信誉统计冗余）、登录会话（只存令牌哈希）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VerificationRequest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学生认证申请（待审/通过/驳回）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 / ItemImage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商品（价格以“分”存储、状态机）、商品图片（含宽高像素用于瀑布流占位）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Conversation / Message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会话（商品×买家唯一）、消息（含幂等标识与已读时间）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Favorite / ViewHistory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收藏、浏览历史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 / Review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公开留言、成交互评（每人每单一次）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举报（商品/用户）</w:t>
            </w:r>
          </w:p>
        </w:tc>
      </w:tr>
    </w:tbl>
    <w:p>
      <w:pPr>
        <w:pStyle w:val="Heading2"/>
      </w:pPr>
      <w:bookmarkStart w:name="_Toc21" w:id="21"/>
      <w:r>
        <w:t xml:space="preserve">4.4 实时聊天核心设计：一条消息的旅程</w:t>
      </w:r>
      <w:bookmarkEnd w:id="21"/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发送方界面乐观渲染新消息（半透明），输入感受“零延迟”；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消息经 WebSocket 上行（携带幂等标识 clientId）；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服务端核验身份（连接建立时已用登录会话完成握手鉴权）与会话参与者资格，先写数据库；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写库成功返回回执，乐观消息替换为真实记录（失败标红可一键重发）；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服务端向对方的用户房间广播新消息，未读红点实时更新；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对方打开会话即回执已读，发送方实时看到“已读”；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断线重连后按最后消息时间戳拉取增量，消息一条不丢。</w:t>
      </w:r>
    </w:p>
    <w:p>
      <w:pPr>
        <w:pStyle w:val="Heading2"/>
      </w:pPr>
      <w:bookmarkStart w:name="_Toc22" w:id="22"/>
      <w:r>
        <w:t xml:space="preserve">4.5 关键技术亮点</w:t>
      </w:r>
      <w:bookmarkEnd w:id="22"/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瀑布流零抖动：上传时记录图片像素宽高，服务端渲染时按真实比例预置占位，配合贪心分列算法，滚动加载不重排、不闪动。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消息幂等：每条消息携带唯一标识，网络重试不会产生重复消息。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信誉分防刷：每个成交每人仅可评价一次（数据库唯一约束），信誉分由聚合重算而非增量累加，无法通过并发刷分。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安全设计：密码 bcrypt 哈希、登录失败统一文案防账号探测、会话令牌仅存哈希、写操作同源校验、上传文件服务端实解码校验。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金额精确：价格以“分”为整数存储，杜绝浮点误差。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零外部依赖：无 CDN、无外部字体、无第三方统计，全站在无 VPN 环境完整运行。</w:t>
      </w:r>
    </w:p>
    <w:p>
      <w:pPr>
        <w:pStyle w:val="Heading1"/>
      </w:pPr>
      <w:bookmarkStart w:name="_Toc23" w:id="23"/>
      <w:r>
        <w:t xml:space="preserve">五、功能演示说明</w:t>
      </w:r>
      <w:bookmarkEnd w:id="23"/>
    </w:p>
    <w:p>
      <w:pPr>
        <w:spacing w:after="120" w:line="320"/>
      </w:pPr>
      <w:r>
        <w:t xml:space="preserve">推荐演示路线（约 6 分钟，可作为演示视频脚本）：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（0:00–0:40）首页瀑布流：滚动浏览商品，展示分类筛选与搜索（如搜索“数据结构”）。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（0:40–1:20）商品详情：图片轮播、卖家信誉、公开留言；进入发布页展示多图发布流程。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（1:20–2:40）实时聊天（重点）：两个浏览器窗口（或普通＋隐身）分别登录 xiaolu 与 azhe，从商品页发起会话，演示消息实时到达、已读回执、“正在输入”与未读红点。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（2:40–3:30）成交闭环：在“我的发布”中将商品标记已售（选择买家），双方互评并观察信誉分更新。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（3:30–4:30）认证与社交：提交学生认证申请；展示收藏、浏览历史与用户主页。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（4:30–5:30）管理后台：用 admin 登录，演示仪表盘、认证审核通过/驳回、举报处理与用户封禁。</w:t>
      </w:r>
    </w:p>
    <w:p>
      <w:pPr>
        <w:spacing w:after="120" w:line="320"/>
      </w:pPr>
      <w:r>
        <w:t xml:space="preserve">演示准备：提前执行 npm run setup 灌入演示数据；双窗口聊天需准备两个浏览器窗口（一个普通窗口、一个隐私窗口）分别登录两个演示账号。</w:t>
      </w:r>
    </w:p>
    <w:p>
      <w:pPr>
        <w:pStyle w:val="Heading1"/>
      </w:pPr>
      <w:bookmarkStart w:name="_Toc24" w:id="24"/>
      <w:r>
        <w:t xml:space="preserve">六、测试说明</w:t>
      </w:r>
      <w:bookmarkEnd w:id="24"/>
    </w:p>
    <w:p>
      <w:pPr>
        <w:pStyle w:val="Heading2"/>
      </w:pPr>
      <w:bookmarkStart w:name="_Toc25" w:id="25"/>
      <w:r>
        <w:t xml:space="preserve">6.1 测试策略</w:t>
      </w:r>
      <w:bookmarkEnd w:id="25"/>
    </w:p>
    <w:p>
      <w:pPr>
        <w:spacing w:after="120" w:line="320"/>
      </w:pPr>
      <w:r>
        <w:t xml:space="preserve">项目采用测试驱动开发（TDD）：每个功能先编写失败测试，再实现使其通过。测试分四个层次：纯函数单元测试（价格格式化、状态机、瀑布流分列等）、数据层测试（数据库约束与关联）、API 集成测试（直接调用路由处理器 against 独立测试库）、实时层端到端测试（启动真实服务器，用 Socket.IO 客户端验证握手鉴权、消息收发、幂等重发、已读回执与输入提示）。</w:t>
      </w:r>
    </w:p>
    <w:p>
      <w:pPr>
        <w:pStyle w:val="Heading2"/>
      </w:pPr>
      <w:bookmarkStart w:name="_Toc26" w:id="26"/>
      <w:r>
        <w:t xml:space="preserve">6.2 测试规模</w:t>
      </w:r>
      <w:bookmarkEnd w:id="26"/>
    </w:p>
    <w:p>
      <w:pPr>
        <w:spacing w:after="120" w:line="320"/>
      </w:pPr>
      <w:r>
        <w:t xml:space="preserve">共 31 个测试文件、159 项自动化测试，全部通过（npm test 一键运行，约 1 分钟）。分布如下：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测试类别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数量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覆盖内容示例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60+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价格格式化、状态机全真值表、瀑布流分列、会话生命周期、输入校验边界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集成测试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70+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注册/登录/防枚举、发布/编辑/状态流转、收藏幂等、评价防重复、举报防刷、后台治理权限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组件测试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20+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商品卡、聊天按钮、表单、XSS 转义、无障碍属性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实时层端到端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握手鉴权、越权拦截、消息落库与实时送达、幂等重发、已读回执、输入提示</w:t>
            </w:r>
          </w:p>
        </w:tc>
      </w:tr>
    </w:tbl>
    <w:p>
      <w:pPr>
        <w:pStyle w:val="Heading2"/>
      </w:pPr>
      <w:bookmarkStart w:name="_Toc27" w:id="27"/>
      <w:r>
        <w:t xml:space="preserve">6.3 关键场景测试（节选）</w:t>
      </w:r>
      <w:bookmarkEnd w:id="2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预期行为（已测试）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重复点击收藏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请求幂等，计数不重复累加，不产生服务器错误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并发重复注册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唯一约束冲突被捕获并返回 409 提示，而非 500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同一成交重复评价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第二次提交被拒绝（409），信誉分不可刷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非参与者访问会话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一律返回 404，不泄露会话是否存在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对已售商品再次编辑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拒绝（403），已售商品不可修改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管理员封禁自己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拒绝（403），防止管理权限自锁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留言中的 HTML 内容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按纯文本渲染，不产生可执行节点（XSS 防护）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恶意上传（伪装图片）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服务端实际解码校验失败并返回 400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会话令牌泄露风险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数据库仅存令牌哈希，明文令牌不落库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非法时间参数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返回 400 校验错误，而非服务器错误</w:t>
            </w:r>
          </w:p>
        </w:tc>
      </w:tr>
    </w:tbl>
    <w:p>
      <w:pPr>
        <w:pStyle w:val="Heading2"/>
      </w:pPr>
      <w:bookmarkStart w:name="_Toc28" w:id="28"/>
      <w:r>
        <w:t xml:space="preserve">6.4 执行方法</w:t>
      </w:r>
      <w:bookmarkEnd w:id="28"/>
    </w:p>
    <w:p>
      <w:pPr>
        <w:spacing w:after="120" w:line="320"/>
      </w:pPr>
      <w:r>
        <w:t xml:space="preserve">在项目根目录执行 npm test，输出包含全部测试文件与用例的通过情况（Test Files 31 passed / Tests 159 passed）。</w:t>
      </w:r>
    </w:p>
    <w:p>
      <w:r>
        <w:br w:type="page"/>
      </w:r>
    </w:p>
    <w:p>
      <w:pPr>
        <w:pStyle w:val="Heading1"/>
      </w:pPr>
      <w:bookmarkStart w:name="_Toc29" w:id="29"/>
      <w:r>
        <w:t xml:space="preserve">附录</w:t>
      </w:r>
      <w:bookmarkEnd w:id="29"/>
    </w:p>
    <w:p>
      <w:pPr>
        <w:pStyle w:val="Heading2"/>
      </w:pPr>
      <w:bookmarkStart w:name="_Toc30" w:id="30"/>
      <w:r>
        <w:t xml:space="preserve">附录 A：演示账号</w:t>
      </w:r>
      <w:bookmarkEnd w:id="30"/>
    </w:p>
    <w:p>
      <w:pPr>
        <w:spacing w:after="120" w:line="320"/>
      </w:pPr>
      <w:r>
        <w:t xml:space="preserve">见 3.3 节表格，统一密码 demo1234。</w:t>
      </w:r>
    </w:p>
    <w:p>
      <w:pPr>
        <w:pStyle w:val="Heading2"/>
      </w:pPr>
      <w:bookmarkStart w:name="_Toc31" w:id="31"/>
      <w:r>
        <w:t xml:space="preserve">附录 B：项目目录结构（主要部分）</w:t>
      </w:r>
      <w:bookmarkEnd w:id="31"/>
    </w:p>
    <w:p>
      <w:pPr>
        <w:spacing w:after="60" w:line="30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server.ts（Next.js 与 Socket.IO 同进程服务器）</w:t>
      </w:r>
    </w:p>
    <w:p>
      <w:pPr>
        <w:spacing w:after="60" w:line="30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prisma/（数据模型 12 表、迁移、演示数据种子脚本）</w:t>
      </w:r>
    </w:p>
    <w:p>
      <w:pPr>
        <w:spacing w:after="60" w:line="30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src/app/（页面：首页/商品/发布/聊天/个人中心/认证/后台）与 src/app/api/（REST 接口）</w:t>
      </w:r>
    </w:p>
    <w:p>
      <w:pPr>
        <w:spacing w:after="60" w:line="30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src/lib/（认证、实时层、存储、状态机、校验、查询等核心库）</w:t>
      </w:r>
    </w:p>
    <w:p>
      <w:pPr>
        <w:spacing w:after="60" w:line="30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src/components/（设计系统组件与业务组件）</w:t>
      </w:r>
    </w:p>
    <w:p>
      <w:pPr>
        <w:spacing w:after="60" w:line="30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tests/（159 项自动化测试：单元/集成/组件/实时层）</w:t>
      </w:r>
    </w:p>
    <w:p>
      <w:pPr>
        <w:spacing w:after="60" w:line="30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docs/superpowers/（设计文档与实现计划，完整记录工程过程）</w:t>
      </w:r>
    </w:p>
    <w:p>
      <w:pPr>
        <w:pStyle w:val="Heading2"/>
      </w:pPr>
      <w:bookmarkStart w:name="_Toc32" w:id="32"/>
      <w:r>
        <w:t xml:space="preserve">附录 C：已知限制（透明化说明）</w:t>
      </w:r>
      <w:bookmarkEnd w:id="32"/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在线演示版本部署于免费隧道服务，链接有效期以演示期间为准；正式长期演示建议部署至固定服务器（源码与部署脚本已就绪）。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演示版数据在服务重启后自动重置为初始演示数据，上传图片不跨重启保留。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全文搜索为 SQLite 实现，数据量增大后可升级为 PostgreSQL 全文检索。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会话列表与消息增量设有容量上限（50 / 200 条），校园规模下足够。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—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0B7D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5124f8cab92610fd2c6cc4526768a59d47e8f60.png"/><Relationship Id="rId9" Type="http://schemas.openxmlformats.org/officeDocument/2006/relationships/image" Target="media/399d270f8dbc11b03414c049a80143692a6ccefb.png"/><Relationship Id="rId10" Type="http://schemas.openxmlformats.org/officeDocument/2006/relationships/image" Target="media/a360db115104aef3baa4b0ae6b6c6f6c44dc1bcc.png"/><Relationship Id="rId11" Type="http://schemas.openxmlformats.org/officeDocument/2006/relationships/image" Target="media/e5b4cb66ed9081061a029eb1ebd9b48df31a522b.png"/><Relationship Id="rId12" Type="http://schemas.openxmlformats.org/officeDocument/2006/relationships/image" Target="media/8c08b6f0288fce888f4581ee6a19eaa21493dc1d.png"/><Relationship Id="rId13" Type="http://schemas.openxmlformats.org/officeDocument/2006/relationships/image" Target="media/fa073b8c214c402928b5d2a1c210d52e98e29fab.png"/><Relationship Id="rId14" Type="http://schemas.openxmlformats.org/officeDocument/2006/relationships/image" Target="media/5ab0918b6440ea0e35360b30d8a72d8518879ad8.png"/><Relationship Id="rId15" Type="http://schemas.openxmlformats.org/officeDocument/2006/relationships/image" Target="media/f00137ec05ba3bc8a64265cfeed0b139ecb2d164.png"/><Relationship Id="rId16" Type="http://schemas.openxmlformats.org/officeDocument/2006/relationships/image" Target="media/eb904c754a2c3f2ac16cb5b2bc86e112e4390bfe.png"/><Relationship Id="rId17" Type="http://schemas.openxmlformats.org/officeDocument/2006/relationships/image" Target="media/3d6cc0ddc81d9c42918c5c8dc92eea46e6a5236f.png"/><Relationship Id="rId18" Type="http://schemas.openxmlformats.org/officeDocument/2006/relationships/image" Target="media/446778333ba940917a2fbc8e9a15093740a9583a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2026-10-16T15:14:19.110Z</dcterms:created>
  <dcterms:modified xsi:type="dcterms:W3CDTF">2026-10-16T15:14:19.111Z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