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jc w:val="center"/>
      </w:pPr>
      <w:r>
        <w:rPr>
          <w:b/>
        </w:rPr>
        <w:t>Discursive Dynamics of Climate Change in South Korea after the Paris Agreement: A Focus on YouTube Videos, Comments, and Actor Networks</w:t>
      </w:r>
    </w:p>
    <w:p>
      <w:pPr>
        <w:jc w:val="right"/>
      </w:pPr>
      <w:r>
        <w:rPr>
          <w:b/>
        </w:rPr>
        <w:t>Jeonghyeon Park</w:t>
      </w:r>
    </w:p>
    <w:p/>
    <w:p>
      <w:r>
        <w:rPr>
          <w:b/>
        </w:rPr>
        <w:t>1. Introduction</w:t>
      </w:r>
    </w:p>
    <w:p>
      <w:r>
        <w:t>Climate change does not automatically generate social consensus once scientific facts are presented. It is an environmental risk issue whose meaning is continuously renegotiated in public arenas where responsibility, justice, transition costs, and everyday experiences are contested. For that reason, climate discourse should be understood not as a simple distribution of information, but as a socially constructed field in which meanings, emotions, and political alignments are repeatedly reorganized (Beck, 1992; Hilgartner &amp; Bosk, 1988).</w:t>
      </w:r>
    </w:p>
    <w:p>
      <w:r>
        <w:t>This project begins in 2015 because the Paris Agreement established a new institutional reference point for climate politics. At the same time, it distinguishes 2020 as the threshold of a fuller implementation phase. Conceptually, this is the period that the Korean title describes as the “new climate regime”: a post-Paris order shaped by carbon-neutrality agendas, climate-crisis framing, the expanding role of non-state actors, debates over just transition, and the persistent instability of international cooperation. The distinction between 2015 and 2020 therefore matters analytically, because it allows the study to compare a phase of transition and expectation with a phase of implementation, adjustment, and contestation.</w:t>
      </w:r>
    </w:p>
    <w:p>
      <w:r>
        <w:t>On that basis, the study organizes the data in two broad periods, 2015-2019 and 2020-2026, while also comparing major event phases inside each period. These include the 2016 entry into force of the Paris Agreement, the 2017 U.S. withdrawal announcement, the 2021 U.S. re-entry, COP meetings, IPCC assessment outputs, NDC revisions, major climate disasters, and major policy or political events in South Korea. The aim is not merely to identify recurring themes, but to explain how discursive patterns move and are reassembled as political and environmental conditions shift.</w:t>
      </w:r>
    </w:p>
    <w:p>
      <w:r>
        <w:t>YouTube serves as a defensible starting point for this project because climate-related video messages and public comment responses accumulate on the same platform. Prior work shows both that YouTube is an important site of climate communication and distorted content, and that post-video discussion can be treated as a distinct analytical layer (Allgaier, 2019; Shapiro &amp; Park, 2018). Although exposure is shaped by recommendation and personalization, the publicly searchable layer still makes it possible to build a comparatively reproducible longitudinal dataset. This project therefore focuses on Korean-language climate-related YouTube materials that are substantively connected to South Korean channels, audiences, or issues. Prior Korean studies have examined the topic structure and terminology of climate-related YouTube content in South Korea (Lim et al., 2021; Lim, 2023).</w:t>
      </w:r>
    </w:p>
    <w:p/>
    <w:p>
      <w:r>
        <w:rPr>
          <w:b/>
        </w:rPr>
        <w:t>2. Research Objectives</w:t>
      </w:r>
    </w:p>
    <w:p>
      <w:r>
        <w:t>The study aims to explain the discursive dynamics of climate change in South Korea by integrating three analytical layers: expression in videos, reaction in comments, and clustering in actor networks. More specifically, it traces how topics and frames shift over time, how sentiments and attitudes are redistributed across event phases, and how channel-centered networks form, persist, or reorganize. Rather than offering a static description of online discourse, the project seeks to show how the post-Paris climate-governance order is interpreted, contested, and sustained in South Korean public communication.</w:t>
      </w:r>
    </w:p>
    <w:p/>
    <w:p>
      <w:r>
        <w:rPr>
          <w:b/>
        </w:rPr>
        <w:t>3. Research Questions</w:t>
      </w:r>
    </w:p>
    <w:p>
      <w:r>
        <w:t>To achieve these objectives, the study addresses the following questions:</w:t>
      </w:r>
    </w:p>
    <w:p>
      <w:r>
        <w:t>RQ1. What topics and frames emerge in South Korean YouTube videos and comments on climate change, and how do they change across the periods 2015-2019 and 2020-2026 as well as around major event phases?</w:t>
      </w:r>
    </w:p>
    <w:p>
      <w:r>
        <w:t>RQ2. How do comment responses vary in sentiment and attitude, and how do acceptance, skepticism, responsibility attribution, policy support or opposition, and delay justification shift across topics and phases?</w:t>
      </w:r>
    </w:p>
    <w:p>
      <w:r>
        <w:t>RQ3. How do commenter-creator networks change over time, which channels or actor clusters become central in particular discursive phases, and what do these shifts suggest about the vulnerabilities and sustaining conditions of climate politics after the Paris Agreement?</w:t>
      </w:r>
    </w:p>
    <w:p/>
    <w:p>
      <w:r>
        <w:rPr>
          <w:b/>
        </w:rPr>
        <w:t>4. Research Methods</w:t>
      </w:r>
    </w:p>
    <w:p>
      <w:r>
        <w:t>The project combines reproducible data collection with descriptive statistics, topic analysis, sentiment and attitude analysis, and actor-network analysis. These components are not treated as separate exercises. Instead, they are read on the same temporal axis so that changes in topics, changes in comment responses, and changes in network configurations can be interpreted together. Depending on corpus size and classification fit, supervised and unsupervised methods will be combined where appropriate.</w:t>
      </w:r>
    </w:p>
    <w:p/>
    <w:p>
      <w:r>
        <w:rPr>
          <w:b/>
        </w:rPr>
        <w:t>4.1 Data Collection</w:t>
      </w:r>
    </w:p>
    <w:p>
      <w:r>
        <w:t>Data will be collected from the publicly searchable area of YouTube through the official YouTube API for the period from December 12, 2015 to January 27, 2026. The units of analysis are videos, channels, comments and replies, and commenter-creator ties. Videos will be organized with titles, descriptions, tags, captions or transcripts, and engagement indicators, while comment data will include text, timestamps, and participation measures. Korean-language content tied to South Korean channels, audiences, or policy contexts will define the operational scope of the corpus.</w:t>
      </w:r>
    </w:p>
    <w:p>
      <w:r>
        <w:t>To improve reproducibility, the project will document collection dates, query terms, sorting conditions, temporal batching rules, responses to result caps, and procedures for missing or unavailable data. Monthly collection will serve as the default strategy, with finer segmentation in periods of heavy volume. The limits of a search-based design, especially its incomplete access to personalized recommendation exposure, will be stated explicitly. Identifiers will be pseudonymized, direct quotation will be minimized, and the need for IRB or equivalent institutional review will be checked before full-scale analysis (Franzke et al., 2020).</w:t>
      </w:r>
    </w:p>
    <w:p/>
    <w:p>
      <w:r>
        <w:rPr>
          <w:b/>
        </w:rPr>
        <w:t>4.2 Topic and Frame Analysis</w:t>
      </w:r>
    </w:p>
    <w:p>
      <w:r>
        <w:t>Topic and frame analysis will be applied to both video texts and comment texts in order to identify major discursive clusters and to compare how their salience changes over time. This step will trace shifts in themes such as climate crisis, carbon neutrality, energy transition, cost burdens, responsibility attribution, and trust in science. Probabilistic topic models and related clustering approaches will be compared, with interpretation guided by representativeness and readability rather than model output alone (Blei et al., 2003). The goal is to show when specific discursive formations become central and how they are reorganized across event phases.</w:t>
      </w:r>
    </w:p>
    <w:p/>
    <w:p>
      <w:r>
        <w:rPr>
          <w:b/>
        </w:rPr>
        <w:t>4.3 Sentiment and Attitude Analysis</w:t>
      </w:r>
    </w:p>
    <w:p>
      <w:r>
        <w:t>Sentiment and attitude analysis will focus primarily on comments. The study distinguishes emotional tones such as anger, anxiety, cynicism, ridicule, and hope from argumentative positions such as scientific acceptance or skepticism, responsibility attribution, policy support or opposition, and delay justification. Dictionary-based methods, supervised classifiers, and manual validation will be combined where useful (Pang &amp; Lee, 2008). This allows the project to examine not only whether specific topics attract attention, but also how they are received and what kinds of response structures intensify or weaken in particular periods.</w:t>
      </w:r>
    </w:p>
    <w:p/>
    <w:p>
      <w:r>
        <w:rPr>
          <w:b/>
        </w:rPr>
        <w:t>4.4 Actor Network Analysis</w:t>
      </w:r>
    </w:p>
    <w:p>
      <w:r>
        <w:t>Actor-network analysis will begin with a bipartite commenter-creator network derived from comment participation. This makes it possible to identify which channels repeatedly attract concentrated responses and which participant clusters are assembled around them. When analytically useful, supplementary indicators such as channel-to-channel connections or co-reference structures in text can also be examined. Centrality measures and community-detection techniques will be used to relate network reconfiguration to topic composition and sentiment-attitude distributions over time (Newman, 2010; Traag et al., 2019).</w:t>
      </w:r>
    </w:p>
    <w:p/>
    <w:p>
      <w:r>
        <w:rPr>
          <w:b/>
        </w:rPr>
        <w:t>5. Expected Outcomes and Implications</w:t>
      </w:r>
    </w:p>
    <w:p>
      <w:r>
        <w:t>Academically, the project will provide an integrated account of topic change, comment response, and actor-network reconfiguration in South Korean climate communication after the Paris Agreement. It extends environmental-sociological concerns with the social construction of risk into a platform-based public arena and offers a way to connect discursive shifts to major political and environmental events. Methodologically, it presents a reproducible design for building and analyzing large-scale YouTube data over time.</w:t>
      </w:r>
    </w:p>
    <w:p>
      <w:r>
        <w:t>Socially and politically, the resulting discourse map can support public communication, media literacy, climate education, and policy discussion by showing which issues, emotions, and actor configurations intensify conflict, justify delay, or enable more constructive engagement. In that sense, the study does not stop at describing discursive patterns. It also provides evidence for assessing the fragilities of climate politics in South Korea and for discussing the communicative conditions under which climate goals can be sustained.</w:t>
      </w:r>
    </w:p>
    <w:p/>
    <w:p>
      <w:r>
        <w:rPr>
          <w:b/>
        </w:rPr>
        <w:t>References</w:t>
      </w:r>
    </w:p>
    <w:p>
      <w:r>
        <w:t>Allgaier, J. (2019). Science and environmental communication on YouTube: Strategically distorted communications in online videos on climate change and climate engineering. Frontiers in Communication, 4, 36.</w:t>
      </w:r>
    </w:p>
    <w:p>
      <w:r>
        <w:t>Beck, U. (1992). Risk society: Towards a new modernity. Sage.</w:t>
      </w:r>
    </w:p>
    <w:p>
      <w:r>
        <w:t>Blei, D. M., Ng, A. Y., &amp; Jordan, M. I. (2003). Latent Dirichlet Allocation. Journal of Machine Learning Research, 3, 993-1022.</w:t>
      </w:r>
    </w:p>
    <w:p>
      <w:r>
        <w:t>Franzke, A. S., Bechmann, A., Zimmer, M., Ess, C., &amp; Association of Internet Researchers. (2020). Internet research: Ethical guidelines 3.0. Association of Internet Researchers.</w:t>
      </w:r>
    </w:p>
    <w:p>
      <w:r>
        <w:t>Hilgartner, S., &amp; Bosk, C. L. (1988). The rise and fall of social problems: A public arenas model. American Journal of Sociology, 94(1), 53-78.</w:t>
      </w:r>
    </w:p>
    <w:p>
      <w:r>
        <w:t>Newman, M. E. J. (2010). Networks: An introduction. Oxford University Press.</w:t>
      </w:r>
    </w:p>
    <w:p>
      <w:r>
        <w:t>Lim, Y. (2023). Topic modeling of YouTube contents on climate change. Journal of the Korea Convergence Society, 12(2), 139-150.</w:t>
      </w:r>
    </w:p>
    <w:p>
      <w:r>
        <w:t>Lim, Y., Lee, G., &amp; Lee, J. (2021). How are climate change, climate crisis, and global warming addressed on YouTube? Directions for public communication on climate issues. Journal of Practical Research in Advertising and Public Relations, 14(3), 155-184.</w:t>
      </w:r>
    </w:p>
    <w:p>
      <w:r>
        <w:t>Pang, B., &amp; Lee, L. (2008). Opinion mining and sentiment analysis. Foundations and Trends in Information Retrieval, 2(1-2), 1-135.</w:t>
      </w:r>
    </w:p>
    <w:p>
      <w:r>
        <w:t>Shapiro, M. A., &amp; Park, H. W. (2018). Climate change and YouTube: Deliberation potential in post-video discussions. Environmental Communication, 12(1), 115-131.</w:t>
      </w:r>
    </w:p>
    <w:p>
      <w:r>
        <w:t>Traag, V. A., Waltman, L., &amp; van Eck, N. J. (2019). From Louvain to Leiden: Guaranteeing well-connected communities. Scientific Reports, 9, 5233.</w:t>
      </w:r>
    </w:p>
    <w:sectPr w:rsidR="00C40659" w:rsidRPr="00593AB5">
      <w:footerReference w:type="default" r:id="rId7"/>
      <w:pgSz w:w="11906" w:h="16838"/>
      <w:pgMar w:top="1701" w:right="1440" w:bottom="1440" w:left="144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146D37" w14:textId="77777777" w:rsidR="0087693E" w:rsidRDefault="0087693E" w:rsidP="00332CB5">
      <w:pPr>
        <w:spacing w:after="0"/>
      </w:pPr>
      <w:r>
        <w:separator/>
      </w:r>
    </w:p>
  </w:endnote>
  <w:endnote w:type="continuationSeparator" w:id="0">
    <w:p w14:paraId="6F76CF48" w14:textId="77777777" w:rsidR="0087693E" w:rsidRDefault="0087693E" w:rsidP="00332CB5">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38175745"/>
      <w:docPartObj>
        <w:docPartGallery w:val="Page Numbers (Bottom of Page)"/>
        <w:docPartUnique/>
      </w:docPartObj>
    </w:sdtPr>
    <w:sdtContent>
      <w:p w14:paraId="3EC24737" w14:textId="07E073FB" w:rsidR="00332CB5" w:rsidRDefault="00332CB5">
        <w:pPr>
          <w:pStyle w:val="ab"/>
          <w:jc w:val="center"/>
        </w:pPr>
        <w:r>
          <w:fldChar w:fldCharType="begin"/>
        </w:r>
        <w:r>
          <w:instrText>PAGE   \* MERGEFORMAT</w:instrText>
        </w:r>
        <w:r>
          <w:fldChar w:fldCharType="separate"/>
        </w:r>
        <w:r>
          <w:rPr>
            <w:lang w:val="ko-KR"/>
          </w:rPr>
          <w:t>2</w:t>
        </w:r>
        <w:r>
          <w:fldChar w:fldCharType="end"/>
        </w:r>
      </w:p>
    </w:sdtContent>
  </w:sdt>
  <w:p w14:paraId="3F3015E4" w14:textId="77777777" w:rsidR="00332CB5" w:rsidRDefault="00332CB5">
    <w:pPr>
      <w:pStyle w:val="ab"/>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7E716E" w14:textId="77777777" w:rsidR="0087693E" w:rsidRDefault="0087693E" w:rsidP="00332CB5">
      <w:pPr>
        <w:spacing w:after="0"/>
      </w:pPr>
      <w:r>
        <w:separator/>
      </w:r>
    </w:p>
  </w:footnote>
  <w:footnote w:type="continuationSeparator" w:id="0">
    <w:p w14:paraId="0A723E20" w14:textId="77777777" w:rsidR="0087693E" w:rsidRDefault="0087693E" w:rsidP="00332CB5">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9B6D9E"/>
    <w:multiLevelType w:val="multilevel"/>
    <w:tmpl w:val="4D3A3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5B7777"/>
    <w:multiLevelType w:val="multilevel"/>
    <w:tmpl w:val="C964A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5C60F8"/>
    <w:multiLevelType w:val="multilevel"/>
    <w:tmpl w:val="BD20F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632DAC"/>
    <w:multiLevelType w:val="multilevel"/>
    <w:tmpl w:val="9B242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1E06F28"/>
    <w:multiLevelType w:val="multilevel"/>
    <w:tmpl w:val="58C84B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56970BF"/>
    <w:multiLevelType w:val="multilevel"/>
    <w:tmpl w:val="28941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6DE4449"/>
    <w:multiLevelType w:val="multilevel"/>
    <w:tmpl w:val="C26EAB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B3E3994"/>
    <w:multiLevelType w:val="multilevel"/>
    <w:tmpl w:val="3EACC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43871545">
    <w:abstractNumId w:val="4"/>
  </w:num>
  <w:num w:numId="2" w16cid:durableId="549805669">
    <w:abstractNumId w:val="7"/>
  </w:num>
  <w:num w:numId="3" w16cid:durableId="64767751">
    <w:abstractNumId w:val="3"/>
  </w:num>
  <w:num w:numId="4" w16cid:durableId="1798059992">
    <w:abstractNumId w:val="2"/>
  </w:num>
  <w:num w:numId="5" w16cid:durableId="1472286668">
    <w:abstractNumId w:val="0"/>
  </w:num>
  <w:num w:numId="6" w16cid:durableId="883828626">
    <w:abstractNumId w:val="1"/>
  </w:num>
  <w:num w:numId="7" w16cid:durableId="1878590827">
    <w:abstractNumId w:val="5"/>
  </w:num>
  <w:num w:numId="8" w16cid:durableId="144403480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grammar="clean"/>
  <w:defaultTabStop w:val="800"/>
  <w:displayHorizontalDrawingGridEvery w:val="0"/>
  <w:displayVerticalDrawingGridEvery w:val="2"/>
  <w:noPunctuationKerning/>
  <w:characterSpacingControl w:val="doNotCompres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3AB5"/>
    <w:rsid w:val="000A6389"/>
    <w:rsid w:val="001F39E1"/>
    <w:rsid w:val="002241EC"/>
    <w:rsid w:val="002364AE"/>
    <w:rsid w:val="002D7002"/>
    <w:rsid w:val="00305452"/>
    <w:rsid w:val="00332CB5"/>
    <w:rsid w:val="00487333"/>
    <w:rsid w:val="00593AB5"/>
    <w:rsid w:val="005B5960"/>
    <w:rsid w:val="005D1B78"/>
    <w:rsid w:val="0087693E"/>
    <w:rsid w:val="009D1407"/>
    <w:rsid w:val="009D3F7B"/>
    <w:rsid w:val="00A27B88"/>
    <w:rsid w:val="00C06429"/>
    <w:rsid w:val="00C169C6"/>
    <w:rsid w:val="00C40659"/>
    <w:rsid w:val="00CB123F"/>
    <w:rsid w:val="00DD7BBE"/>
    <w:rsid w:val="00E44637"/>
    <w:rsid w:val="00F74ABD"/>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67BABA"/>
  <w15:chartTrackingRefBased/>
  <w15:docId w15:val="{7DC56623-2741-4D94-9638-CD6C1FA0B8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EastAsia"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593AB5"/>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593AB5"/>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593AB5"/>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593AB5"/>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593AB5"/>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593AB5"/>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593AB5"/>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593AB5"/>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593AB5"/>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593AB5"/>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593AB5"/>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593AB5"/>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593AB5"/>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593AB5"/>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593AB5"/>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593AB5"/>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593AB5"/>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593AB5"/>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593AB5"/>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593AB5"/>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593AB5"/>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593AB5"/>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593AB5"/>
    <w:pPr>
      <w:spacing w:before="160"/>
      <w:jc w:val="center"/>
    </w:pPr>
    <w:rPr>
      <w:i/>
      <w:iCs/>
      <w:color w:val="404040" w:themeColor="text1" w:themeTint="BF"/>
    </w:rPr>
  </w:style>
  <w:style w:type="character" w:customStyle="1" w:styleId="Char1">
    <w:name w:val="인용 Char"/>
    <w:basedOn w:val="a0"/>
    <w:link w:val="a5"/>
    <w:uiPriority w:val="29"/>
    <w:rsid w:val="00593AB5"/>
    <w:rPr>
      <w:i/>
      <w:iCs/>
      <w:color w:val="404040" w:themeColor="text1" w:themeTint="BF"/>
    </w:rPr>
  </w:style>
  <w:style w:type="paragraph" w:styleId="a6">
    <w:name w:val="List Paragraph"/>
    <w:basedOn w:val="a"/>
    <w:uiPriority w:val="34"/>
    <w:qFormat/>
    <w:rsid w:val="00593AB5"/>
    <w:pPr>
      <w:ind w:left="720"/>
      <w:contextualSpacing/>
    </w:pPr>
  </w:style>
  <w:style w:type="character" w:styleId="a7">
    <w:name w:val="Intense Emphasis"/>
    <w:basedOn w:val="a0"/>
    <w:uiPriority w:val="21"/>
    <w:qFormat/>
    <w:rsid w:val="00593AB5"/>
    <w:rPr>
      <w:i/>
      <w:iCs/>
      <w:color w:val="0F4761" w:themeColor="accent1" w:themeShade="BF"/>
    </w:rPr>
  </w:style>
  <w:style w:type="paragraph" w:styleId="a8">
    <w:name w:val="Intense Quote"/>
    <w:basedOn w:val="a"/>
    <w:next w:val="a"/>
    <w:link w:val="Char2"/>
    <w:uiPriority w:val="30"/>
    <w:qFormat/>
    <w:rsid w:val="00593AB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593AB5"/>
    <w:rPr>
      <w:i/>
      <w:iCs/>
      <w:color w:val="0F4761" w:themeColor="accent1" w:themeShade="BF"/>
    </w:rPr>
  </w:style>
  <w:style w:type="character" w:styleId="a9">
    <w:name w:val="Intense Reference"/>
    <w:basedOn w:val="a0"/>
    <w:uiPriority w:val="32"/>
    <w:qFormat/>
    <w:rsid w:val="00593AB5"/>
    <w:rPr>
      <w:b/>
      <w:bCs/>
      <w:smallCaps/>
      <w:color w:val="0F4761" w:themeColor="accent1" w:themeShade="BF"/>
      <w:spacing w:val="5"/>
    </w:rPr>
  </w:style>
  <w:style w:type="paragraph" w:styleId="aa">
    <w:name w:val="header"/>
    <w:basedOn w:val="a"/>
    <w:link w:val="Char3"/>
    <w:uiPriority w:val="99"/>
    <w:unhideWhenUsed/>
    <w:rsid w:val="00332CB5"/>
    <w:pPr>
      <w:tabs>
        <w:tab w:val="center" w:pos="4513"/>
        <w:tab w:val="right" w:pos="9026"/>
      </w:tabs>
      <w:snapToGrid w:val="0"/>
    </w:pPr>
  </w:style>
  <w:style w:type="character" w:customStyle="1" w:styleId="Char3">
    <w:name w:val="머리글 Char"/>
    <w:basedOn w:val="a0"/>
    <w:link w:val="aa"/>
    <w:uiPriority w:val="99"/>
    <w:rsid w:val="00332CB5"/>
  </w:style>
  <w:style w:type="paragraph" w:styleId="ab">
    <w:name w:val="footer"/>
    <w:basedOn w:val="a"/>
    <w:link w:val="Char4"/>
    <w:uiPriority w:val="99"/>
    <w:unhideWhenUsed/>
    <w:rsid w:val="00332CB5"/>
    <w:pPr>
      <w:tabs>
        <w:tab w:val="center" w:pos="4513"/>
        <w:tab w:val="right" w:pos="9026"/>
      </w:tabs>
      <w:snapToGrid w:val="0"/>
    </w:pPr>
  </w:style>
  <w:style w:type="character" w:customStyle="1" w:styleId="Char4">
    <w:name w:val="바닥글 Char"/>
    <w:basedOn w:val="a0"/>
    <w:link w:val="ab"/>
    <w:uiPriority w:val="99"/>
    <w:rsid w:val="00332CB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1518496">
      <w:bodyDiv w:val="1"/>
      <w:marLeft w:val="0"/>
      <w:marRight w:val="0"/>
      <w:marTop w:val="0"/>
      <w:marBottom w:val="0"/>
      <w:divBdr>
        <w:top w:val="none" w:sz="0" w:space="0" w:color="auto"/>
        <w:left w:val="none" w:sz="0" w:space="0" w:color="auto"/>
        <w:bottom w:val="none" w:sz="0" w:space="0" w:color="auto"/>
        <w:right w:val="none" w:sz="0" w:space="0" w:color="auto"/>
      </w:divBdr>
    </w:div>
    <w:div w:id="114519661">
      <w:bodyDiv w:val="1"/>
      <w:marLeft w:val="0"/>
      <w:marRight w:val="0"/>
      <w:marTop w:val="0"/>
      <w:marBottom w:val="0"/>
      <w:divBdr>
        <w:top w:val="none" w:sz="0" w:space="0" w:color="auto"/>
        <w:left w:val="none" w:sz="0" w:space="0" w:color="auto"/>
        <w:bottom w:val="none" w:sz="0" w:space="0" w:color="auto"/>
        <w:right w:val="none" w:sz="0" w:space="0" w:color="auto"/>
      </w:divBdr>
    </w:div>
    <w:div w:id="922840950">
      <w:bodyDiv w:val="1"/>
      <w:marLeft w:val="0"/>
      <w:marRight w:val="0"/>
      <w:marTop w:val="0"/>
      <w:marBottom w:val="0"/>
      <w:divBdr>
        <w:top w:val="none" w:sz="0" w:space="0" w:color="auto"/>
        <w:left w:val="none" w:sz="0" w:space="0" w:color="auto"/>
        <w:bottom w:val="none" w:sz="0" w:space="0" w:color="auto"/>
        <w:right w:val="none" w:sz="0" w:space="0" w:color="auto"/>
      </w:divBdr>
    </w:div>
    <w:div w:id="1205409047">
      <w:bodyDiv w:val="1"/>
      <w:marLeft w:val="0"/>
      <w:marRight w:val="0"/>
      <w:marTop w:val="0"/>
      <w:marBottom w:val="0"/>
      <w:divBdr>
        <w:top w:val="none" w:sz="0" w:space="0" w:color="auto"/>
        <w:left w:val="none" w:sz="0" w:space="0" w:color="auto"/>
        <w:bottom w:val="none" w:sz="0" w:space="0" w:color="auto"/>
        <w:right w:val="none" w:sz="0" w:space="0" w:color="auto"/>
      </w:divBdr>
    </w:div>
    <w:div w:id="1933585415">
      <w:bodyDiv w:val="1"/>
      <w:marLeft w:val="0"/>
      <w:marRight w:val="0"/>
      <w:marTop w:val="0"/>
      <w:marBottom w:val="0"/>
      <w:divBdr>
        <w:top w:val="none" w:sz="0" w:space="0" w:color="auto"/>
        <w:left w:val="none" w:sz="0" w:space="0" w:color="auto"/>
        <w:bottom w:val="none" w:sz="0" w:space="0" w:color="auto"/>
        <w:right w:val="none" w:sz="0" w:space="0" w:color="auto"/>
      </w:divBdr>
    </w:div>
    <w:div w:id="19929079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31</TotalTime>
  <Pages>5</Pages>
  <Words>1322</Words>
  <Characters>7541</Characters>
  <Application>Microsoft Office Word</Application>
  <DocSecurity>0</DocSecurity>
  <Lines>62</Lines>
  <Paragraphs>17</Paragraphs>
  <ScaleCrop>false</ScaleCrop>
  <Company/>
  <LinksUpToDate>false</LinksUpToDate>
  <CharactersWithSpaces>8846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jeonghyeon park</dc:creator>
  <cp:keywords/>
  <dc:description/>
  <cp:lastModifiedBy>jeonghyeon park</cp:lastModifiedBy>
  <cp:revision>11</cp:revision>
  <cp:lastPrinted>2025-03-06T02:21:00Z</cp:lastPrinted>
  <dcterms:created xsi:type="dcterms:W3CDTF">2025-03-04T06:33:00Z</dcterms:created>
  <dcterms:modified xsi:type="dcterms:W3CDTF">2025-03-06T02:30:00Z</dcterms:modified>
</cp:coreProperties>
</file>