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This project begins in 2015 because the Paris Agreement established a new institutional reference point for climate politics. At the same time, it distinguishes 2020 as the threshold of a fuller implementation phase. Conceptually, this is the period that the Korean title describes as the “new climate regime”: a post-Paris order shaped by carbon-neutrality agendas, climate-crisis framing, the expanding role of non-state actors, debates over just transition, and the persistent instability of international cooperation. The distinction between 2015 and 2020 therefore matters analytically, because it allows the study to compare a phase of transition and expectation with a phase of implementation, adjustment, and contestation.</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YouTube serves as a major observation point for this project because climate-related video messages and public comment responses accumulate on the same platform. Prior work shows that YouTube is a site where climate communication, distorted content, and post-video discussion intersect (Allgaier, 2019; Shapiro &amp; Park, 2018), which makes it analytically useful to read video expression and comment response together. Although exposure is shaped by recommendation and personalization, the publicly searchable layer still makes it possible to build a comparatively reproducible longitudinal dataset. This project therefore focuses on Korean-language climate-related YouTube materials that are substantively connected to South Korean channels, audiences, or issues. Prior Korean studies have examined the topic structure and terminology of climate-related YouTube content in South Korea (Lim et al., 2021; Lim, 2023).</w:t>
      </w:r>
    </w:p>
    <w:p/>
    <w:p>
      <w:r>
        <w:rPr>
          <w:b/>
        </w:rPr>
        <w:t>2. Research Objectives</w:t>
      </w:r>
    </w:p>
    <w:p>
      <w:r>
        <w:t>The study aims to explain the discursive dynamics of climate change in South Korea by integrating three analytical layers: expression in videos, reaction in comments, and clustering in actor networks. More specifically, it traces how topics and frames shift over time, how sentiments and attitudes are redistributed across event phases, and how channel-centered networks form, persist, or reorganize. Rather than offering a static description of online discourse, the project seeks to show how the post-Paris climate-governance order is interpreted, contested, and sustained in South Korean public communication.</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starting point marks the adoption of the Paris Agreement as the institutional starting point of the study, and the end point marks the date on which the U.S. withdrawal from the Paris Agreement took effect, making renewed instability in the post-Paris order directly observable.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