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provides the key institutional reference point for climate politics. It distinguishes 2020 as the threshold of fuller implementation. The period is shaped by carbon-neutrality agendas, climate-crisis framing, the expanding role of non-state actors, debates over just transition, and the instability of international cooperation. Distinguishing 2015 from 2020 makes it possible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is an especially useful site for this purpose because video messages, comment responses, and actor clustering accumulate on the same platform. The South Korean scope is defined through Korean-language climate-related videos and comment threads that are publicly searchable and substantively connected to South Korean channels, audiences, or issues. This design makes it possible to analyze discursive dynamics across expression in videos, reaction in comments, and forms of actor clustering rather than treating them as separate processes (Allgaier, 2019; Shapiro &amp; Park, 2018; Lim et al., 2021).</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from December 12, 2015 to January 27, 2026. The starting point marks the adoption of the Paris Agreement, the key institutional reference point of the study, and the end point is the effective date of the U.S. withdrawal from the Paris Agreement, providing a clear political boundary for the corpus. Search terms will center on climate change and closely related Korean variants. The units of analysis are videos, channels, comments and replies, and commenter-creator ties, with videos organized through titles, descriptions, tags, captions or transcripts, and engagement indicators, and comments through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and policy discussion by showing which issues, emotions, and actor configurations intensify conflict, justify delay, or enable more constructive engagement.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