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E87" w:rsidRPr="00CF6E87" w:rsidRDefault="00CF6E87" w:rsidP="00CF6E87">
      <w:pPr>
        <w:shd w:val="clear" w:color="auto" w:fill="FFFFFF"/>
        <w:jc w:val="center"/>
        <w:rPr>
          <w:rFonts w:ascii="Times New Roman" w:eastAsia="Times New Roman" w:hAnsi="Times New Roman" w:cs="Times New Roman"/>
          <w:b/>
          <w:bCs/>
          <w:color w:val="212529"/>
          <w:sz w:val="36"/>
          <w:szCs w:val="36"/>
        </w:rPr>
      </w:pPr>
      <w:bookmarkStart w:id="0" w:name="_GoBack"/>
      <w:bookmarkEnd w:id="0"/>
      <w:r w:rsidRPr="00CF6E87">
        <w:rPr>
          <w:rFonts w:ascii="Times New Roman" w:eastAsia="Times New Roman" w:hAnsi="Times New Roman" w:cs="Times New Roman"/>
          <w:b/>
          <w:bCs/>
          <w:color w:val="212529"/>
          <w:sz w:val="36"/>
          <w:szCs w:val="36"/>
        </w:rPr>
        <w:t>UNITED STATES</w:t>
      </w:r>
    </w:p>
    <w:p w:rsidR="00CF6E87" w:rsidRPr="00CF6E87" w:rsidRDefault="00CF6E87" w:rsidP="00CF6E87">
      <w:pPr>
        <w:shd w:val="clear" w:color="auto" w:fill="FFFFFF"/>
        <w:jc w:val="center"/>
        <w:rPr>
          <w:rFonts w:ascii="Times New Roman" w:eastAsia="Times New Roman" w:hAnsi="Times New Roman" w:cs="Times New Roman"/>
          <w:b/>
          <w:bCs/>
          <w:color w:val="212529"/>
          <w:sz w:val="36"/>
          <w:szCs w:val="36"/>
        </w:rPr>
      </w:pPr>
      <w:r w:rsidRPr="00CF6E87">
        <w:rPr>
          <w:rFonts w:ascii="Times New Roman" w:eastAsia="Times New Roman" w:hAnsi="Times New Roman" w:cs="Times New Roman"/>
          <w:b/>
          <w:bCs/>
          <w:color w:val="212529"/>
          <w:sz w:val="36"/>
          <w:szCs w:val="36"/>
        </w:rPr>
        <w:t>SECURITIES AND EXCHANGE COMMISSION</w:t>
      </w:r>
    </w:p>
    <w:p w:rsidR="00CF6E87" w:rsidRPr="00CF6E87" w:rsidRDefault="00CF6E87" w:rsidP="00CF6E87">
      <w:pPr>
        <w:shd w:val="clear" w:color="auto" w:fill="FFFFFF"/>
        <w:jc w:val="center"/>
        <w:rPr>
          <w:rFonts w:ascii="Times New Roman" w:eastAsia="Times New Roman" w:hAnsi="Times New Roman" w:cs="Times New Roman"/>
          <w:b/>
          <w:bCs/>
          <w:color w:val="212529"/>
          <w:sz w:val="24"/>
          <w:szCs w:val="24"/>
        </w:rPr>
      </w:pPr>
      <w:r w:rsidRPr="00CF6E87">
        <w:rPr>
          <w:rFonts w:ascii="Times New Roman" w:eastAsia="Times New Roman" w:hAnsi="Times New Roman" w:cs="Times New Roman"/>
          <w:b/>
          <w:bCs/>
          <w:color w:val="212529"/>
          <w:sz w:val="24"/>
          <w:szCs w:val="24"/>
        </w:rPr>
        <w:t>Washington, D.C. 20549</w:t>
      </w:r>
    </w:p>
    <w:p w:rsidR="00CF6E87" w:rsidRPr="00CF6E87" w:rsidRDefault="00CF6E87" w:rsidP="00CF6E87">
      <w:pPr>
        <w:pBdr>
          <w:bottom w:val="single" w:sz="6" w:space="0" w:color="000000"/>
        </w:pBdr>
        <w:shd w:val="clear" w:color="auto" w:fill="FFFFFF"/>
        <w:spacing w:before="240" w:line="120" w:lineRule="atLeast"/>
        <w:jc w:val="center"/>
        <w:rPr>
          <w:rFonts w:ascii="Segoe UI" w:eastAsia="Times New Roman" w:hAnsi="Segoe UI" w:cs="Segoe UI"/>
          <w:color w:val="212529"/>
          <w:szCs w:val="20"/>
        </w:rPr>
      </w:pPr>
      <w:r w:rsidRPr="00CF6E87">
        <w:rPr>
          <w:rFonts w:ascii="Segoe UI" w:eastAsia="Times New Roman" w:hAnsi="Segoe UI" w:cs="Segoe UI"/>
          <w:color w:val="212529"/>
          <w:szCs w:val="20"/>
        </w:rPr>
        <w:t> </w:t>
      </w:r>
    </w:p>
    <w:p w:rsidR="00CF6E87" w:rsidRPr="00CF6E87" w:rsidRDefault="00CF6E87" w:rsidP="00CF6E87">
      <w:pPr>
        <w:shd w:val="clear" w:color="auto" w:fill="FFFFFF"/>
        <w:spacing w:before="240"/>
        <w:jc w:val="center"/>
        <w:rPr>
          <w:rFonts w:ascii="Times New Roman" w:eastAsia="Times New Roman" w:hAnsi="Times New Roman" w:cs="Times New Roman"/>
          <w:b/>
          <w:bCs/>
          <w:color w:val="212529"/>
          <w:sz w:val="36"/>
          <w:szCs w:val="36"/>
        </w:rPr>
      </w:pPr>
      <w:r w:rsidRPr="00CF6E87">
        <w:rPr>
          <w:rFonts w:ascii="Times New Roman" w:eastAsia="Times New Roman" w:hAnsi="Times New Roman" w:cs="Times New Roman"/>
          <w:b/>
          <w:bCs/>
          <w:color w:val="212529"/>
          <w:sz w:val="36"/>
          <w:szCs w:val="36"/>
        </w:rPr>
        <w:t>FORM 8-K</w:t>
      </w:r>
    </w:p>
    <w:p w:rsidR="00CF6E87" w:rsidRPr="00CF6E87" w:rsidRDefault="00CF6E87" w:rsidP="00CF6E87">
      <w:pPr>
        <w:pBdr>
          <w:bottom w:val="single" w:sz="6" w:space="0" w:color="000000"/>
        </w:pBdr>
        <w:shd w:val="clear" w:color="auto" w:fill="FFFFFF"/>
        <w:spacing w:before="240" w:line="120" w:lineRule="atLeast"/>
        <w:jc w:val="center"/>
        <w:rPr>
          <w:rFonts w:ascii="Segoe UI" w:eastAsia="Times New Roman" w:hAnsi="Segoe UI" w:cs="Segoe UI"/>
          <w:color w:val="212529"/>
          <w:szCs w:val="20"/>
        </w:rPr>
      </w:pPr>
      <w:r w:rsidRPr="00CF6E87">
        <w:rPr>
          <w:rFonts w:ascii="Segoe UI" w:eastAsia="Times New Roman" w:hAnsi="Segoe UI" w:cs="Segoe UI"/>
          <w:color w:val="212529"/>
          <w:szCs w:val="20"/>
        </w:rPr>
        <w:t> </w:t>
      </w:r>
    </w:p>
    <w:p w:rsidR="00CF6E87" w:rsidRPr="00CF6E87" w:rsidRDefault="00CF6E87" w:rsidP="00CF6E87">
      <w:pPr>
        <w:shd w:val="clear" w:color="auto" w:fill="FFFFFF"/>
        <w:spacing w:before="240"/>
        <w:jc w:val="center"/>
        <w:rPr>
          <w:rFonts w:ascii="Times New Roman" w:eastAsia="Times New Roman" w:hAnsi="Times New Roman" w:cs="Times New Roman"/>
          <w:b/>
          <w:bCs/>
          <w:color w:val="212529"/>
          <w:sz w:val="24"/>
          <w:szCs w:val="24"/>
        </w:rPr>
      </w:pPr>
      <w:r w:rsidRPr="00CF6E87">
        <w:rPr>
          <w:rFonts w:ascii="Times New Roman" w:eastAsia="Times New Roman" w:hAnsi="Times New Roman" w:cs="Times New Roman"/>
          <w:b/>
          <w:bCs/>
          <w:color w:val="212529"/>
          <w:sz w:val="24"/>
          <w:szCs w:val="24"/>
        </w:rPr>
        <w:t>CURRENT REPORT</w:t>
      </w:r>
    </w:p>
    <w:p w:rsidR="00CF6E87" w:rsidRPr="00CF6E87" w:rsidRDefault="00CF6E87" w:rsidP="00CF6E87">
      <w:pPr>
        <w:shd w:val="clear" w:color="auto" w:fill="FFFFFF"/>
        <w:jc w:val="center"/>
        <w:rPr>
          <w:rFonts w:ascii="Times New Roman" w:eastAsia="Times New Roman" w:hAnsi="Times New Roman" w:cs="Times New Roman"/>
          <w:b/>
          <w:bCs/>
          <w:color w:val="212529"/>
          <w:sz w:val="24"/>
          <w:szCs w:val="24"/>
        </w:rPr>
      </w:pPr>
      <w:r w:rsidRPr="00CF6E87">
        <w:rPr>
          <w:rFonts w:ascii="Times New Roman" w:eastAsia="Times New Roman" w:hAnsi="Times New Roman" w:cs="Times New Roman"/>
          <w:b/>
          <w:bCs/>
          <w:color w:val="212529"/>
          <w:sz w:val="24"/>
          <w:szCs w:val="24"/>
        </w:rPr>
        <w:t>Pursuant to Section 13 or 15(d)</w:t>
      </w:r>
    </w:p>
    <w:p w:rsidR="00CF6E87" w:rsidRPr="00CF6E87" w:rsidRDefault="00CF6E87" w:rsidP="00CF6E87">
      <w:pPr>
        <w:shd w:val="clear" w:color="auto" w:fill="FFFFFF"/>
        <w:jc w:val="center"/>
        <w:rPr>
          <w:rFonts w:ascii="Times New Roman" w:eastAsia="Times New Roman" w:hAnsi="Times New Roman" w:cs="Times New Roman"/>
          <w:b/>
          <w:bCs/>
          <w:color w:val="212529"/>
          <w:sz w:val="24"/>
          <w:szCs w:val="24"/>
        </w:rPr>
      </w:pPr>
      <w:proofErr w:type="gramStart"/>
      <w:r w:rsidRPr="00CF6E87">
        <w:rPr>
          <w:rFonts w:ascii="Times New Roman" w:eastAsia="Times New Roman" w:hAnsi="Times New Roman" w:cs="Times New Roman"/>
          <w:b/>
          <w:bCs/>
          <w:color w:val="212529"/>
          <w:sz w:val="24"/>
          <w:szCs w:val="24"/>
        </w:rPr>
        <w:t>of</w:t>
      </w:r>
      <w:proofErr w:type="gramEnd"/>
      <w:r w:rsidRPr="00CF6E87">
        <w:rPr>
          <w:rFonts w:ascii="Times New Roman" w:eastAsia="Times New Roman" w:hAnsi="Times New Roman" w:cs="Times New Roman"/>
          <w:b/>
          <w:bCs/>
          <w:color w:val="212529"/>
          <w:sz w:val="24"/>
          <w:szCs w:val="24"/>
        </w:rPr>
        <w:t xml:space="preserve"> the Securities Exchange Act of 1934</w:t>
      </w:r>
    </w:p>
    <w:p w:rsidR="00CF6E87" w:rsidRPr="00CF6E87" w:rsidRDefault="00CF6E87" w:rsidP="00CF6E87">
      <w:pPr>
        <w:shd w:val="clear" w:color="auto" w:fill="FFFFFF"/>
        <w:spacing w:before="240"/>
        <w:jc w:val="center"/>
        <w:rPr>
          <w:rFonts w:ascii="Times New Roman" w:eastAsia="Times New Roman" w:hAnsi="Times New Roman" w:cs="Times New Roman"/>
          <w:b/>
          <w:bCs/>
          <w:color w:val="212529"/>
          <w:sz w:val="24"/>
          <w:szCs w:val="24"/>
        </w:rPr>
      </w:pPr>
      <w:r w:rsidRPr="00CF6E87">
        <w:rPr>
          <w:rFonts w:ascii="Times New Roman" w:eastAsia="Times New Roman" w:hAnsi="Times New Roman" w:cs="Times New Roman"/>
          <w:b/>
          <w:bCs/>
          <w:color w:val="212529"/>
          <w:sz w:val="24"/>
          <w:szCs w:val="24"/>
        </w:rPr>
        <w:t>Date of Report (Date of earliest event reported): September 18, 2019</w:t>
      </w:r>
    </w:p>
    <w:p w:rsidR="00CF6E87" w:rsidRPr="00CF6E87" w:rsidRDefault="00CF6E87" w:rsidP="00CF6E87">
      <w:pPr>
        <w:pBdr>
          <w:bottom w:val="single" w:sz="6" w:space="0" w:color="000000"/>
        </w:pBdr>
        <w:shd w:val="clear" w:color="auto" w:fill="FFFFFF"/>
        <w:spacing w:before="240" w:line="120" w:lineRule="atLeast"/>
        <w:jc w:val="center"/>
        <w:rPr>
          <w:rFonts w:ascii="Segoe UI" w:eastAsia="Times New Roman" w:hAnsi="Segoe UI" w:cs="Segoe UI"/>
          <w:color w:val="212529"/>
          <w:szCs w:val="20"/>
        </w:rPr>
      </w:pPr>
      <w:r w:rsidRPr="00CF6E87">
        <w:rPr>
          <w:rFonts w:ascii="Segoe UI" w:eastAsia="Times New Roman" w:hAnsi="Segoe UI" w:cs="Segoe UI"/>
          <w:color w:val="212529"/>
          <w:szCs w:val="20"/>
        </w:rPr>
        <w:t> </w:t>
      </w:r>
    </w:p>
    <w:p w:rsidR="00CF6E87" w:rsidRPr="00CF6E87" w:rsidRDefault="00CF6E87" w:rsidP="00CF6E87">
      <w:pPr>
        <w:shd w:val="clear" w:color="auto" w:fill="FFFFFF"/>
        <w:spacing w:before="240"/>
        <w:jc w:val="center"/>
        <w:rPr>
          <w:rFonts w:ascii="Times New Roman" w:eastAsia="Times New Roman" w:hAnsi="Times New Roman" w:cs="Times New Roman"/>
          <w:b/>
          <w:bCs/>
          <w:color w:val="212529"/>
          <w:sz w:val="48"/>
          <w:szCs w:val="48"/>
        </w:rPr>
      </w:pPr>
      <w:r w:rsidRPr="00CF6E87">
        <w:rPr>
          <w:rFonts w:ascii="Times New Roman" w:eastAsia="Times New Roman" w:hAnsi="Times New Roman" w:cs="Times New Roman"/>
          <w:b/>
          <w:bCs/>
          <w:color w:val="212529"/>
          <w:sz w:val="48"/>
          <w:szCs w:val="48"/>
        </w:rPr>
        <w:t>Etsy, Inc.</w:t>
      </w:r>
    </w:p>
    <w:p w:rsidR="00CF6E87" w:rsidRPr="00CF6E87" w:rsidRDefault="00CF6E87" w:rsidP="00CF6E87">
      <w:pPr>
        <w:shd w:val="clear" w:color="auto" w:fill="FFFFFF"/>
        <w:jc w:val="center"/>
        <w:rPr>
          <w:rFonts w:ascii="Times New Roman" w:eastAsia="Times New Roman" w:hAnsi="Times New Roman" w:cs="Times New Roman"/>
          <w:b/>
          <w:bCs/>
          <w:color w:val="212529"/>
          <w:szCs w:val="20"/>
        </w:rPr>
      </w:pPr>
      <w:r w:rsidRPr="00CF6E87">
        <w:rPr>
          <w:rFonts w:ascii="Times New Roman" w:eastAsia="Times New Roman" w:hAnsi="Times New Roman" w:cs="Times New Roman"/>
          <w:b/>
          <w:bCs/>
          <w:color w:val="212529"/>
          <w:szCs w:val="20"/>
        </w:rPr>
        <w:t>(Exact name of registrant as specified in its charter)</w:t>
      </w:r>
    </w:p>
    <w:p w:rsidR="00CF6E87" w:rsidRPr="00CF6E87" w:rsidRDefault="00CF6E87" w:rsidP="00CF6E87">
      <w:pPr>
        <w:pBdr>
          <w:bottom w:val="single" w:sz="6" w:space="0" w:color="000000"/>
        </w:pBdr>
        <w:shd w:val="clear" w:color="auto" w:fill="FFFFFF"/>
        <w:spacing w:before="240" w:line="120" w:lineRule="atLeast"/>
        <w:jc w:val="center"/>
        <w:rPr>
          <w:rFonts w:ascii="Segoe UI" w:eastAsia="Times New Roman" w:hAnsi="Segoe UI" w:cs="Segoe UI"/>
          <w:color w:val="212529"/>
          <w:szCs w:val="20"/>
        </w:rPr>
      </w:pPr>
      <w:r w:rsidRPr="00CF6E87">
        <w:rPr>
          <w:rFonts w:ascii="Segoe UI" w:eastAsia="Times New Roman" w:hAnsi="Segoe UI" w:cs="Segoe UI"/>
          <w:color w:val="212529"/>
          <w:szCs w:val="20"/>
        </w:rPr>
        <w:t> </w:t>
      </w:r>
    </w:p>
    <w:tbl>
      <w:tblPr>
        <w:tblW w:w="12240" w:type="dxa"/>
        <w:tblCellSpacing w:w="0" w:type="dxa"/>
        <w:tblCellMar>
          <w:left w:w="0" w:type="dxa"/>
          <w:right w:w="0" w:type="dxa"/>
        </w:tblCellMar>
        <w:tblLook w:val="04A0" w:firstRow="1" w:lastRow="0" w:firstColumn="1" w:lastColumn="0" w:noHBand="0" w:noVBand="1"/>
      </w:tblPr>
      <w:tblGrid>
        <w:gridCol w:w="4125"/>
        <w:gridCol w:w="60"/>
        <w:gridCol w:w="4020"/>
        <w:gridCol w:w="120"/>
        <w:gridCol w:w="3915"/>
      </w:tblGrid>
      <w:tr w:rsidR="00CF6E87" w:rsidRPr="00CF6E87" w:rsidTr="00CF6E87">
        <w:trPr>
          <w:tblCellSpacing w:w="0" w:type="dxa"/>
        </w:trPr>
        <w:tc>
          <w:tcPr>
            <w:tcW w:w="4125" w:type="dxa"/>
            <w:vAlign w:val="center"/>
            <w:hideMark/>
          </w:tcPr>
          <w:p w:rsidR="00CF6E87" w:rsidRPr="00CF6E87" w:rsidRDefault="00CF6E87" w:rsidP="00CF6E87">
            <w:pPr>
              <w:spacing w:before="240"/>
              <w:rPr>
                <w:rFonts w:ascii="Times New Roman" w:eastAsia="Times New Roman" w:hAnsi="Times New Roman" w:cs="Times New Roman"/>
                <w:sz w:val="16"/>
                <w:szCs w:val="16"/>
              </w:rPr>
            </w:pPr>
          </w:p>
        </w:tc>
        <w:tc>
          <w:tcPr>
            <w:tcW w:w="0" w:type="auto"/>
            <w:vAlign w:val="center"/>
            <w:hideMark/>
          </w:tcPr>
          <w:p w:rsidR="00CF6E87" w:rsidRPr="00CF6E87" w:rsidRDefault="00CF6E87" w:rsidP="00CF6E87">
            <w:pPr>
              <w:spacing w:before="240"/>
              <w:rPr>
                <w:rFonts w:ascii="Times New Roman" w:eastAsia="Times New Roman" w:hAnsi="Times New Roman" w:cs="Times New Roman"/>
                <w:sz w:val="16"/>
                <w:szCs w:val="16"/>
              </w:rPr>
            </w:pPr>
          </w:p>
        </w:tc>
        <w:tc>
          <w:tcPr>
            <w:tcW w:w="4020" w:type="dxa"/>
            <w:vAlign w:val="center"/>
            <w:hideMark/>
          </w:tcPr>
          <w:p w:rsidR="00CF6E87" w:rsidRPr="00CF6E87" w:rsidRDefault="00CF6E87" w:rsidP="00CF6E87">
            <w:pPr>
              <w:spacing w:before="240"/>
              <w:rPr>
                <w:rFonts w:ascii="Times New Roman" w:eastAsia="Times New Roman" w:hAnsi="Times New Roman" w:cs="Times New Roman"/>
                <w:sz w:val="16"/>
                <w:szCs w:val="16"/>
              </w:rPr>
            </w:pPr>
          </w:p>
        </w:tc>
        <w:tc>
          <w:tcPr>
            <w:tcW w:w="120" w:type="dxa"/>
            <w:vAlign w:val="center"/>
            <w:hideMark/>
          </w:tcPr>
          <w:p w:rsidR="00CF6E87" w:rsidRPr="00CF6E87" w:rsidRDefault="00CF6E87" w:rsidP="00CF6E87">
            <w:pPr>
              <w:spacing w:before="240"/>
              <w:rPr>
                <w:rFonts w:ascii="Times New Roman" w:eastAsia="Times New Roman" w:hAnsi="Times New Roman" w:cs="Times New Roman"/>
                <w:sz w:val="16"/>
                <w:szCs w:val="16"/>
              </w:rPr>
            </w:pPr>
          </w:p>
        </w:tc>
        <w:tc>
          <w:tcPr>
            <w:tcW w:w="3915" w:type="dxa"/>
            <w:vAlign w:val="center"/>
            <w:hideMark/>
          </w:tcPr>
          <w:p w:rsidR="00CF6E87" w:rsidRPr="00CF6E87" w:rsidRDefault="00CF6E87" w:rsidP="00CF6E87">
            <w:pPr>
              <w:spacing w:before="240"/>
              <w:rPr>
                <w:rFonts w:ascii="Times New Roman" w:eastAsia="Times New Roman" w:hAnsi="Times New Roman" w:cs="Times New Roman"/>
                <w:sz w:val="16"/>
                <w:szCs w:val="16"/>
              </w:rPr>
            </w:pPr>
          </w:p>
        </w:tc>
      </w:tr>
      <w:tr w:rsidR="00CF6E87" w:rsidRPr="00CF6E87" w:rsidTr="00CF6E87">
        <w:trPr>
          <w:tblCellSpacing w:w="0" w:type="dxa"/>
        </w:trPr>
        <w:tc>
          <w:tcPr>
            <w:tcW w:w="0" w:type="auto"/>
            <w:hideMark/>
          </w:tcPr>
          <w:p w:rsidR="00CF6E87" w:rsidRPr="00CF6E87" w:rsidRDefault="00CF6E87" w:rsidP="00CF6E87">
            <w:pPr>
              <w:jc w:val="center"/>
              <w:rPr>
                <w:rFonts w:ascii="Times New Roman" w:eastAsia="Times New Roman" w:hAnsi="Times New Roman" w:cs="Times New Roman"/>
                <w:b/>
                <w:bCs/>
                <w:szCs w:val="20"/>
              </w:rPr>
            </w:pPr>
            <w:r w:rsidRPr="00CF6E87">
              <w:rPr>
                <w:rFonts w:ascii="Times New Roman" w:eastAsia="Times New Roman" w:hAnsi="Times New Roman" w:cs="Times New Roman"/>
                <w:b/>
                <w:bCs/>
                <w:szCs w:val="20"/>
              </w:rPr>
              <w:t>Delaware</w:t>
            </w:r>
          </w:p>
        </w:tc>
        <w:tc>
          <w:tcPr>
            <w:tcW w:w="0" w:type="auto"/>
            <w:hideMark/>
          </w:tcPr>
          <w:p w:rsidR="00CF6E87" w:rsidRPr="00CF6E87" w:rsidRDefault="00CF6E87" w:rsidP="00CF6E87">
            <w:pPr>
              <w:rPr>
                <w:rFonts w:ascii="Times New Roman" w:eastAsia="Times New Roman" w:hAnsi="Times New Roman" w:cs="Times New Roman"/>
                <w:szCs w:val="20"/>
              </w:rPr>
            </w:pPr>
            <w:r w:rsidRPr="00CF6E87">
              <w:rPr>
                <w:rFonts w:ascii="Times New Roman" w:eastAsia="Times New Roman" w:hAnsi="Times New Roman" w:cs="Times New Roman"/>
                <w:szCs w:val="20"/>
              </w:rPr>
              <w:t> </w:t>
            </w:r>
          </w:p>
        </w:tc>
        <w:tc>
          <w:tcPr>
            <w:tcW w:w="0" w:type="auto"/>
            <w:hideMark/>
          </w:tcPr>
          <w:p w:rsidR="00CF6E87" w:rsidRPr="00CF6E87" w:rsidRDefault="00CF6E87" w:rsidP="00CF6E87">
            <w:pPr>
              <w:jc w:val="center"/>
              <w:rPr>
                <w:rFonts w:ascii="Times New Roman" w:eastAsia="Times New Roman" w:hAnsi="Times New Roman" w:cs="Times New Roman"/>
                <w:b/>
                <w:bCs/>
                <w:szCs w:val="20"/>
              </w:rPr>
            </w:pPr>
            <w:r w:rsidRPr="00CF6E87">
              <w:rPr>
                <w:rFonts w:ascii="Times New Roman" w:eastAsia="Times New Roman" w:hAnsi="Times New Roman" w:cs="Times New Roman"/>
                <w:b/>
                <w:bCs/>
                <w:szCs w:val="20"/>
              </w:rPr>
              <w:t>001-36911</w:t>
            </w:r>
          </w:p>
        </w:tc>
        <w:tc>
          <w:tcPr>
            <w:tcW w:w="0" w:type="auto"/>
            <w:hideMark/>
          </w:tcPr>
          <w:p w:rsidR="00CF6E87" w:rsidRPr="00CF6E87" w:rsidRDefault="00CF6E87" w:rsidP="00CF6E87">
            <w:pPr>
              <w:rPr>
                <w:rFonts w:ascii="Times New Roman" w:eastAsia="Times New Roman" w:hAnsi="Times New Roman" w:cs="Times New Roman"/>
                <w:szCs w:val="20"/>
              </w:rPr>
            </w:pPr>
            <w:r w:rsidRPr="00CF6E87">
              <w:rPr>
                <w:rFonts w:ascii="Times New Roman" w:eastAsia="Times New Roman" w:hAnsi="Times New Roman" w:cs="Times New Roman"/>
                <w:szCs w:val="20"/>
              </w:rPr>
              <w:t> </w:t>
            </w:r>
          </w:p>
        </w:tc>
        <w:tc>
          <w:tcPr>
            <w:tcW w:w="0" w:type="auto"/>
            <w:hideMark/>
          </w:tcPr>
          <w:p w:rsidR="00CF6E87" w:rsidRPr="00CF6E87" w:rsidRDefault="00CF6E87" w:rsidP="00CF6E87">
            <w:pPr>
              <w:jc w:val="center"/>
              <w:rPr>
                <w:rFonts w:ascii="Times New Roman" w:eastAsia="Times New Roman" w:hAnsi="Times New Roman" w:cs="Times New Roman"/>
                <w:b/>
                <w:bCs/>
                <w:szCs w:val="20"/>
              </w:rPr>
            </w:pPr>
            <w:r w:rsidRPr="00CF6E87">
              <w:rPr>
                <w:rFonts w:ascii="Times New Roman" w:eastAsia="Times New Roman" w:hAnsi="Times New Roman" w:cs="Times New Roman"/>
                <w:b/>
                <w:bCs/>
                <w:szCs w:val="20"/>
              </w:rPr>
              <w:t>20-4898921</w:t>
            </w:r>
          </w:p>
        </w:tc>
      </w:tr>
      <w:tr w:rsidR="00CF6E87" w:rsidRPr="00CF6E87" w:rsidTr="00CF6E87">
        <w:trPr>
          <w:tblCellSpacing w:w="0" w:type="dxa"/>
        </w:trPr>
        <w:tc>
          <w:tcPr>
            <w:tcW w:w="0" w:type="auto"/>
            <w:hideMark/>
          </w:tcPr>
          <w:p w:rsidR="00CF6E87" w:rsidRPr="00CF6E87" w:rsidRDefault="00CF6E87" w:rsidP="00CF6E87">
            <w:pPr>
              <w:jc w:val="center"/>
              <w:rPr>
                <w:rFonts w:ascii="Times New Roman" w:eastAsia="Times New Roman" w:hAnsi="Times New Roman" w:cs="Times New Roman"/>
                <w:b/>
                <w:bCs/>
                <w:sz w:val="16"/>
                <w:szCs w:val="16"/>
              </w:rPr>
            </w:pPr>
            <w:r w:rsidRPr="00CF6E87">
              <w:rPr>
                <w:rFonts w:ascii="Times New Roman" w:eastAsia="Times New Roman" w:hAnsi="Times New Roman" w:cs="Times New Roman"/>
                <w:b/>
                <w:bCs/>
                <w:sz w:val="16"/>
                <w:szCs w:val="16"/>
              </w:rPr>
              <w:t>(State or other jurisdiction</w:t>
            </w:r>
          </w:p>
          <w:p w:rsidR="00CF6E87" w:rsidRPr="00CF6E87" w:rsidRDefault="00CF6E87" w:rsidP="00CF6E87">
            <w:pPr>
              <w:jc w:val="center"/>
              <w:rPr>
                <w:rFonts w:ascii="Times New Roman" w:eastAsia="Times New Roman" w:hAnsi="Times New Roman" w:cs="Times New Roman"/>
                <w:b/>
                <w:bCs/>
                <w:sz w:val="16"/>
                <w:szCs w:val="16"/>
              </w:rPr>
            </w:pPr>
            <w:r w:rsidRPr="00CF6E87">
              <w:rPr>
                <w:rFonts w:ascii="Times New Roman" w:eastAsia="Times New Roman" w:hAnsi="Times New Roman" w:cs="Times New Roman"/>
                <w:b/>
                <w:bCs/>
                <w:sz w:val="16"/>
                <w:szCs w:val="16"/>
              </w:rPr>
              <w:t>of incorporation)</w:t>
            </w:r>
          </w:p>
        </w:tc>
        <w:tc>
          <w:tcPr>
            <w:tcW w:w="0" w:type="auto"/>
            <w:hideMark/>
          </w:tcPr>
          <w:p w:rsidR="00CF6E87" w:rsidRPr="00CF6E87" w:rsidRDefault="00CF6E87" w:rsidP="00CF6E87">
            <w:pPr>
              <w:rPr>
                <w:rFonts w:ascii="Times New Roman" w:eastAsia="Times New Roman" w:hAnsi="Times New Roman" w:cs="Times New Roman"/>
                <w:sz w:val="16"/>
                <w:szCs w:val="16"/>
              </w:rPr>
            </w:pPr>
            <w:r w:rsidRPr="00CF6E87">
              <w:rPr>
                <w:rFonts w:ascii="Times New Roman" w:eastAsia="Times New Roman" w:hAnsi="Times New Roman" w:cs="Times New Roman"/>
                <w:sz w:val="16"/>
                <w:szCs w:val="16"/>
              </w:rPr>
              <w:t> </w:t>
            </w:r>
          </w:p>
        </w:tc>
        <w:tc>
          <w:tcPr>
            <w:tcW w:w="0" w:type="auto"/>
            <w:hideMark/>
          </w:tcPr>
          <w:p w:rsidR="00CF6E87" w:rsidRPr="00CF6E87" w:rsidRDefault="00CF6E87" w:rsidP="00CF6E87">
            <w:pPr>
              <w:jc w:val="center"/>
              <w:rPr>
                <w:rFonts w:ascii="Times New Roman" w:eastAsia="Times New Roman" w:hAnsi="Times New Roman" w:cs="Times New Roman"/>
                <w:b/>
                <w:bCs/>
                <w:sz w:val="16"/>
                <w:szCs w:val="16"/>
              </w:rPr>
            </w:pPr>
            <w:r w:rsidRPr="00CF6E87">
              <w:rPr>
                <w:rFonts w:ascii="Times New Roman" w:eastAsia="Times New Roman" w:hAnsi="Times New Roman" w:cs="Times New Roman"/>
                <w:b/>
                <w:bCs/>
                <w:sz w:val="16"/>
                <w:szCs w:val="16"/>
              </w:rPr>
              <w:t>(Commission</w:t>
            </w:r>
          </w:p>
          <w:p w:rsidR="00CF6E87" w:rsidRPr="00CF6E87" w:rsidRDefault="00CF6E87" w:rsidP="00CF6E87">
            <w:pPr>
              <w:jc w:val="center"/>
              <w:rPr>
                <w:rFonts w:ascii="Times New Roman" w:eastAsia="Times New Roman" w:hAnsi="Times New Roman" w:cs="Times New Roman"/>
                <w:b/>
                <w:bCs/>
                <w:sz w:val="16"/>
                <w:szCs w:val="16"/>
              </w:rPr>
            </w:pPr>
            <w:r w:rsidRPr="00CF6E87">
              <w:rPr>
                <w:rFonts w:ascii="Times New Roman" w:eastAsia="Times New Roman" w:hAnsi="Times New Roman" w:cs="Times New Roman"/>
                <w:b/>
                <w:bCs/>
                <w:sz w:val="16"/>
                <w:szCs w:val="16"/>
              </w:rPr>
              <w:t>File Number)</w:t>
            </w:r>
          </w:p>
        </w:tc>
        <w:tc>
          <w:tcPr>
            <w:tcW w:w="0" w:type="auto"/>
            <w:hideMark/>
          </w:tcPr>
          <w:p w:rsidR="00CF6E87" w:rsidRPr="00CF6E87" w:rsidRDefault="00CF6E87" w:rsidP="00CF6E87">
            <w:pPr>
              <w:rPr>
                <w:rFonts w:ascii="Times New Roman" w:eastAsia="Times New Roman" w:hAnsi="Times New Roman" w:cs="Times New Roman"/>
                <w:sz w:val="16"/>
                <w:szCs w:val="16"/>
              </w:rPr>
            </w:pPr>
            <w:r w:rsidRPr="00CF6E87">
              <w:rPr>
                <w:rFonts w:ascii="Times New Roman" w:eastAsia="Times New Roman" w:hAnsi="Times New Roman" w:cs="Times New Roman"/>
                <w:sz w:val="16"/>
                <w:szCs w:val="16"/>
              </w:rPr>
              <w:t> </w:t>
            </w:r>
          </w:p>
        </w:tc>
        <w:tc>
          <w:tcPr>
            <w:tcW w:w="0" w:type="auto"/>
            <w:hideMark/>
          </w:tcPr>
          <w:p w:rsidR="00CF6E87" w:rsidRPr="00CF6E87" w:rsidRDefault="00CF6E87" w:rsidP="00CF6E87">
            <w:pPr>
              <w:jc w:val="center"/>
              <w:rPr>
                <w:rFonts w:ascii="Times New Roman" w:eastAsia="Times New Roman" w:hAnsi="Times New Roman" w:cs="Times New Roman"/>
                <w:b/>
                <w:bCs/>
                <w:sz w:val="16"/>
                <w:szCs w:val="16"/>
              </w:rPr>
            </w:pPr>
            <w:r w:rsidRPr="00CF6E87">
              <w:rPr>
                <w:rFonts w:ascii="Times New Roman" w:eastAsia="Times New Roman" w:hAnsi="Times New Roman" w:cs="Times New Roman"/>
                <w:b/>
                <w:bCs/>
                <w:sz w:val="16"/>
                <w:szCs w:val="16"/>
              </w:rPr>
              <w:t>(IRS Employer</w:t>
            </w:r>
          </w:p>
          <w:p w:rsidR="00CF6E87" w:rsidRPr="00CF6E87" w:rsidRDefault="00CF6E87" w:rsidP="00CF6E87">
            <w:pPr>
              <w:jc w:val="center"/>
              <w:rPr>
                <w:rFonts w:ascii="Times New Roman" w:eastAsia="Times New Roman" w:hAnsi="Times New Roman" w:cs="Times New Roman"/>
                <w:b/>
                <w:bCs/>
                <w:sz w:val="16"/>
                <w:szCs w:val="16"/>
              </w:rPr>
            </w:pPr>
            <w:r w:rsidRPr="00CF6E87">
              <w:rPr>
                <w:rFonts w:ascii="Times New Roman" w:eastAsia="Times New Roman" w:hAnsi="Times New Roman" w:cs="Times New Roman"/>
                <w:b/>
                <w:bCs/>
                <w:sz w:val="16"/>
                <w:szCs w:val="16"/>
              </w:rPr>
              <w:t>Identification No.)</w:t>
            </w:r>
          </w:p>
        </w:tc>
      </w:tr>
    </w:tbl>
    <w:p w:rsidR="00CF6E87" w:rsidRPr="00CF6E87" w:rsidRDefault="00CF6E87" w:rsidP="00CF6E87">
      <w:pPr>
        <w:shd w:val="clear" w:color="auto" w:fill="FFFFFF"/>
        <w:spacing w:before="240"/>
        <w:jc w:val="center"/>
        <w:rPr>
          <w:rFonts w:ascii="Times New Roman" w:eastAsia="Times New Roman" w:hAnsi="Times New Roman" w:cs="Times New Roman"/>
          <w:b/>
          <w:bCs/>
          <w:color w:val="212529"/>
          <w:szCs w:val="20"/>
        </w:rPr>
      </w:pPr>
      <w:r w:rsidRPr="00CF6E87">
        <w:rPr>
          <w:rFonts w:ascii="Times New Roman" w:eastAsia="Times New Roman" w:hAnsi="Times New Roman" w:cs="Times New Roman"/>
          <w:b/>
          <w:bCs/>
          <w:color w:val="212529"/>
          <w:szCs w:val="20"/>
        </w:rPr>
        <w:t>117 Adams Street</w:t>
      </w:r>
    </w:p>
    <w:p w:rsidR="00CF6E87" w:rsidRPr="00CF6E87" w:rsidRDefault="00CF6E87" w:rsidP="00CF6E87">
      <w:pPr>
        <w:shd w:val="clear" w:color="auto" w:fill="FFFFFF"/>
        <w:jc w:val="center"/>
        <w:rPr>
          <w:rFonts w:ascii="Times New Roman" w:eastAsia="Times New Roman" w:hAnsi="Times New Roman" w:cs="Times New Roman"/>
          <w:b/>
          <w:bCs/>
          <w:color w:val="212529"/>
          <w:szCs w:val="20"/>
        </w:rPr>
      </w:pPr>
      <w:r w:rsidRPr="00CF6E87">
        <w:rPr>
          <w:rFonts w:ascii="Times New Roman" w:eastAsia="Times New Roman" w:hAnsi="Times New Roman" w:cs="Times New Roman"/>
          <w:b/>
          <w:bCs/>
          <w:color w:val="212529"/>
          <w:szCs w:val="20"/>
        </w:rPr>
        <w:t>Brooklyn, New York 11201</w:t>
      </w:r>
    </w:p>
    <w:p w:rsidR="00CF6E87" w:rsidRPr="00CF6E87" w:rsidRDefault="00CF6E87" w:rsidP="00CF6E87">
      <w:pPr>
        <w:shd w:val="clear" w:color="auto" w:fill="FFFFFF"/>
        <w:jc w:val="center"/>
        <w:rPr>
          <w:rFonts w:ascii="Times New Roman" w:eastAsia="Times New Roman" w:hAnsi="Times New Roman" w:cs="Times New Roman"/>
          <w:b/>
          <w:bCs/>
          <w:color w:val="212529"/>
          <w:sz w:val="16"/>
          <w:szCs w:val="16"/>
        </w:rPr>
      </w:pPr>
      <w:r w:rsidRPr="00CF6E87">
        <w:rPr>
          <w:rFonts w:ascii="Times New Roman" w:eastAsia="Times New Roman" w:hAnsi="Times New Roman" w:cs="Times New Roman"/>
          <w:b/>
          <w:bCs/>
          <w:color w:val="212529"/>
          <w:sz w:val="16"/>
          <w:szCs w:val="16"/>
        </w:rPr>
        <w:t>(Address of principal executive offices, including zip code)</w:t>
      </w:r>
    </w:p>
    <w:p w:rsidR="00CF6E87" w:rsidRPr="00CF6E87" w:rsidRDefault="00CF6E87" w:rsidP="00CF6E87">
      <w:pPr>
        <w:shd w:val="clear" w:color="auto" w:fill="FFFFFF"/>
        <w:spacing w:before="240"/>
        <w:jc w:val="center"/>
        <w:rPr>
          <w:rFonts w:ascii="Times New Roman" w:eastAsia="Times New Roman" w:hAnsi="Times New Roman" w:cs="Times New Roman"/>
          <w:b/>
          <w:bCs/>
          <w:color w:val="212529"/>
          <w:szCs w:val="20"/>
        </w:rPr>
      </w:pPr>
      <w:r w:rsidRPr="00CF6E87">
        <w:rPr>
          <w:rFonts w:ascii="Times New Roman" w:eastAsia="Times New Roman" w:hAnsi="Times New Roman" w:cs="Times New Roman"/>
          <w:b/>
          <w:bCs/>
          <w:color w:val="212529"/>
          <w:szCs w:val="20"/>
        </w:rPr>
        <w:t>(718) 880-3660</w:t>
      </w:r>
    </w:p>
    <w:p w:rsidR="00CF6E87" w:rsidRPr="00CF6E87" w:rsidRDefault="00CF6E87" w:rsidP="00CF6E87">
      <w:pPr>
        <w:shd w:val="clear" w:color="auto" w:fill="FFFFFF"/>
        <w:jc w:val="center"/>
        <w:rPr>
          <w:rFonts w:ascii="Times New Roman" w:eastAsia="Times New Roman" w:hAnsi="Times New Roman" w:cs="Times New Roman"/>
          <w:b/>
          <w:bCs/>
          <w:color w:val="212529"/>
          <w:sz w:val="16"/>
          <w:szCs w:val="16"/>
        </w:rPr>
      </w:pPr>
      <w:r w:rsidRPr="00CF6E87">
        <w:rPr>
          <w:rFonts w:ascii="Times New Roman" w:eastAsia="Times New Roman" w:hAnsi="Times New Roman" w:cs="Times New Roman"/>
          <w:b/>
          <w:bCs/>
          <w:color w:val="212529"/>
          <w:sz w:val="16"/>
          <w:szCs w:val="16"/>
        </w:rPr>
        <w:t>(Registrant’s telephone number, including area code)</w:t>
      </w:r>
    </w:p>
    <w:p w:rsidR="00CF6E87" w:rsidRPr="00CF6E87" w:rsidRDefault="00CF6E87" w:rsidP="00CF6E87">
      <w:pPr>
        <w:pBdr>
          <w:bottom w:val="single" w:sz="6" w:space="0" w:color="000000"/>
        </w:pBdr>
        <w:shd w:val="clear" w:color="auto" w:fill="FFFFFF"/>
        <w:spacing w:before="240" w:line="120" w:lineRule="atLeast"/>
        <w:jc w:val="center"/>
        <w:rPr>
          <w:rFonts w:ascii="Segoe UI" w:eastAsia="Times New Roman" w:hAnsi="Segoe UI" w:cs="Segoe UI"/>
          <w:color w:val="212529"/>
          <w:szCs w:val="20"/>
        </w:rPr>
      </w:pPr>
      <w:r w:rsidRPr="00CF6E87">
        <w:rPr>
          <w:rFonts w:ascii="Segoe UI" w:eastAsia="Times New Roman" w:hAnsi="Segoe UI" w:cs="Segoe UI"/>
          <w:color w:val="212529"/>
          <w:szCs w:val="20"/>
        </w:rPr>
        <w:t> </w:t>
      </w:r>
    </w:p>
    <w:p w:rsidR="00CF6E87" w:rsidRPr="00CF6E87" w:rsidRDefault="00CF6E87" w:rsidP="00CF6E87">
      <w:pPr>
        <w:shd w:val="clear" w:color="auto" w:fill="FFFFFF"/>
        <w:spacing w:before="240"/>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t>Check the appropriate box below if the Form 8-K filing is intended to simultaneously satisfy the filing obligation of the registrant under any of the following provisions:</w:t>
      </w:r>
    </w:p>
    <w:tbl>
      <w:tblPr>
        <w:tblW w:w="12240" w:type="dxa"/>
        <w:tblCellMar>
          <w:left w:w="0" w:type="dxa"/>
          <w:right w:w="0" w:type="dxa"/>
        </w:tblCellMar>
        <w:tblLook w:val="04A0" w:firstRow="1" w:lastRow="0" w:firstColumn="1" w:lastColumn="0" w:noHBand="0" w:noVBand="1"/>
      </w:tblPr>
      <w:tblGrid>
        <w:gridCol w:w="496"/>
        <w:gridCol w:w="11744"/>
      </w:tblGrid>
      <w:tr w:rsidR="00CF6E87" w:rsidRPr="00CF6E87" w:rsidTr="00CF6E87">
        <w:tc>
          <w:tcPr>
            <w:tcW w:w="480" w:type="dxa"/>
            <w:noWrap/>
            <w:hideMark/>
          </w:tcPr>
          <w:p w:rsidR="00CF6E87" w:rsidRPr="00CF6E87" w:rsidRDefault="00CF6E87" w:rsidP="00CF6E87">
            <w:pPr>
              <w:rPr>
                <w:rFonts w:ascii="Times New Roman" w:eastAsia="Times New Roman" w:hAnsi="Times New Roman" w:cs="Times New Roman"/>
                <w:szCs w:val="20"/>
              </w:rPr>
            </w:pPr>
            <w:r w:rsidRPr="00CF6E87">
              <w:rPr>
                <w:rFonts w:ascii="MS Mincho" w:eastAsia="MS Mincho" w:hAnsi="MS Mincho" w:cs="MS Mincho"/>
                <w:szCs w:val="20"/>
              </w:rPr>
              <w:t>☐</w:t>
            </w:r>
          </w:p>
        </w:tc>
        <w:tc>
          <w:tcPr>
            <w:tcW w:w="0" w:type="auto"/>
            <w:vAlign w:val="center"/>
            <w:hideMark/>
          </w:tcPr>
          <w:p w:rsidR="00CF6E87" w:rsidRPr="00CF6E87" w:rsidRDefault="00CF6E87" w:rsidP="00CF6E87">
            <w:pPr>
              <w:rPr>
                <w:rFonts w:ascii="Times New Roman" w:eastAsia="Times New Roman" w:hAnsi="Times New Roman" w:cs="Times New Roman"/>
                <w:szCs w:val="20"/>
              </w:rPr>
            </w:pPr>
            <w:r w:rsidRPr="00CF6E87">
              <w:rPr>
                <w:rFonts w:ascii="Times New Roman" w:eastAsia="Times New Roman" w:hAnsi="Times New Roman" w:cs="Times New Roman"/>
                <w:szCs w:val="20"/>
              </w:rPr>
              <w:t>Written communications pursuant to Rule 425 under the Securities Act (17 CFR 230.425)</w:t>
            </w:r>
          </w:p>
        </w:tc>
      </w:tr>
    </w:tbl>
    <w:p w:rsidR="00CF6E87" w:rsidRPr="00CF6E87" w:rsidRDefault="00CF6E87" w:rsidP="00CF6E87">
      <w:pPr>
        <w:shd w:val="clear" w:color="auto" w:fill="FFFFFF"/>
        <w:rPr>
          <w:rFonts w:ascii="Segoe UI" w:eastAsia="Times New Roman" w:hAnsi="Segoe UI" w:cs="Segoe UI"/>
          <w:vanish/>
          <w:color w:val="212529"/>
          <w:szCs w:val="20"/>
        </w:rPr>
      </w:pPr>
    </w:p>
    <w:tbl>
      <w:tblPr>
        <w:tblW w:w="12240" w:type="dxa"/>
        <w:tblCellMar>
          <w:left w:w="0" w:type="dxa"/>
          <w:right w:w="0" w:type="dxa"/>
        </w:tblCellMar>
        <w:tblLook w:val="04A0" w:firstRow="1" w:lastRow="0" w:firstColumn="1" w:lastColumn="0" w:noHBand="0" w:noVBand="1"/>
      </w:tblPr>
      <w:tblGrid>
        <w:gridCol w:w="496"/>
        <w:gridCol w:w="11744"/>
      </w:tblGrid>
      <w:tr w:rsidR="00CF6E87" w:rsidRPr="00CF6E87" w:rsidTr="00CF6E87">
        <w:tc>
          <w:tcPr>
            <w:tcW w:w="480" w:type="dxa"/>
            <w:noWrap/>
            <w:hideMark/>
          </w:tcPr>
          <w:p w:rsidR="00CF6E87" w:rsidRPr="00CF6E87" w:rsidRDefault="00CF6E87" w:rsidP="00CF6E87">
            <w:pPr>
              <w:rPr>
                <w:rFonts w:ascii="Times New Roman" w:eastAsia="Times New Roman" w:hAnsi="Times New Roman" w:cs="Times New Roman"/>
                <w:szCs w:val="20"/>
              </w:rPr>
            </w:pPr>
            <w:r w:rsidRPr="00CF6E87">
              <w:rPr>
                <w:rFonts w:ascii="MS Mincho" w:eastAsia="MS Mincho" w:hAnsi="MS Mincho" w:cs="MS Mincho"/>
                <w:szCs w:val="20"/>
              </w:rPr>
              <w:t>☐</w:t>
            </w:r>
          </w:p>
        </w:tc>
        <w:tc>
          <w:tcPr>
            <w:tcW w:w="0" w:type="auto"/>
            <w:vAlign w:val="center"/>
            <w:hideMark/>
          </w:tcPr>
          <w:p w:rsidR="00CF6E87" w:rsidRPr="00CF6E87" w:rsidRDefault="00CF6E87" w:rsidP="00CF6E87">
            <w:pPr>
              <w:rPr>
                <w:rFonts w:ascii="Times New Roman" w:eastAsia="Times New Roman" w:hAnsi="Times New Roman" w:cs="Times New Roman"/>
                <w:szCs w:val="20"/>
              </w:rPr>
            </w:pPr>
            <w:r w:rsidRPr="00CF6E87">
              <w:rPr>
                <w:rFonts w:ascii="Times New Roman" w:eastAsia="Times New Roman" w:hAnsi="Times New Roman" w:cs="Times New Roman"/>
                <w:szCs w:val="20"/>
              </w:rPr>
              <w:t>Soliciting material pursuant to Rule 14a-12 under the Exchange Act (17 CFR 240.14a-12)</w:t>
            </w:r>
          </w:p>
        </w:tc>
      </w:tr>
    </w:tbl>
    <w:p w:rsidR="00CF6E87" w:rsidRPr="00CF6E87" w:rsidRDefault="00CF6E87" w:rsidP="00CF6E87">
      <w:pPr>
        <w:shd w:val="clear" w:color="auto" w:fill="FFFFFF"/>
        <w:rPr>
          <w:rFonts w:ascii="Segoe UI" w:eastAsia="Times New Roman" w:hAnsi="Segoe UI" w:cs="Segoe UI"/>
          <w:vanish/>
          <w:color w:val="212529"/>
          <w:szCs w:val="20"/>
        </w:rPr>
      </w:pPr>
    </w:p>
    <w:tbl>
      <w:tblPr>
        <w:tblW w:w="12240" w:type="dxa"/>
        <w:tblCellMar>
          <w:left w:w="0" w:type="dxa"/>
          <w:right w:w="0" w:type="dxa"/>
        </w:tblCellMar>
        <w:tblLook w:val="04A0" w:firstRow="1" w:lastRow="0" w:firstColumn="1" w:lastColumn="0" w:noHBand="0" w:noVBand="1"/>
      </w:tblPr>
      <w:tblGrid>
        <w:gridCol w:w="496"/>
        <w:gridCol w:w="11744"/>
      </w:tblGrid>
      <w:tr w:rsidR="00CF6E87" w:rsidRPr="00CF6E87" w:rsidTr="00CF6E87">
        <w:tc>
          <w:tcPr>
            <w:tcW w:w="480" w:type="dxa"/>
            <w:noWrap/>
            <w:hideMark/>
          </w:tcPr>
          <w:p w:rsidR="00CF6E87" w:rsidRPr="00CF6E87" w:rsidRDefault="00CF6E87" w:rsidP="00CF6E87">
            <w:pPr>
              <w:rPr>
                <w:rFonts w:ascii="Times New Roman" w:eastAsia="Times New Roman" w:hAnsi="Times New Roman" w:cs="Times New Roman"/>
                <w:szCs w:val="20"/>
              </w:rPr>
            </w:pPr>
            <w:r w:rsidRPr="00CF6E87">
              <w:rPr>
                <w:rFonts w:ascii="MS Mincho" w:eastAsia="MS Mincho" w:hAnsi="MS Mincho" w:cs="MS Mincho"/>
                <w:szCs w:val="20"/>
              </w:rPr>
              <w:t>☐</w:t>
            </w:r>
          </w:p>
        </w:tc>
        <w:tc>
          <w:tcPr>
            <w:tcW w:w="0" w:type="auto"/>
            <w:vAlign w:val="center"/>
            <w:hideMark/>
          </w:tcPr>
          <w:p w:rsidR="00CF6E87" w:rsidRPr="00CF6E87" w:rsidRDefault="00CF6E87" w:rsidP="00CF6E87">
            <w:pPr>
              <w:rPr>
                <w:rFonts w:ascii="Times New Roman" w:eastAsia="Times New Roman" w:hAnsi="Times New Roman" w:cs="Times New Roman"/>
                <w:szCs w:val="20"/>
              </w:rPr>
            </w:pPr>
            <w:r w:rsidRPr="00CF6E87">
              <w:rPr>
                <w:rFonts w:ascii="Times New Roman" w:eastAsia="Times New Roman" w:hAnsi="Times New Roman" w:cs="Times New Roman"/>
                <w:szCs w:val="20"/>
              </w:rPr>
              <w:t>Pre-commencement communications pursuant to Rule 14d-2(b) under the Exchange Act (17 CFR 240.14d-2(b))</w:t>
            </w:r>
          </w:p>
        </w:tc>
      </w:tr>
    </w:tbl>
    <w:p w:rsidR="00CF6E87" w:rsidRPr="00CF6E87" w:rsidRDefault="00CF6E87" w:rsidP="00CF6E87">
      <w:pPr>
        <w:shd w:val="clear" w:color="auto" w:fill="FFFFFF"/>
        <w:rPr>
          <w:rFonts w:ascii="Segoe UI" w:eastAsia="Times New Roman" w:hAnsi="Segoe UI" w:cs="Segoe UI"/>
          <w:vanish/>
          <w:color w:val="212529"/>
          <w:szCs w:val="20"/>
        </w:rPr>
      </w:pPr>
    </w:p>
    <w:tbl>
      <w:tblPr>
        <w:tblW w:w="12240" w:type="dxa"/>
        <w:tblCellMar>
          <w:left w:w="0" w:type="dxa"/>
          <w:right w:w="0" w:type="dxa"/>
        </w:tblCellMar>
        <w:tblLook w:val="04A0" w:firstRow="1" w:lastRow="0" w:firstColumn="1" w:lastColumn="0" w:noHBand="0" w:noVBand="1"/>
      </w:tblPr>
      <w:tblGrid>
        <w:gridCol w:w="496"/>
        <w:gridCol w:w="11744"/>
      </w:tblGrid>
      <w:tr w:rsidR="00CF6E87" w:rsidRPr="00CF6E87" w:rsidTr="00CF6E87">
        <w:tc>
          <w:tcPr>
            <w:tcW w:w="480" w:type="dxa"/>
            <w:noWrap/>
            <w:hideMark/>
          </w:tcPr>
          <w:p w:rsidR="00CF6E87" w:rsidRPr="00CF6E87" w:rsidRDefault="00CF6E87" w:rsidP="00CF6E87">
            <w:pPr>
              <w:rPr>
                <w:rFonts w:ascii="Times New Roman" w:eastAsia="Times New Roman" w:hAnsi="Times New Roman" w:cs="Times New Roman"/>
                <w:szCs w:val="20"/>
              </w:rPr>
            </w:pPr>
            <w:r w:rsidRPr="00CF6E87">
              <w:rPr>
                <w:rFonts w:ascii="MS Mincho" w:eastAsia="MS Mincho" w:hAnsi="MS Mincho" w:cs="MS Mincho"/>
                <w:szCs w:val="20"/>
              </w:rPr>
              <w:t>☐</w:t>
            </w:r>
          </w:p>
        </w:tc>
        <w:tc>
          <w:tcPr>
            <w:tcW w:w="0" w:type="auto"/>
            <w:vAlign w:val="center"/>
            <w:hideMark/>
          </w:tcPr>
          <w:p w:rsidR="00CF6E87" w:rsidRPr="00CF6E87" w:rsidRDefault="00CF6E87" w:rsidP="00CF6E87">
            <w:pPr>
              <w:rPr>
                <w:rFonts w:ascii="Times New Roman" w:eastAsia="Times New Roman" w:hAnsi="Times New Roman" w:cs="Times New Roman"/>
                <w:szCs w:val="20"/>
              </w:rPr>
            </w:pPr>
            <w:r w:rsidRPr="00CF6E87">
              <w:rPr>
                <w:rFonts w:ascii="Times New Roman" w:eastAsia="Times New Roman" w:hAnsi="Times New Roman" w:cs="Times New Roman"/>
                <w:szCs w:val="20"/>
              </w:rPr>
              <w:t>Pre-commencement communications pursuant to Rule 13e-4(c) under the Exchange Act (17 CFR 240.13e-4(c))</w:t>
            </w:r>
          </w:p>
        </w:tc>
      </w:tr>
    </w:tbl>
    <w:p w:rsidR="00CF6E87" w:rsidRPr="00CF6E87" w:rsidRDefault="00CF6E87" w:rsidP="00CF6E87">
      <w:pPr>
        <w:shd w:val="clear" w:color="auto" w:fill="FFFFFF"/>
        <w:spacing w:before="240"/>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t>Securities registered pursuant to Section 12(b) of the Exchange Act:</w:t>
      </w:r>
    </w:p>
    <w:tbl>
      <w:tblPr>
        <w:tblW w:w="12240" w:type="dxa"/>
        <w:tblCellSpacing w:w="0" w:type="dxa"/>
        <w:tblCellMar>
          <w:left w:w="0" w:type="dxa"/>
          <w:right w:w="0" w:type="dxa"/>
        </w:tblCellMar>
        <w:tblLook w:val="04A0" w:firstRow="1" w:lastRow="0" w:firstColumn="1" w:lastColumn="0" w:noHBand="0" w:noVBand="1"/>
      </w:tblPr>
      <w:tblGrid>
        <w:gridCol w:w="4290"/>
        <w:gridCol w:w="120"/>
        <w:gridCol w:w="4035"/>
        <w:gridCol w:w="120"/>
        <w:gridCol w:w="3675"/>
      </w:tblGrid>
      <w:tr w:rsidR="00CF6E87" w:rsidRPr="00CF6E87" w:rsidTr="00CF6E87">
        <w:trPr>
          <w:tblCellSpacing w:w="0" w:type="dxa"/>
        </w:trPr>
        <w:tc>
          <w:tcPr>
            <w:tcW w:w="4290" w:type="dxa"/>
            <w:vAlign w:val="center"/>
            <w:hideMark/>
          </w:tcPr>
          <w:p w:rsidR="00CF6E87" w:rsidRPr="00CF6E87" w:rsidRDefault="00CF6E87" w:rsidP="00CF6E87">
            <w:pPr>
              <w:spacing w:before="240"/>
              <w:rPr>
                <w:rFonts w:ascii="Times New Roman" w:eastAsia="Times New Roman" w:hAnsi="Times New Roman" w:cs="Times New Roman"/>
                <w:sz w:val="16"/>
                <w:szCs w:val="16"/>
              </w:rPr>
            </w:pPr>
          </w:p>
        </w:tc>
        <w:tc>
          <w:tcPr>
            <w:tcW w:w="120" w:type="dxa"/>
            <w:vAlign w:val="center"/>
            <w:hideMark/>
          </w:tcPr>
          <w:p w:rsidR="00CF6E87" w:rsidRPr="00CF6E87" w:rsidRDefault="00CF6E87" w:rsidP="00CF6E87">
            <w:pPr>
              <w:spacing w:before="240"/>
              <w:rPr>
                <w:rFonts w:ascii="Times New Roman" w:eastAsia="Times New Roman" w:hAnsi="Times New Roman" w:cs="Times New Roman"/>
                <w:sz w:val="16"/>
                <w:szCs w:val="16"/>
              </w:rPr>
            </w:pPr>
          </w:p>
        </w:tc>
        <w:tc>
          <w:tcPr>
            <w:tcW w:w="4035" w:type="dxa"/>
            <w:vAlign w:val="center"/>
            <w:hideMark/>
          </w:tcPr>
          <w:p w:rsidR="00CF6E87" w:rsidRPr="00CF6E87" w:rsidRDefault="00CF6E87" w:rsidP="00CF6E87">
            <w:pPr>
              <w:spacing w:before="240"/>
              <w:rPr>
                <w:rFonts w:ascii="Times New Roman" w:eastAsia="Times New Roman" w:hAnsi="Times New Roman" w:cs="Times New Roman"/>
                <w:sz w:val="16"/>
                <w:szCs w:val="16"/>
              </w:rPr>
            </w:pPr>
          </w:p>
        </w:tc>
        <w:tc>
          <w:tcPr>
            <w:tcW w:w="120" w:type="dxa"/>
            <w:vAlign w:val="center"/>
            <w:hideMark/>
          </w:tcPr>
          <w:p w:rsidR="00CF6E87" w:rsidRPr="00CF6E87" w:rsidRDefault="00CF6E87" w:rsidP="00CF6E87">
            <w:pPr>
              <w:spacing w:before="240"/>
              <w:rPr>
                <w:rFonts w:ascii="Times New Roman" w:eastAsia="Times New Roman" w:hAnsi="Times New Roman" w:cs="Times New Roman"/>
                <w:sz w:val="16"/>
                <w:szCs w:val="16"/>
              </w:rPr>
            </w:pPr>
          </w:p>
        </w:tc>
        <w:tc>
          <w:tcPr>
            <w:tcW w:w="3675" w:type="dxa"/>
            <w:vAlign w:val="center"/>
            <w:hideMark/>
          </w:tcPr>
          <w:p w:rsidR="00CF6E87" w:rsidRPr="00CF6E87" w:rsidRDefault="00CF6E87" w:rsidP="00CF6E87">
            <w:pPr>
              <w:spacing w:before="240"/>
              <w:rPr>
                <w:rFonts w:ascii="Times New Roman" w:eastAsia="Times New Roman" w:hAnsi="Times New Roman" w:cs="Times New Roman"/>
                <w:sz w:val="16"/>
                <w:szCs w:val="16"/>
              </w:rPr>
            </w:pPr>
          </w:p>
        </w:tc>
      </w:tr>
      <w:tr w:rsidR="00CF6E87" w:rsidRPr="00CF6E87" w:rsidTr="00CF6E87">
        <w:trPr>
          <w:tblCellSpacing w:w="0" w:type="dxa"/>
        </w:trPr>
        <w:tc>
          <w:tcPr>
            <w:tcW w:w="0" w:type="auto"/>
            <w:tcBorders>
              <w:bottom w:val="single" w:sz="8" w:space="0" w:color="000000"/>
            </w:tcBorders>
            <w:noWrap/>
            <w:vAlign w:val="bottom"/>
            <w:hideMark/>
          </w:tcPr>
          <w:p w:rsidR="00CF6E87" w:rsidRPr="00CF6E87" w:rsidRDefault="00CF6E87" w:rsidP="00CF6E87">
            <w:pPr>
              <w:jc w:val="center"/>
              <w:rPr>
                <w:rFonts w:ascii="Times New Roman" w:eastAsia="Times New Roman" w:hAnsi="Times New Roman" w:cs="Times New Roman"/>
                <w:b/>
                <w:bCs/>
                <w:sz w:val="16"/>
                <w:szCs w:val="16"/>
              </w:rPr>
            </w:pPr>
            <w:r w:rsidRPr="00CF6E87">
              <w:rPr>
                <w:rFonts w:ascii="Times New Roman" w:eastAsia="Times New Roman" w:hAnsi="Times New Roman" w:cs="Times New Roman"/>
                <w:b/>
                <w:bCs/>
                <w:sz w:val="16"/>
                <w:szCs w:val="16"/>
              </w:rPr>
              <w:t>Title of each class</w:t>
            </w:r>
          </w:p>
        </w:tc>
        <w:tc>
          <w:tcPr>
            <w:tcW w:w="0" w:type="auto"/>
            <w:vAlign w:val="bottom"/>
            <w:hideMark/>
          </w:tcPr>
          <w:p w:rsidR="00CF6E87" w:rsidRPr="00CF6E87" w:rsidRDefault="00CF6E87" w:rsidP="00CF6E87">
            <w:pPr>
              <w:rPr>
                <w:rFonts w:ascii="Times New Roman" w:eastAsia="Times New Roman" w:hAnsi="Times New Roman" w:cs="Times New Roman"/>
                <w:sz w:val="16"/>
                <w:szCs w:val="16"/>
              </w:rPr>
            </w:pPr>
            <w:r w:rsidRPr="00CF6E87">
              <w:rPr>
                <w:rFonts w:ascii="Times New Roman" w:eastAsia="Times New Roman" w:hAnsi="Times New Roman" w:cs="Times New Roman"/>
                <w:sz w:val="16"/>
                <w:szCs w:val="16"/>
              </w:rPr>
              <w:t> </w:t>
            </w:r>
          </w:p>
        </w:tc>
        <w:tc>
          <w:tcPr>
            <w:tcW w:w="0" w:type="auto"/>
            <w:tcBorders>
              <w:bottom w:val="single" w:sz="8" w:space="0" w:color="000000"/>
            </w:tcBorders>
            <w:vAlign w:val="bottom"/>
            <w:hideMark/>
          </w:tcPr>
          <w:p w:rsidR="00CF6E87" w:rsidRPr="00CF6E87" w:rsidRDefault="00CF6E87" w:rsidP="00CF6E87">
            <w:pPr>
              <w:jc w:val="center"/>
              <w:rPr>
                <w:rFonts w:ascii="Times New Roman" w:eastAsia="Times New Roman" w:hAnsi="Times New Roman" w:cs="Times New Roman"/>
                <w:b/>
                <w:bCs/>
                <w:sz w:val="16"/>
                <w:szCs w:val="16"/>
              </w:rPr>
            </w:pPr>
            <w:r w:rsidRPr="00CF6E87">
              <w:rPr>
                <w:rFonts w:ascii="Times New Roman" w:eastAsia="Times New Roman" w:hAnsi="Times New Roman" w:cs="Times New Roman"/>
                <w:b/>
                <w:bCs/>
                <w:sz w:val="16"/>
                <w:szCs w:val="16"/>
              </w:rPr>
              <w:t>Trading</w:t>
            </w:r>
          </w:p>
          <w:p w:rsidR="00CF6E87" w:rsidRPr="00CF6E87" w:rsidRDefault="00CF6E87" w:rsidP="00CF6E87">
            <w:pPr>
              <w:jc w:val="center"/>
              <w:rPr>
                <w:rFonts w:ascii="Times New Roman" w:eastAsia="Times New Roman" w:hAnsi="Times New Roman" w:cs="Times New Roman"/>
                <w:b/>
                <w:bCs/>
                <w:sz w:val="16"/>
                <w:szCs w:val="16"/>
              </w:rPr>
            </w:pPr>
            <w:r w:rsidRPr="00CF6E87">
              <w:rPr>
                <w:rFonts w:ascii="Times New Roman" w:eastAsia="Times New Roman" w:hAnsi="Times New Roman" w:cs="Times New Roman"/>
                <w:b/>
                <w:bCs/>
                <w:sz w:val="16"/>
                <w:szCs w:val="16"/>
              </w:rPr>
              <w:t>Symbol(s)</w:t>
            </w:r>
          </w:p>
        </w:tc>
        <w:tc>
          <w:tcPr>
            <w:tcW w:w="0" w:type="auto"/>
            <w:vAlign w:val="bottom"/>
            <w:hideMark/>
          </w:tcPr>
          <w:p w:rsidR="00CF6E87" w:rsidRPr="00CF6E87" w:rsidRDefault="00CF6E87" w:rsidP="00CF6E87">
            <w:pPr>
              <w:rPr>
                <w:rFonts w:ascii="Times New Roman" w:eastAsia="Times New Roman" w:hAnsi="Times New Roman" w:cs="Times New Roman"/>
                <w:sz w:val="16"/>
                <w:szCs w:val="16"/>
              </w:rPr>
            </w:pPr>
            <w:r w:rsidRPr="00CF6E87">
              <w:rPr>
                <w:rFonts w:ascii="Times New Roman" w:eastAsia="Times New Roman" w:hAnsi="Times New Roman" w:cs="Times New Roman"/>
                <w:sz w:val="16"/>
                <w:szCs w:val="16"/>
              </w:rPr>
              <w:t> </w:t>
            </w:r>
          </w:p>
        </w:tc>
        <w:tc>
          <w:tcPr>
            <w:tcW w:w="0" w:type="auto"/>
            <w:tcBorders>
              <w:bottom w:val="single" w:sz="8" w:space="0" w:color="000000"/>
            </w:tcBorders>
            <w:vAlign w:val="bottom"/>
            <w:hideMark/>
          </w:tcPr>
          <w:p w:rsidR="00CF6E87" w:rsidRPr="00CF6E87" w:rsidRDefault="00CF6E87" w:rsidP="00CF6E87">
            <w:pPr>
              <w:jc w:val="center"/>
              <w:rPr>
                <w:rFonts w:ascii="Times New Roman" w:eastAsia="Times New Roman" w:hAnsi="Times New Roman" w:cs="Times New Roman"/>
                <w:b/>
                <w:bCs/>
                <w:sz w:val="16"/>
                <w:szCs w:val="16"/>
              </w:rPr>
            </w:pPr>
            <w:r w:rsidRPr="00CF6E87">
              <w:rPr>
                <w:rFonts w:ascii="Times New Roman" w:eastAsia="Times New Roman" w:hAnsi="Times New Roman" w:cs="Times New Roman"/>
                <w:b/>
                <w:bCs/>
                <w:sz w:val="16"/>
                <w:szCs w:val="16"/>
              </w:rPr>
              <w:t>Name of each exchange</w:t>
            </w:r>
          </w:p>
          <w:p w:rsidR="00CF6E87" w:rsidRPr="00CF6E87" w:rsidRDefault="00CF6E87" w:rsidP="00CF6E87">
            <w:pPr>
              <w:jc w:val="center"/>
              <w:rPr>
                <w:rFonts w:ascii="Times New Roman" w:eastAsia="Times New Roman" w:hAnsi="Times New Roman" w:cs="Times New Roman"/>
                <w:b/>
                <w:bCs/>
                <w:sz w:val="16"/>
                <w:szCs w:val="16"/>
              </w:rPr>
            </w:pPr>
            <w:r w:rsidRPr="00CF6E87">
              <w:rPr>
                <w:rFonts w:ascii="Times New Roman" w:eastAsia="Times New Roman" w:hAnsi="Times New Roman" w:cs="Times New Roman"/>
                <w:b/>
                <w:bCs/>
                <w:sz w:val="16"/>
                <w:szCs w:val="16"/>
              </w:rPr>
              <w:t>on which registered</w:t>
            </w:r>
          </w:p>
        </w:tc>
      </w:tr>
      <w:tr w:rsidR="00CF6E87" w:rsidRPr="00CF6E87" w:rsidTr="00CF6E87">
        <w:trPr>
          <w:tblCellSpacing w:w="0" w:type="dxa"/>
        </w:trPr>
        <w:tc>
          <w:tcPr>
            <w:tcW w:w="0" w:type="auto"/>
            <w:hideMark/>
          </w:tcPr>
          <w:p w:rsidR="00CF6E87" w:rsidRPr="00CF6E87" w:rsidRDefault="00CF6E87" w:rsidP="00CF6E87">
            <w:pPr>
              <w:jc w:val="center"/>
              <w:rPr>
                <w:rFonts w:ascii="Times New Roman" w:eastAsia="Times New Roman" w:hAnsi="Times New Roman" w:cs="Times New Roman"/>
                <w:b/>
                <w:bCs/>
                <w:szCs w:val="20"/>
              </w:rPr>
            </w:pPr>
            <w:r w:rsidRPr="00CF6E87">
              <w:rPr>
                <w:rFonts w:ascii="Times New Roman" w:eastAsia="Times New Roman" w:hAnsi="Times New Roman" w:cs="Times New Roman"/>
                <w:b/>
                <w:bCs/>
                <w:szCs w:val="20"/>
              </w:rPr>
              <w:t>Common Stock, $0.001 par value per share</w:t>
            </w:r>
          </w:p>
        </w:tc>
        <w:tc>
          <w:tcPr>
            <w:tcW w:w="0" w:type="auto"/>
            <w:hideMark/>
          </w:tcPr>
          <w:p w:rsidR="00CF6E87" w:rsidRPr="00CF6E87" w:rsidRDefault="00CF6E87" w:rsidP="00CF6E87">
            <w:pPr>
              <w:rPr>
                <w:rFonts w:ascii="Times New Roman" w:eastAsia="Times New Roman" w:hAnsi="Times New Roman" w:cs="Times New Roman"/>
                <w:szCs w:val="20"/>
              </w:rPr>
            </w:pPr>
            <w:r w:rsidRPr="00CF6E87">
              <w:rPr>
                <w:rFonts w:ascii="Times New Roman" w:eastAsia="Times New Roman" w:hAnsi="Times New Roman" w:cs="Times New Roman"/>
                <w:szCs w:val="20"/>
              </w:rPr>
              <w:t> </w:t>
            </w:r>
          </w:p>
        </w:tc>
        <w:tc>
          <w:tcPr>
            <w:tcW w:w="0" w:type="auto"/>
            <w:hideMark/>
          </w:tcPr>
          <w:p w:rsidR="00CF6E87" w:rsidRPr="00CF6E87" w:rsidRDefault="00CF6E87" w:rsidP="00CF6E87">
            <w:pPr>
              <w:jc w:val="center"/>
              <w:rPr>
                <w:rFonts w:ascii="Times New Roman" w:eastAsia="Times New Roman" w:hAnsi="Times New Roman" w:cs="Times New Roman"/>
                <w:b/>
                <w:bCs/>
                <w:szCs w:val="20"/>
              </w:rPr>
            </w:pPr>
            <w:r w:rsidRPr="00CF6E87">
              <w:rPr>
                <w:rFonts w:ascii="Times New Roman" w:eastAsia="Times New Roman" w:hAnsi="Times New Roman" w:cs="Times New Roman"/>
                <w:b/>
                <w:bCs/>
                <w:szCs w:val="20"/>
              </w:rPr>
              <w:t>ETSY</w:t>
            </w:r>
          </w:p>
        </w:tc>
        <w:tc>
          <w:tcPr>
            <w:tcW w:w="0" w:type="auto"/>
            <w:hideMark/>
          </w:tcPr>
          <w:p w:rsidR="00CF6E87" w:rsidRPr="00CF6E87" w:rsidRDefault="00CF6E87" w:rsidP="00CF6E87">
            <w:pPr>
              <w:rPr>
                <w:rFonts w:ascii="Times New Roman" w:eastAsia="Times New Roman" w:hAnsi="Times New Roman" w:cs="Times New Roman"/>
                <w:szCs w:val="20"/>
              </w:rPr>
            </w:pPr>
            <w:r w:rsidRPr="00CF6E87">
              <w:rPr>
                <w:rFonts w:ascii="Times New Roman" w:eastAsia="Times New Roman" w:hAnsi="Times New Roman" w:cs="Times New Roman"/>
                <w:szCs w:val="20"/>
              </w:rPr>
              <w:t> </w:t>
            </w:r>
          </w:p>
        </w:tc>
        <w:tc>
          <w:tcPr>
            <w:tcW w:w="0" w:type="auto"/>
            <w:hideMark/>
          </w:tcPr>
          <w:p w:rsidR="00CF6E87" w:rsidRPr="00CF6E87" w:rsidRDefault="00CF6E87" w:rsidP="00CF6E87">
            <w:pPr>
              <w:jc w:val="center"/>
              <w:rPr>
                <w:rFonts w:ascii="Times New Roman" w:eastAsia="Times New Roman" w:hAnsi="Times New Roman" w:cs="Times New Roman"/>
                <w:b/>
                <w:bCs/>
                <w:szCs w:val="20"/>
              </w:rPr>
            </w:pPr>
            <w:r w:rsidRPr="00CF6E87">
              <w:rPr>
                <w:rFonts w:ascii="Times New Roman" w:eastAsia="Times New Roman" w:hAnsi="Times New Roman" w:cs="Times New Roman"/>
                <w:b/>
                <w:bCs/>
                <w:szCs w:val="20"/>
              </w:rPr>
              <w:t>The Nasdaq Global Select Market</w:t>
            </w:r>
          </w:p>
        </w:tc>
      </w:tr>
    </w:tbl>
    <w:p w:rsidR="00CF6E87" w:rsidRPr="00CF6E87" w:rsidRDefault="00CF6E87" w:rsidP="00CF6E87">
      <w:pPr>
        <w:shd w:val="clear" w:color="auto" w:fill="FFFFFF"/>
        <w:spacing w:before="240"/>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t>Indicate by check mark whether the registrant is an emerging growth company as defined in Rule 405 of the Securities Act of 1933 (§230.405 of this chapter) or Rule 12b-2 of the Securities Exchange Act of 1934 (§240.12b-2 of this chapter).</w:t>
      </w:r>
    </w:p>
    <w:p w:rsidR="00CF6E87" w:rsidRPr="00CF6E87" w:rsidRDefault="00CF6E87" w:rsidP="00CF6E87">
      <w:pPr>
        <w:shd w:val="clear" w:color="auto" w:fill="FFFFFF"/>
        <w:spacing w:before="240"/>
        <w:jc w:val="right"/>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t>Emerging growth company</w:t>
      </w:r>
      <w:proofErr w:type="gramStart"/>
      <w:r w:rsidRPr="00CF6E87">
        <w:rPr>
          <w:rFonts w:ascii="Times New Roman" w:eastAsia="Times New Roman" w:hAnsi="Times New Roman" w:cs="Times New Roman"/>
          <w:color w:val="212529"/>
          <w:szCs w:val="20"/>
        </w:rPr>
        <w:t>  </w:t>
      </w:r>
      <w:r w:rsidRPr="00CF6E87">
        <w:rPr>
          <w:rFonts w:ascii="MS Mincho" w:eastAsia="MS Mincho" w:hAnsi="MS Mincho" w:cs="MS Mincho"/>
          <w:color w:val="212529"/>
          <w:szCs w:val="20"/>
        </w:rPr>
        <w:t>☐</w:t>
      </w:r>
      <w:proofErr w:type="gramEnd"/>
    </w:p>
    <w:p w:rsidR="00CF6E87" w:rsidRPr="00CF6E87" w:rsidRDefault="00CF6E87" w:rsidP="00CF6E87">
      <w:pPr>
        <w:shd w:val="clear" w:color="auto" w:fill="FFFFFF"/>
        <w:spacing w:before="240"/>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lastRenderedPageBreak/>
        <w:t>If an emerging growth company, indicate by check mark if the registrant has elected not to use the extended transition period for complying with any new or revised financial accounting standards provided pursuant to Section 13(a) of the Exchange Act.  </w:t>
      </w:r>
      <w:r w:rsidRPr="00CF6E87">
        <w:rPr>
          <w:rFonts w:ascii="MS Mincho" w:eastAsia="MS Mincho" w:hAnsi="MS Mincho" w:cs="MS Mincho"/>
          <w:color w:val="212529"/>
          <w:szCs w:val="20"/>
        </w:rPr>
        <w:t>☐</w:t>
      </w:r>
    </w:p>
    <w:p w:rsidR="00CF6E87" w:rsidRPr="00CF6E87" w:rsidRDefault="00CF6E87" w:rsidP="00CF6E87">
      <w:pPr>
        <w:pBdr>
          <w:bottom w:val="single" w:sz="2" w:space="0" w:color="000000"/>
        </w:pBdr>
        <w:shd w:val="clear" w:color="auto" w:fill="FFFFFF"/>
        <w:spacing w:line="10" w:lineRule="atLeast"/>
        <w:jc w:val="center"/>
        <w:rPr>
          <w:rFonts w:ascii="Segoe UI" w:eastAsia="Times New Roman" w:hAnsi="Segoe UI" w:cs="Segoe UI"/>
          <w:color w:val="212529"/>
          <w:szCs w:val="20"/>
        </w:rPr>
      </w:pPr>
      <w:r w:rsidRPr="00CF6E87">
        <w:rPr>
          <w:rFonts w:ascii="Segoe UI" w:eastAsia="Times New Roman" w:hAnsi="Segoe UI" w:cs="Segoe UI"/>
          <w:color w:val="212529"/>
          <w:szCs w:val="20"/>
        </w:rPr>
        <w:t> </w:t>
      </w:r>
    </w:p>
    <w:p w:rsidR="00CF6E87" w:rsidRPr="00CF6E87" w:rsidRDefault="00CF6E87" w:rsidP="00CF6E87">
      <w:pPr>
        <w:pBdr>
          <w:bottom w:val="single" w:sz="2" w:space="0" w:color="000000"/>
        </w:pBdr>
        <w:shd w:val="clear" w:color="auto" w:fill="FFFFFF"/>
        <w:spacing w:after="40" w:line="60" w:lineRule="atLeast"/>
        <w:jc w:val="center"/>
        <w:rPr>
          <w:rFonts w:ascii="Segoe UI" w:eastAsia="Times New Roman" w:hAnsi="Segoe UI" w:cs="Segoe UI"/>
          <w:color w:val="212529"/>
          <w:szCs w:val="20"/>
        </w:rPr>
      </w:pPr>
      <w:r w:rsidRPr="00CF6E87">
        <w:rPr>
          <w:rFonts w:ascii="Segoe UI" w:eastAsia="Times New Roman" w:hAnsi="Segoe UI" w:cs="Segoe UI"/>
          <w:color w:val="212529"/>
          <w:szCs w:val="20"/>
        </w:rPr>
        <w:t> </w:t>
      </w:r>
    </w:p>
    <w:p w:rsidR="00CF6E87" w:rsidRPr="00CF6E87" w:rsidRDefault="00313669" w:rsidP="00CF6E87">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918.75pt;height:2.25pt" o:hrpct="0" o:hrstd="t" o:hrnoshade="t" o:hr="t" fillcolor="#999" stroked="f"/>
        </w:pict>
      </w:r>
    </w:p>
    <w:tbl>
      <w:tblPr>
        <w:tblW w:w="12240" w:type="dxa"/>
        <w:tblCellMar>
          <w:left w:w="0" w:type="dxa"/>
          <w:right w:w="0" w:type="dxa"/>
        </w:tblCellMar>
        <w:tblLook w:val="04A0" w:firstRow="1" w:lastRow="0" w:firstColumn="1" w:lastColumn="0" w:noHBand="0" w:noVBand="1"/>
      </w:tblPr>
      <w:tblGrid>
        <w:gridCol w:w="1231"/>
        <w:gridCol w:w="11009"/>
      </w:tblGrid>
      <w:tr w:rsidR="00CF6E87" w:rsidRPr="00CF6E87" w:rsidTr="00CF6E87">
        <w:tc>
          <w:tcPr>
            <w:tcW w:w="1215" w:type="dxa"/>
            <w:noWrap/>
            <w:hideMark/>
          </w:tcPr>
          <w:p w:rsidR="00CF6E87" w:rsidRPr="00CF6E87" w:rsidRDefault="00CF6E87" w:rsidP="00CF6E87">
            <w:pPr>
              <w:rPr>
                <w:rFonts w:ascii="Times New Roman" w:eastAsia="Times New Roman" w:hAnsi="Times New Roman" w:cs="Times New Roman"/>
                <w:b/>
                <w:bCs/>
                <w:szCs w:val="20"/>
              </w:rPr>
            </w:pPr>
            <w:r w:rsidRPr="00CF6E87">
              <w:rPr>
                <w:rFonts w:ascii="Times New Roman" w:eastAsia="Times New Roman" w:hAnsi="Times New Roman" w:cs="Times New Roman"/>
                <w:b/>
                <w:bCs/>
                <w:szCs w:val="20"/>
              </w:rPr>
              <w:t>Item 1.01</w:t>
            </w:r>
          </w:p>
        </w:tc>
        <w:tc>
          <w:tcPr>
            <w:tcW w:w="0" w:type="auto"/>
            <w:vAlign w:val="center"/>
            <w:hideMark/>
          </w:tcPr>
          <w:p w:rsidR="00CF6E87" w:rsidRPr="00CF6E87" w:rsidRDefault="00CF6E87" w:rsidP="00CF6E87">
            <w:pPr>
              <w:rPr>
                <w:rFonts w:ascii="Times New Roman" w:eastAsia="Times New Roman" w:hAnsi="Times New Roman" w:cs="Times New Roman"/>
                <w:b/>
                <w:bCs/>
                <w:szCs w:val="20"/>
              </w:rPr>
            </w:pPr>
            <w:r w:rsidRPr="00CF6E87">
              <w:rPr>
                <w:rFonts w:ascii="Times New Roman" w:eastAsia="Times New Roman" w:hAnsi="Times New Roman" w:cs="Times New Roman"/>
                <w:b/>
                <w:bCs/>
                <w:szCs w:val="20"/>
              </w:rPr>
              <w:t>Entry into a Material Definitive Agreement.</w:t>
            </w:r>
          </w:p>
        </w:tc>
      </w:tr>
    </w:tbl>
    <w:p w:rsidR="00CF6E87" w:rsidRPr="00CF6E87" w:rsidRDefault="00CF6E87" w:rsidP="00CF6E87">
      <w:pPr>
        <w:shd w:val="clear" w:color="auto" w:fill="FFFFFF"/>
        <w:spacing w:before="120"/>
        <w:rPr>
          <w:rFonts w:ascii="Times New Roman" w:eastAsia="Times New Roman" w:hAnsi="Times New Roman" w:cs="Times New Roman"/>
          <w:i/>
          <w:iCs/>
          <w:color w:val="212529"/>
          <w:szCs w:val="20"/>
        </w:rPr>
      </w:pPr>
      <w:r w:rsidRPr="00CF6E87">
        <w:rPr>
          <w:rFonts w:ascii="Times New Roman" w:eastAsia="Times New Roman" w:hAnsi="Times New Roman" w:cs="Times New Roman"/>
          <w:i/>
          <w:iCs/>
          <w:color w:val="212529"/>
          <w:szCs w:val="20"/>
        </w:rPr>
        <w:t>Purchase Agreement</w:t>
      </w:r>
    </w:p>
    <w:p w:rsidR="00CF6E87" w:rsidRPr="00CF6E87" w:rsidRDefault="00CF6E87" w:rsidP="00CF6E87">
      <w:pPr>
        <w:shd w:val="clear" w:color="auto" w:fill="FFFFFF"/>
        <w:spacing w:before="120"/>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t>On September 18, 2019, Etsy, Inc. (“Etsy”) entered into a purchase agreement (the “Purchase Agreement”) with J.P. Morgan Securities LLC, Goldman Sachs &amp; Co. LLC and Barclays Capital Inc. (the “Initial Purchasers”), relating to the sale by Etsy of an aggregate of $650 million principal amount of its 0.125% Convertible Senior Notes due 2026 (the “Notes”) in a private offering (the “Note Offering”) to persons reasonably expected to be qualified institutional buyers pursuant to Rule 144A under the Securities Act of 1933, as amended (the “Securities Act”). Pursuant to the terms of the Purchase Agreement, the parties have agreed to indemnify each other against certain liabilities, including certain liabilities under the Securities Act.</w:t>
      </w:r>
    </w:p>
    <w:p w:rsidR="00CF6E87" w:rsidRPr="00CF6E87" w:rsidRDefault="00CF6E87" w:rsidP="00CF6E87">
      <w:pPr>
        <w:shd w:val="clear" w:color="auto" w:fill="FFFFFF"/>
        <w:spacing w:before="240"/>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t>A copy of the Purchase Agreement is filed as Exhibit 99.1 to this Current Report on Form 8-K and is incorporated by reference herein. The foregoing description of the Purchase Agreement does not purport to be complete and is qualified in its entirety by reference to such exhibit.</w:t>
      </w:r>
    </w:p>
    <w:p w:rsidR="00CF6E87" w:rsidRPr="00CF6E87" w:rsidRDefault="00CF6E87" w:rsidP="00CF6E87">
      <w:pPr>
        <w:shd w:val="clear" w:color="auto" w:fill="FFFFFF"/>
        <w:spacing w:before="360"/>
        <w:rPr>
          <w:rFonts w:ascii="Times New Roman" w:eastAsia="Times New Roman" w:hAnsi="Times New Roman" w:cs="Times New Roman"/>
          <w:i/>
          <w:iCs/>
          <w:color w:val="212529"/>
          <w:szCs w:val="20"/>
        </w:rPr>
      </w:pPr>
      <w:r w:rsidRPr="00CF6E87">
        <w:rPr>
          <w:rFonts w:ascii="Times New Roman" w:eastAsia="Times New Roman" w:hAnsi="Times New Roman" w:cs="Times New Roman"/>
          <w:i/>
          <w:iCs/>
          <w:color w:val="212529"/>
          <w:szCs w:val="20"/>
        </w:rPr>
        <w:t>Indenture and Notes</w:t>
      </w:r>
    </w:p>
    <w:p w:rsidR="00CF6E87" w:rsidRPr="00CF6E87" w:rsidRDefault="00CF6E87" w:rsidP="00CF6E87">
      <w:pPr>
        <w:shd w:val="clear" w:color="auto" w:fill="FFFFFF"/>
        <w:spacing w:before="120"/>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t>Etsy issued an aggregate of $650 million principal amount of Notes on September 23, 2019, pursuant to an Indenture, dated September 23, 2019 (the “Indenture”), between Etsy and U.S. Bank National Association, as trustee (the “Trustee”). The Notes are senior, unsecured obligations of Etsy and will accrue interest payable semiannually in arrears on April 1 and October 1 of each year, beginning on April 1, 2020, at a rate of 0.125% per year. The Notes will mature on October 1, 2026, unless earlier converted or repurchased. The Notes are convertible into cash, shares of Etsy’s common stock or a combination of cash and shares of Etsy’s common stock, at Etsy’s election.</w:t>
      </w:r>
    </w:p>
    <w:p w:rsidR="00CF6E87" w:rsidRPr="00CF6E87" w:rsidRDefault="00CF6E87" w:rsidP="00CF6E87">
      <w:pPr>
        <w:shd w:val="clear" w:color="auto" w:fill="FFFFFF"/>
        <w:spacing w:before="240"/>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t>The net proceeds from the Note Offering are expected to be approximately $639.3 million, after deducting the Initial Purchasers’ discount and estimated offering expenses payable by Etsy. Etsy used a portion of the net proceeds from the Note Offering to pay the cost of the capped call transactions described below. In addition, Etsy used approximately $124.5 million of the net proceeds from the Note Offering to repurchase 2,094,196 shares of its common stock concurrently with the pricing of the Note Offering in privately negotiated transactions effected through one of the Initial Purchasers or its affiliates. Etsy intends to use the remainder of the net proceeds from the Note Offering for general corporate purposes, which may include, for example, repurchases from time to time under Etsy’s existing or any future stock repurchase program, product development, marketing and any potential acquisitions.</w:t>
      </w:r>
    </w:p>
    <w:p w:rsidR="00CF6E87" w:rsidRPr="00CF6E87" w:rsidRDefault="00CF6E87" w:rsidP="00CF6E87">
      <w:pPr>
        <w:shd w:val="clear" w:color="auto" w:fill="FFFFFF"/>
        <w:spacing w:before="240"/>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t xml:space="preserve">Holders may convert their Notes at their option at any time prior to the close of business on the business day immediately preceding </w:t>
      </w:r>
      <w:r w:rsidRPr="00CF6E87">
        <w:rPr>
          <w:rFonts w:ascii="Times New Roman" w:eastAsia="Times New Roman" w:hAnsi="Times New Roman" w:cs="Times New Roman"/>
          <w:color w:val="212529"/>
          <w:szCs w:val="20"/>
          <w:highlight w:val="yellow"/>
        </w:rPr>
        <w:t>June 1, 2026</w:t>
      </w:r>
      <w:r w:rsidRPr="00CF6E87">
        <w:rPr>
          <w:rFonts w:ascii="Times New Roman" w:eastAsia="Times New Roman" w:hAnsi="Times New Roman" w:cs="Times New Roman"/>
          <w:color w:val="212529"/>
          <w:szCs w:val="20"/>
        </w:rPr>
        <w:t xml:space="preserve"> only under the following circumstances: (1) during any calendar quarter commencing after the calendar quarter ending on December 31, 2019 (and only during such calendar quarter), if the last reported sale price of Etsy’s common stock for at least 20 trading days (whether or not consecutive) during a period of 30 consecutive trading days ending on, and including, the last trading day of the immediately preceding calendar quarter is greater than or equal to 130% of the conversion price on each applicable trading day; (2) during the five business day period after any ten consecutive trading day period (the “measurement period”) in which the trading price (as defined in the Indenture) per $1,000 principal amount of Notes for each trading day of the measurement period was less than 98% of the product of the last reported sale price of Etsy’s common stock and the conversion rate on each such trading day; or (3) upon the occurrence of specified corporate events. On or after June 1, 2026 until the close of business on the second scheduled trading day immediately preceding the maturity date, holders may convert their Notes at any time, regardless of the foregoing circumstances. Upon conversion, Etsy will pay or deliver, as the case may be, cash, shares of its common stock or a combination of cash and shares of its common stock, at Etsy’s election.</w:t>
      </w:r>
    </w:p>
    <w:p w:rsidR="00CF6E87" w:rsidRPr="00CF6E87" w:rsidRDefault="00CF6E87" w:rsidP="00CF6E87">
      <w:pPr>
        <w:shd w:val="clear" w:color="auto" w:fill="FFFFFF"/>
        <w:spacing w:before="240"/>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t xml:space="preserve">The conversion rate will initially be 11.4040 shares of Etsy’s common stock per $1,000 principal amount of Notes (equivalent to an initial conversion price of approximately </w:t>
      </w:r>
      <w:r w:rsidRPr="00CF6E87">
        <w:rPr>
          <w:rFonts w:ascii="Times New Roman" w:eastAsia="Times New Roman" w:hAnsi="Times New Roman" w:cs="Times New Roman"/>
          <w:color w:val="212529"/>
          <w:szCs w:val="20"/>
          <w:highlight w:val="yellow"/>
        </w:rPr>
        <w:t>$87.69</w:t>
      </w:r>
      <w:r w:rsidRPr="00CF6E87">
        <w:rPr>
          <w:rFonts w:ascii="Times New Roman" w:eastAsia="Times New Roman" w:hAnsi="Times New Roman" w:cs="Times New Roman"/>
          <w:color w:val="212529"/>
          <w:szCs w:val="20"/>
        </w:rPr>
        <w:t xml:space="preserve"> per share of Etsy’s common stock). The conversion rate is subject to adjustment in some events but will not be adjusted for any accrued and unpaid interest. </w:t>
      </w:r>
      <w:r w:rsidRPr="00CF6E87">
        <w:rPr>
          <w:rFonts w:ascii="Times New Roman" w:eastAsia="Times New Roman" w:hAnsi="Times New Roman" w:cs="Times New Roman"/>
          <w:color w:val="212529"/>
          <w:szCs w:val="20"/>
        </w:rPr>
        <w:lastRenderedPageBreak/>
        <w:t>In addition, following certain corporate events that occur prior to the maturity date, Etsy will, in certain circumstances, increase the conversion rate for a holder who elects to convert its Notes in connection with such a corporate event.</w:t>
      </w:r>
    </w:p>
    <w:p w:rsidR="00CF6E87" w:rsidRPr="00CF6E87" w:rsidRDefault="00313669" w:rsidP="00CF6E87">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918.75pt;height:2.25pt" o:hrpct="0" o:hrstd="t" o:hrnoshade="t" o:hr="t" fillcolor="#999" stroked="f"/>
        </w:pict>
      </w:r>
    </w:p>
    <w:p w:rsidR="00CF6E87" w:rsidRPr="00CF6E87" w:rsidRDefault="00CF6E87" w:rsidP="00CF6E87">
      <w:pPr>
        <w:shd w:val="clear" w:color="auto" w:fill="FFFFFF"/>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t>Etsy may not redeem the Notes prior to the maturity date, and no sinking fund is provided for the Notes.</w:t>
      </w:r>
    </w:p>
    <w:p w:rsidR="00CF6E87" w:rsidRPr="00CF6E87" w:rsidRDefault="00CF6E87" w:rsidP="00CF6E87">
      <w:pPr>
        <w:shd w:val="clear" w:color="auto" w:fill="FFFFFF"/>
        <w:spacing w:before="240"/>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t>If Etsy undergoes a fundamental change (as defined in the Indenture), holders may require Etsy to repurchase for cash all or any portion of their Notes at a fundamental change repurchase price equal to 100% of the principal amount of the Notes to be repurchased, plus any accrued and unpaid interest to, but excluding, the fundamental change repurchase date.</w:t>
      </w:r>
    </w:p>
    <w:p w:rsidR="00CF6E87" w:rsidRPr="00CF6E87" w:rsidRDefault="00CF6E87" w:rsidP="00CF6E87">
      <w:pPr>
        <w:shd w:val="clear" w:color="auto" w:fill="FFFFFF"/>
        <w:spacing w:before="240"/>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t>The Indenture includes customary terms and covenants, including certain events of default. The following events are considered “events of default” with respect to the Notes, which may result in the acceleration of the maturity of the Notes: (1) Etsy defaults in any payment of interest on any Note when due and payable, and the default continues for a period of 30 days; (2) Etsy defaults in the payment of principal of any Note when due and payable at its stated maturity, upon any required repurchase, upon declaration of acceleration or otherwise; (3) failure by Etsy to comply with Etsy’s obligation to convert the Notes in accordance with the Indenture upon exercise of a holder’s conversion right and such failure continues for five (5) business days; (4) failure by Etsy to give a fundamental change notice, notice of a make-whole fundamental change (as defined in the Indenture) or notice of a specified corporate transaction, in each case when due and such failure continues for five (5) business days; (5) failure by Etsy to comply with its obligations under the Indenture with respect to consolidation, merger and sale of Etsy’s assets; (6) failure by Etsy for 60 days after written notice from the Trustee or the holders of at least 25% in principal amount of the Notes then outstanding has been received to comply with any of Etsy’ other agreements contained in the Notes or Indenture; (7) Etsy or any of its significant subsidiaries (as defined in the Indenture) defaults with respect to any mortgage, agreement or other instrument under which there may be outstanding, or by which there may be secured or evidenced, any indebtedness for money borrowed in excess of $60 million (or its foreign currency equivalent) in the aggregate of Etsy and/or any such significant subsidiary, whether such indebtedness now exists or shall hereafter be created (i) resulting in such indebtedness becoming or being declared due and payable prior to its stated maturity date or (ii) constituting a failure to pay the principal or interest of any such debt when due and payable (after the expiration of all applicable grace periods) at its stated maturity, upon required repurchase, upon declaration of acceleration or otherwise, and, in the cases of clauses (i) and (ii), such acceleration shall not have been rescinded or annulled or such failure to pay or default shall not have been cured or waived, or such indebtedness is not paid or discharged, as the case may be, within 30 days after written notice to Etsy by the Trustee or to Etsy and the trustee by holders of at least 25% in aggregate principal amount of Notes then outstanding in accordance with the Indenture; or (8) certain events of bankruptcy, insolvency, or reorganization of Etsy or any of its significant subsidiaries. Generally, if an event of default occurs and is continuing under the Indenture, either the Trustee or the holders of at least 25% in aggregate principal amount of the Notes then outstanding may declare the principal amount plus any accrued and unpaid interest on the Notes to be immediately due and payable.</w:t>
      </w:r>
    </w:p>
    <w:p w:rsidR="00CF6E87" w:rsidRPr="00CF6E87" w:rsidRDefault="00CF6E87" w:rsidP="00CF6E87">
      <w:pPr>
        <w:shd w:val="clear" w:color="auto" w:fill="FFFFFF"/>
        <w:spacing w:before="240"/>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t>The Notes are Etsy’s general unsecured obligations and rank senior in right of payment to all of Etsy’s indebtedness that is expressly subordinated in right of payment to the Notes; equal in right of payment with all of Etsy’s liabilities that are not so subordinated, including Etsy’s 0% Convertible Senior Notes due 2023; effectively junior to any of Etsy’s secured indebtedness to the extent of the value of the assets securing such indebtedness; and structurally junior to all indebtedness and other liabilities (including trade payables) of Etsy’s subsidiaries.</w:t>
      </w:r>
    </w:p>
    <w:p w:rsidR="00CF6E87" w:rsidRPr="00CF6E87" w:rsidRDefault="00CF6E87" w:rsidP="00CF6E87">
      <w:pPr>
        <w:shd w:val="clear" w:color="auto" w:fill="FFFFFF"/>
        <w:spacing w:before="240"/>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t>A copy of the Indenture and form of Note are filed as Exhibit 4.1 and Exhibit 4.2, respectively, to this Current Report on Form 8-K and are incorporated by reference herein. The foregoing description of the Indenture and Notes does not purport to be complete and is qualified in its entirety by reference to such exhibits.</w:t>
      </w:r>
    </w:p>
    <w:p w:rsidR="00CF6E87" w:rsidRPr="00CF6E87" w:rsidRDefault="00CF6E87" w:rsidP="00CF6E87">
      <w:pPr>
        <w:shd w:val="clear" w:color="auto" w:fill="FFFFFF"/>
        <w:spacing w:before="360"/>
        <w:rPr>
          <w:rFonts w:ascii="Times New Roman" w:eastAsia="Times New Roman" w:hAnsi="Times New Roman" w:cs="Times New Roman"/>
          <w:i/>
          <w:iCs/>
          <w:color w:val="212529"/>
          <w:szCs w:val="20"/>
        </w:rPr>
      </w:pPr>
      <w:r w:rsidRPr="00CF6E87">
        <w:rPr>
          <w:rFonts w:ascii="Times New Roman" w:eastAsia="Times New Roman" w:hAnsi="Times New Roman" w:cs="Times New Roman"/>
          <w:i/>
          <w:iCs/>
          <w:color w:val="212529"/>
          <w:szCs w:val="20"/>
        </w:rPr>
        <w:t>Capped Call Transactions</w:t>
      </w:r>
    </w:p>
    <w:p w:rsidR="00CF6E87" w:rsidRPr="00CF6E87" w:rsidRDefault="00CF6E87" w:rsidP="00CF6E87">
      <w:pPr>
        <w:shd w:val="clear" w:color="auto" w:fill="FFFFFF"/>
        <w:spacing w:before="120"/>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t xml:space="preserve">On September 18, 2019, concurrently with the pricing of the Notes, Etsy entered into capped call transactions with certain financial institutions (the “Option Counterparties”). Etsy used approximately </w:t>
      </w:r>
      <w:r w:rsidRPr="00CF6E87">
        <w:rPr>
          <w:rFonts w:ascii="Times New Roman" w:eastAsia="Times New Roman" w:hAnsi="Times New Roman" w:cs="Times New Roman"/>
          <w:color w:val="212529"/>
          <w:szCs w:val="20"/>
          <w:highlight w:val="yellow"/>
        </w:rPr>
        <w:t>$76.2 million</w:t>
      </w:r>
      <w:r w:rsidRPr="00CF6E87">
        <w:rPr>
          <w:rFonts w:ascii="Times New Roman" w:eastAsia="Times New Roman" w:hAnsi="Times New Roman" w:cs="Times New Roman"/>
          <w:color w:val="212529"/>
          <w:szCs w:val="20"/>
        </w:rPr>
        <w:t xml:space="preserve"> of the net proceeds from the Note Offering of the Notes to pay the cost of the capped call transactions. The capped call transactions are expected generally to reduce potential dilution to Etsy’s common stock upon any conversion of Notes and/or offset any cash payments Etsy is required to make in excess of the principal amount of converted</w:t>
      </w:r>
    </w:p>
    <w:p w:rsidR="00CF6E87" w:rsidRPr="00CF6E87" w:rsidRDefault="00313669" w:rsidP="00CF6E87">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918.75pt;height:2.25pt" o:hrpct="0" o:hrstd="t" o:hrnoshade="t" o:hr="t" fillcolor="#999" stroked="f"/>
        </w:pict>
      </w:r>
    </w:p>
    <w:p w:rsidR="00CF6E87" w:rsidRPr="00CF6E87" w:rsidRDefault="00CF6E87" w:rsidP="00CF6E87">
      <w:pPr>
        <w:shd w:val="clear" w:color="auto" w:fill="FFFFFF"/>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lastRenderedPageBreak/>
        <w:t>Notes, as the case may be, with such reduction and/or offset subject to a cap initially equal to $</w:t>
      </w:r>
      <w:r w:rsidRPr="00CF6E87">
        <w:rPr>
          <w:rFonts w:ascii="Times New Roman" w:eastAsia="Times New Roman" w:hAnsi="Times New Roman" w:cs="Times New Roman"/>
          <w:color w:val="212529"/>
          <w:szCs w:val="20"/>
          <w:highlight w:val="yellow"/>
        </w:rPr>
        <w:t>148.6250</w:t>
      </w:r>
      <w:r w:rsidRPr="00CF6E87">
        <w:rPr>
          <w:rFonts w:ascii="Times New Roman" w:eastAsia="Times New Roman" w:hAnsi="Times New Roman" w:cs="Times New Roman"/>
          <w:color w:val="212529"/>
          <w:szCs w:val="20"/>
        </w:rPr>
        <w:t xml:space="preserve"> (which represents a premium of </w:t>
      </w:r>
      <w:r w:rsidRPr="00CF6E87">
        <w:rPr>
          <w:rFonts w:ascii="Times New Roman" w:eastAsia="Times New Roman" w:hAnsi="Times New Roman" w:cs="Times New Roman"/>
          <w:color w:val="212529"/>
          <w:szCs w:val="20"/>
          <w:highlight w:val="yellow"/>
        </w:rPr>
        <w:t>150%</w:t>
      </w:r>
      <w:r w:rsidRPr="00CF6E87">
        <w:rPr>
          <w:rFonts w:ascii="Times New Roman" w:eastAsia="Times New Roman" w:hAnsi="Times New Roman" w:cs="Times New Roman"/>
          <w:color w:val="212529"/>
          <w:szCs w:val="20"/>
        </w:rPr>
        <w:t xml:space="preserve"> over the last reported sale price of Etsy’s common stock on September 18, 2019). The capped call transactions are separate transactions, entered into by Etsy with the Option Counterparties, and are not part of the terms of the Notes.</w:t>
      </w:r>
    </w:p>
    <w:p w:rsidR="00CF6E87" w:rsidRPr="00CF6E87" w:rsidRDefault="00CF6E87" w:rsidP="00CF6E87">
      <w:pPr>
        <w:shd w:val="clear" w:color="auto" w:fill="FFFFFF"/>
        <w:spacing w:before="240"/>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t>A copy of the form of confirmation for the capped call transactions is filed as Exhibit 99.2 to this Current Report on Form 8-K and is incorporated by reference herein. The foregoing description of the terms of the capped call transaction does not purport to be complete and is qualified in its entirety by reference to such exhibit.</w:t>
      </w:r>
    </w:p>
    <w:tbl>
      <w:tblPr>
        <w:tblW w:w="12240" w:type="dxa"/>
        <w:tblCellMar>
          <w:left w:w="0" w:type="dxa"/>
          <w:right w:w="0" w:type="dxa"/>
        </w:tblCellMar>
        <w:tblLook w:val="04A0" w:firstRow="1" w:lastRow="0" w:firstColumn="1" w:lastColumn="0" w:noHBand="0" w:noVBand="1"/>
      </w:tblPr>
      <w:tblGrid>
        <w:gridCol w:w="1231"/>
        <w:gridCol w:w="11009"/>
      </w:tblGrid>
      <w:tr w:rsidR="00CF6E87" w:rsidRPr="00CF6E87" w:rsidTr="00CF6E87">
        <w:tc>
          <w:tcPr>
            <w:tcW w:w="1215" w:type="dxa"/>
            <w:noWrap/>
            <w:hideMark/>
          </w:tcPr>
          <w:p w:rsidR="00CF6E87" w:rsidRPr="00CF6E87" w:rsidRDefault="00CF6E87" w:rsidP="00CF6E87">
            <w:pPr>
              <w:rPr>
                <w:rFonts w:ascii="Times New Roman" w:eastAsia="Times New Roman" w:hAnsi="Times New Roman" w:cs="Times New Roman"/>
                <w:b/>
                <w:bCs/>
                <w:szCs w:val="20"/>
              </w:rPr>
            </w:pPr>
            <w:r w:rsidRPr="00CF6E87">
              <w:rPr>
                <w:rFonts w:ascii="Times New Roman" w:eastAsia="Times New Roman" w:hAnsi="Times New Roman" w:cs="Times New Roman"/>
                <w:b/>
                <w:bCs/>
                <w:szCs w:val="20"/>
              </w:rPr>
              <w:t>Item 2.03</w:t>
            </w:r>
          </w:p>
        </w:tc>
        <w:tc>
          <w:tcPr>
            <w:tcW w:w="0" w:type="auto"/>
            <w:vAlign w:val="center"/>
            <w:hideMark/>
          </w:tcPr>
          <w:p w:rsidR="00CF6E87" w:rsidRPr="00CF6E87" w:rsidRDefault="00CF6E87" w:rsidP="00CF6E87">
            <w:pPr>
              <w:rPr>
                <w:rFonts w:ascii="Times New Roman" w:eastAsia="Times New Roman" w:hAnsi="Times New Roman" w:cs="Times New Roman"/>
                <w:b/>
                <w:bCs/>
                <w:szCs w:val="20"/>
              </w:rPr>
            </w:pPr>
            <w:r w:rsidRPr="00CF6E87">
              <w:rPr>
                <w:rFonts w:ascii="Times New Roman" w:eastAsia="Times New Roman" w:hAnsi="Times New Roman" w:cs="Times New Roman"/>
                <w:b/>
                <w:bCs/>
                <w:szCs w:val="20"/>
              </w:rPr>
              <w:t>Creation of a Direct Financial Obligation or an Obligation under an Off-Balance Sheet Arrangement of a Registrant</w:t>
            </w:r>
          </w:p>
        </w:tc>
      </w:tr>
    </w:tbl>
    <w:p w:rsidR="00CF6E87" w:rsidRPr="00CF6E87" w:rsidRDefault="00CF6E87" w:rsidP="00CF6E87">
      <w:pPr>
        <w:shd w:val="clear" w:color="auto" w:fill="FFFFFF"/>
        <w:spacing w:before="120"/>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t>See Item 1.01 above, which is incorporated by reference herein.</w:t>
      </w:r>
    </w:p>
    <w:tbl>
      <w:tblPr>
        <w:tblW w:w="12240" w:type="dxa"/>
        <w:tblCellMar>
          <w:left w:w="0" w:type="dxa"/>
          <w:right w:w="0" w:type="dxa"/>
        </w:tblCellMar>
        <w:tblLook w:val="04A0" w:firstRow="1" w:lastRow="0" w:firstColumn="1" w:lastColumn="0" w:noHBand="0" w:noVBand="1"/>
      </w:tblPr>
      <w:tblGrid>
        <w:gridCol w:w="1231"/>
        <w:gridCol w:w="11009"/>
      </w:tblGrid>
      <w:tr w:rsidR="00CF6E87" w:rsidRPr="00CF6E87" w:rsidTr="00CF6E87">
        <w:tc>
          <w:tcPr>
            <w:tcW w:w="1215" w:type="dxa"/>
            <w:noWrap/>
            <w:hideMark/>
          </w:tcPr>
          <w:p w:rsidR="00CF6E87" w:rsidRPr="00CF6E87" w:rsidRDefault="00CF6E87" w:rsidP="00CF6E87">
            <w:pPr>
              <w:rPr>
                <w:rFonts w:ascii="Times New Roman" w:eastAsia="Times New Roman" w:hAnsi="Times New Roman" w:cs="Times New Roman"/>
                <w:b/>
                <w:bCs/>
                <w:szCs w:val="20"/>
              </w:rPr>
            </w:pPr>
            <w:r w:rsidRPr="00CF6E87">
              <w:rPr>
                <w:rFonts w:ascii="Times New Roman" w:eastAsia="Times New Roman" w:hAnsi="Times New Roman" w:cs="Times New Roman"/>
                <w:b/>
                <w:bCs/>
                <w:szCs w:val="20"/>
              </w:rPr>
              <w:t>Item 3.02</w:t>
            </w:r>
          </w:p>
        </w:tc>
        <w:tc>
          <w:tcPr>
            <w:tcW w:w="0" w:type="auto"/>
            <w:vAlign w:val="center"/>
            <w:hideMark/>
          </w:tcPr>
          <w:p w:rsidR="00CF6E87" w:rsidRPr="00CF6E87" w:rsidRDefault="00CF6E87" w:rsidP="00CF6E87">
            <w:pPr>
              <w:rPr>
                <w:rFonts w:ascii="Times New Roman" w:eastAsia="Times New Roman" w:hAnsi="Times New Roman" w:cs="Times New Roman"/>
                <w:b/>
                <w:bCs/>
                <w:szCs w:val="20"/>
              </w:rPr>
            </w:pPr>
            <w:r w:rsidRPr="00CF6E87">
              <w:rPr>
                <w:rFonts w:ascii="Times New Roman" w:eastAsia="Times New Roman" w:hAnsi="Times New Roman" w:cs="Times New Roman"/>
                <w:b/>
                <w:bCs/>
                <w:szCs w:val="20"/>
              </w:rPr>
              <w:t>Unregistered Sale of Equity Securities</w:t>
            </w:r>
          </w:p>
        </w:tc>
      </w:tr>
    </w:tbl>
    <w:p w:rsidR="00CF6E87" w:rsidRPr="00CF6E87" w:rsidRDefault="00CF6E87" w:rsidP="00CF6E87">
      <w:pPr>
        <w:shd w:val="clear" w:color="auto" w:fill="FFFFFF"/>
        <w:spacing w:before="120"/>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t>See Item 1.01 above regarding the Purchase Agreement, which is incorporated by reference herein. The Notes were sold to the Initial Purchasers pursuant to the Purchase Agreement in reliance on the exemption from the registration requirements provided by Section 4(a</w:t>
      </w:r>
      <w:proofErr w:type="gramStart"/>
      <w:r w:rsidRPr="00CF6E87">
        <w:rPr>
          <w:rFonts w:ascii="Times New Roman" w:eastAsia="Times New Roman" w:hAnsi="Times New Roman" w:cs="Times New Roman"/>
          <w:color w:val="212529"/>
          <w:szCs w:val="20"/>
        </w:rPr>
        <w:t>)(</w:t>
      </w:r>
      <w:proofErr w:type="gramEnd"/>
      <w:r w:rsidRPr="00CF6E87">
        <w:rPr>
          <w:rFonts w:ascii="Times New Roman" w:eastAsia="Times New Roman" w:hAnsi="Times New Roman" w:cs="Times New Roman"/>
          <w:color w:val="212529"/>
          <w:szCs w:val="20"/>
        </w:rPr>
        <w:t>2) of the Securities Act and the Notes were resold to qualified institutional buyers as defined in, and in reliance on, Rule 144A of the Securities Act.</w:t>
      </w:r>
    </w:p>
    <w:p w:rsidR="00CF6E87" w:rsidRPr="00CF6E87" w:rsidRDefault="00CF6E87" w:rsidP="00CF6E87">
      <w:pPr>
        <w:shd w:val="clear" w:color="auto" w:fill="FFFFFF"/>
        <w:spacing w:before="240"/>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t xml:space="preserve">The offer and sale of the Notes and the common stock issuable upon conversion of the Notes have not been and will not be registered under the Securities Act or the securities laws of any other </w:t>
      </w:r>
      <w:proofErr w:type="gramStart"/>
      <w:r w:rsidRPr="00CF6E87">
        <w:rPr>
          <w:rFonts w:ascii="Times New Roman" w:eastAsia="Times New Roman" w:hAnsi="Times New Roman" w:cs="Times New Roman"/>
          <w:color w:val="212529"/>
          <w:szCs w:val="20"/>
        </w:rPr>
        <w:t>jurisdiction,</w:t>
      </w:r>
      <w:proofErr w:type="gramEnd"/>
      <w:r w:rsidRPr="00CF6E87">
        <w:rPr>
          <w:rFonts w:ascii="Times New Roman" w:eastAsia="Times New Roman" w:hAnsi="Times New Roman" w:cs="Times New Roman"/>
          <w:color w:val="212529"/>
          <w:szCs w:val="20"/>
        </w:rPr>
        <w:t xml:space="preserve"> and such securities may not be offered or sold in the United States absent registration or an applicable exemption from registration requirements. This Current Report on Form 8-K does not constitute an offer to sell, or a solicitation of an offer to buy, any security and shall not constitute an offer, solicitation or sale in any jurisdiction in which such offering would be unlawful.</w:t>
      </w:r>
    </w:p>
    <w:tbl>
      <w:tblPr>
        <w:tblW w:w="12240" w:type="dxa"/>
        <w:tblCellMar>
          <w:left w:w="0" w:type="dxa"/>
          <w:right w:w="0" w:type="dxa"/>
        </w:tblCellMar>
        <w:tblLook w:val="04A0" w:firstRow="1" w:lastRow="0" w:firstColumn="1" w:lastColumn="0" w:noHBand="0" w:noVBand="1"/>
      </w:tblPr>
      <w:tblGrid>
        <w:gridCol w:w="1111"/>
        <w:gridCol w:w="11129"/>
      </w:tblGrid>
      <w:tr w:rsidR="00CF6E87" w:rsidRPr="00CF6E87" w:rsidTr="00CF6E87">
        <w:tc>
          <w:tcPr>
            <w:tcW w:w="1095" w:type="dxa"/>
            <w:noWrap/>
            <w:hideMark/>
          </w:tcPr>
          <w:p w:rsidR="00CF6E87" w:rsidRPr="00CF6E87" w:rsidRDefault="00CF6E87" w:rsidP="00CF6E87">
            <w:pPr>
              <w:rPr>
                <w:rFonts w:ascii="Times New Roman" w:eastAsia="Times New Roman" w:hAnsi="Times New Roman" w:cs="Times New Roman"/>
                <w:b/>
                <w:bCs/>
                <w:szCs w:val="20"/>
              </w:rPr>
            </w:pPr>
            <w:r w:rsidRPr="00CF6E87">
              <w:rPr>
                <w:rFonts w:ascii="Times New Roman" w:eastAsia="Times New Roman" w:hAnsi="Times New Roman" w:cs="Times New Roman"/>
                <w:b/>
                <w:bCs/>
                <w:szCs w:val="20"/>
              </w:rPr>
              <w:t>Item 8.01.</w:t>
            </w:r>
          </w:p>
        </w:tc>
        <w:tc>
          <w:tcPr>
            <w:tcW w:w="0" w:type="auto"/>
            <w:vAlign w:val="center"/>
            <w:hideMark/>
          </w:tcPr>
          <w:p w:rsidR="00CF6E87" w:rsidRPr="00CF6E87" w:rsidRDefault="00CF6E87" w:rsidP="00CF6E87">
            <w:pPr>
              <w:rPr>
                <w:rFonts w:ascii="Times New Roman" w:eastAsia="Times New Roman" w:hAnsi="Times New Roman" w:cs="Times New Roman"/>
                <w:b/>
                <w:bCs/>
                <w:szCs w:val="20"/>
              </w:rPr>
            </w:pPr>
            <w:r w:rsidRPr="00CF6E87">
              <w:rPr>
                <w:rFonts w:ascii="Times New Roman" w:eastAsia="Times New Roman" w:hAnsi="Times New Roman" w:cs="Times New Roman"/>
                <w:b/>
                <w:bCs/>
                <w:szCs w:val="20"/>
              </w:rPr>
              <w:t>Other Events.</w:t>
            </w:r>
          </w:p>
        </w:tc>
      </w:tr>
    </w:tbl>
    <w:p w:rsidR="00CF6E87" w:rsidRPr="00CF6E87" w:rsidRDefault="00CF6E87" w:rsidP="00CF6E87">
      <w:pPr>
        <w:shd w:val="clear" w:color="auto" w:fill="FFFFFF"/>
        <w:spacing w:before="120"/>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t>On September 19, 2019, Etsy issued a press release announcing the pricing of the Note Offering. A copy of the press release is filed herewith as Exhibit 99.3.</w:t>
      </w:r>
    </w:p>
    <w:p w:rsidR="00CF6E87" w:rsidRPr="00CF6E87" w:rsidRDefault="00CF6E87" w:rsidP="00CF6E87">
      <w:pPr>
        <w:shd w:val="clear" w:color="auto" w:fill="FFFFFF"/>
        <w:spacing w:before="360"/>
        <w:rPr>
          <w:rFonts w:ascii="Times New Roman" w:eastAsia="Times New Roman" w:hAnsi="Times New Roman" w:cs="Times New Roman"/>
          <w:b/>
          <w:bCs/>
          <w:color w:val="212529"/>
          <w:szCs w:val="20"/>
        </w:rPr>
      </w:pPr>
      <w:r w:rsidRPr="00CF6E87">
        <w:rPr>
          <w:rFonts w:ascii="Times New Roman" w:eastAsia="Times New Roman" w:hAnsi="Times New Roman" w:cs="Times New Roman"/>
          <w:b/>
          <w:bCs/>
          <w:color w:val="212529"/>
          <w:szCs w:val="20"/>
        </w:rPr>
        <w:t>Forward-Looking Statements</w:t>
      </w:r>
    </w:p>
    <w:p w:rsidR="00CF6E87" w:rsidRPr="00CF6E87" w:rsidRDefault="00CF6E87" w:rsidP="00CF6E87">
      <w:pPr>
        <w:shd w:val="clear" w:color="auto" w:fill="FFFFFF"/>
        <w:spacing w:before="120"/>
        <w:rPr>
          <w:rFonts w:ascii="Times New Roman" w:eastAsia="Times New Roman" w:hAnsi="Times New Roman" w:cs="Times New Roman"/>
          <w:color w:val="212529"/>
          <w:szCs w:val="20"/>
        </w:rPr>
      </w:pPr>
      <w:r w:rsidRPr="00CF6E87">
        <w:rPr>
          <w:rFonts w:ascii="Times New Roman" w:eastAsia="Times New Roman" w:hAnsi="Times New Roman" w:cs="Times New Roman"/>
          <w:color w:val="212529"/>
          <w:szCs w:val="20"/>
        </w:rPr>
        <w:t xml:space="preserve">This Current Report on Form 8-K contains forward-looking statements within the meaning of the federal securities laws. These statements include, but are not limited to, statements concerning the use of proceeds from the Note Offering. Forward-looking statements include all statements that are not historical facts. In some cases, forward-looking statements can be identified by terms such as “anticipates,” “believes,” “could,” “estimates,” “expects,” “intends,” “may,” “plans,” “potential,” “will,” or similar expressions and the negatives of those words. Forward-looking statements involve substantial risks and uncertainties that may cause actual results to differ materially from those that Etsy expects. These risks and uncertainties include market risks, trends and conditions. These and other risks are more fully described in Etsy’s filings with the Securities and Exchange Commission, including in the section titled “Risk Factors” in Etsy’s Quarterly Report on Form 10-Q for the quarter ended June 30, 2019. In light of these risks, you should not place undue reliance on such forward-looking statements. Forward-looking statements represent Etsy’s beliefs and assumptions only as of the date of this Current Report on Form 8-K. Etsy </w:t>
      </w:r>
      <w:proofErr w:type="gramStart"/>
      <w:r w:rsidRPr="00CF6E87">
        <w:rPr>
          <w:rFonts w:ascii="Times New Roman" w:eastAsia="Times New Roman" w:hAnsi="Times New Roman" w:cs="Times New Roman"/>
          <w:color w:val="212529"/>
          <w:szCs w:val="20"/>
        </w:rPr>
        <w:t>disclaims</w:t>
      </w:r>
      <w:proofErr w:type="gramEnd"/>
      <w:r w:rsidRPr="00CF6E87">
        <w:rPr>
          <w:rFonts w:ascii="Times New Roman" w:eastAsia="Times New Roman" w:hAnsi="Times New Roman" w:cs="Times New Roman"/>
          <w:color w:val="212529"/>
          <w:szCs w:val="20"/>
        </w:rPr>
        <w:t xml:space="preserve"> any obligation to update forward-looking statements.</w:t>
      </w:r>
    </w:p>
    <w:tbl>
      <w:tblPr>
        <w:tblW w:w="12240" w:type="dxa"/>
        <w:tblCellMar>
          <w:left w:w="0" w:type="dxa"/>
          <w:right w:w="0" w:type="dxa"/>
        </w:tblCellMar>
        <w:tblLook w:val="04A0" w:firstRow="1" w:lastRow="0" w:firstColumn="1" w:lastColumn="0" w:noHBand="0" w:noVBand="1"/>
      </w:tblPr>
      <w:tblGrid>
        <w:gridCol w:w="1231"/>
        <w:gridCol w:w="11009"/>
      </w:tblGrid>
      <w:tr w:rsidR="00CF6E87" w:rsidRPr="00CF6E87" w:rsidTr="00CF6E87">
        <w:tc>
          <w:tcPr>
            <w:tcW w:w="1215" w:type="dxa"/>
            <w:noWrap/>
            <w:hideMark/>
          </w:tcPr>
          <w:p w:rsidR="00CF6E87" w:rsidRPr="00CF6E87" w:rsidRDefault="00CF6E87" w:rsidP="00CF6E87">
            <w:pPr>
              <w:rPr>
                <w:rFonts w:ascii="Times New Roman" w:eastAsia="Times New Roman" w:hAnsi="Times New Roman" w:cs="Times New Roman"/>
                <w:b/>
                <w:bCs/>
                <w:szCs w:val="20"/>
              </w:rPr>
            </w:pPr>
            <w:r w:rsidRPr="00CF6E87">
              <w:rPr>
                <w:rFonts w:ascii="Times New Roman" w:eastAsia="Times New Roman" w:hAnsi="Times New Roman" w:cs="Times New Roman"/>
                <w:b/>
                <w:bCs/>
                <w:szCs w:val="20"/>
              </w:rPr>
              <w:t>Item 9.01</w:t>
            </w:r>
          </w:p>
        </w:tc>
        <w:tc>
          <w:tcPr>
            <w:tcW w:w="0" w:type="auto"/>
            <w:vAlign w:val="center"/>
            <w:hideMark/>
          </w:tcPr>
          <w:p w:rsidR="00CF6E87" w:rsidRPr="00CF6E87" w:rsidRDefault="00CF6E87" w:rsidP="00CF6E87">
            <w:pPr>
              <w:rPr>
                <w:rFonts w:ascii="Times New Roman" w:eastAsia="Times New Roman" w:hAnsi="Times New Roman" w:cs="Times New Roman"/>
                <w:b/>
                <w:bCs/>
                <w:szCs w:val="20"/>
              </w:rPr>
            </w:pPr>
            <w:r w:rsidRPr="00CF6E87">
              <w:rPr>
                <w:rFonts w:ascii="Times New Roman" w:eastAsia="Times New Roman" w:hAnsi="Times New Roman" w:cs="Times New Roman"/>
                <w:b/>
                <w:bCs/>
                <w:szCs w:val="20"/>
              </w:rPr>
              <w:t>Financial Statements and Exhibits.</w:t>
            </w:r>
          </w:p>
        </w:tc>
      </w:tr>
    </w:tbl>
    <w:p w:rsidR="006365B7" w:rsidRPr="00CF6E87" w:rsidRDefault="006365B7" w:rsidP="00CF6E87"/>
    <w:sectPr w:rsidR="006365B7" w:rsidRPr="00CF6E87" w:rsidSect="00A06BB3">
      <w:footerReference w:type="default" r:id="rId12"/>
      <w:pgSz w:w="11907" w:h="16839" w:code="9"/>
      <w:pgMar w:top="1985" w:right="737" w:bottom="1134" w:left="1814" w:header="703" w:footer="703" w:gutter="0"/>
      <w:cols w:space="28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E87" w:rsidRDefault="00CF6E87" w:rsidP="00D91F59">
      <w:r>
        <w:separator/>
      </w:r>
    </w:p>
  </w:endnote>
  <w:endnote w:type="continuationSeparator" w:id="0">
    <w:p w:rsidR="00CF6E87" w:rsidRDefault="00CF6E87" w:rsidP="00D9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redit Suisse Type Light">
    <w:panose1 w:val="020B0303040503020204"/>
    <w:charset w:val="00"/>
    <w:family w:val="swiss"/>
    <w:pitch w:val="variable"/>
    <w:sig w:usb0="800002AF" w:usb1="5000204A" w:usb2="00000000" w:usb3="00000000" w:csb0="0000009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Credit Suisse Headline">
    <w:panose1 w:val="020B0504030101020102"/>
    <w:charset w:val="00"/>
    <w:family w:val="swiss"/>
    <w:pitch w:val="variable"/>
    <w:sig w:usb0="A00000EF" w:usb1="400020FB" w:usb2="00000008" w:usb3="00000000" w:csb0="00000093"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57D" w:rsidRPr="00A7457D" w:rsidRDefault="00A7457D" w:rsidP="00403D1C">
    <w:pPr>
      <w:rPr>
        <w:color w:val="3F3F3F" w:themeColor="text2" w:themeShade="80"/>
        <w:szCs w:val="20"/>
      </w:rPr>
    </w:pPr>
    <w:r w:rsidRPr="00A7457D">
      <w:rPr>
        <w:noProof/>
        <w:szCs w:val="20"/>
      </w:rPr>
      <mc:AlternateContent>
        <mc:Choice Requires="wps">
          <w:drawing>
            <wp:anchor distT="0" distB="0" distL="114300" distR="114300" simplePos="0" relativeHeight="251659264" behindDoc="0" locked="0" layoutInCell="1" allowOverlap="1" wp14:anchorId="6EC436FC" wp14:editId="787E4ECA">
              <wp:simplePos x="0" y="0"/>
              <mc:AlternateContent>
                <mc:Choice Requires="wp14">
                  <wp:positionH relativeFrom="page">
                    <wp14:pctPosHOffset>88000</wp14:pctPosHOffset>
                  </wp:positionH>
                </mc:Choice>
                <mc:Fallback>
                  <wp:positionH relativeFrom="page">
                    <wp:posOffset>6653530</wp:posOffset>
                  </wp:positionH>
                </mc:Fallback>
              </mc:AlternateContent>
              <mc:AlternateContent>
                <mc:Choice Requires="wp14">
                  <wp:positionV relativeFrom="page">
                    <wp14:pctPosVOffset>93000</wp14:pctPosVOffset>
                  </wp:positionV>
                </mc:Choice>
                <mc:Fallback>
                  <wp:positionV relativeFrom="page">
                    <wp:posOffset>9944100</wp:posOffset>
                  </wp:positionV>
                </mc:Fallback>
              </mc:AlternateContent>
              <wp:extent cx="388620" cy="313055"/>
              <wp:effectExtent l="0" t="0" r="3175"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457D" w:rsidRPr="00A7457D" w:rsidRDefault="00A7457D" w:rsidP="00A7457D">
                          <w:pPr>
                            <w:jc w:val="right"/>
                            <w:rPr>
                              <w:color w:val="3F3F3F" w:themeColor="text2" w:themeShade="80"/>
                              <w:szCs w:val="20"/>
                            </w:rPr>
                          </w:pPr>
                          <w:r w:rsidRPr="00A7457D">
                            <w:rPr>
                              <w:color w:val="3F3F3F" w:themeColor="text2" w:themeShade="80"/>
                              <w:szCs w:val="20"/>
                            </w:rPr>
                            <w:fldChar w:fldCharType="begin"/>
                          </w:r>
                          <w:r w:rsidRPr="00A7457D">
                            <w:rPr>
                              <w:color w:val="3F3F3F" w:themeColor="text2" w:themeShade="80"/>
                              <w:szCs w:val="20"/>
                            </w:rPr>
                            <w:instrText xml:space="preserve"> PAGE  \* Arabic  \* MERGEFORMAT </w:instrText>
                          </w:r>
                          <w:r w:rsidRPr="00A7457D">
                            <w:rPr>
                              <w:color w:val="3F3F3F" w:themeColor="text2" w:themeShade="80"/>
                              <w:szCs w:val="20"/>
                            </w:rPr>
                            <w:fldChar w:fldCharType="separate"/>
                          </w:r>
                          <w:r w:rsidR="00313669">
                            <w:rPr>
                              <w:noProof/>
                              <w:color w:val="3F3F3F" w:themeColor="text2" w:themeShade="80"/>
                              <w:szCs w:val="20"/>
                            </w:rPr>
                            <w:t>4</w:t>
                          </w:r>
                          <w:r w:rsidRPr="00A7457D">
                            <w:rPr>
                              <w:color w:val="3F3F3F" w:themeColor="text2" w:themeShade="80"/>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880;mso-top-percent:930;mso-wrap-distance-left:9pt;mso-wrap-distance-top:0;mso-wrap-distance-right:9pt;mso-wrap-distance-bottom:0;mso-position-horizontal-relative:page;mso-position-vertical-relative:page;mso-width-percent:50;mso-height-percent:50;mso-left-percent:88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" fillcolor="white [3201]" stroked="f" strokeweight=".5pt">
              <v:textbox style="mso-fit-shape-to-text:t" inset="0,,0">
                <w:txbxContent>
                  <w:p w:rsidR="00A7457D" w:rsidRPr="00A7457D" w:rsidRDefault="00A7457D" w:rsidP="00A7457D">
                    <w:pPr>
                      <w:jc w:val="right"/>
                      <w:rPr>
                        <w:color w:val="3F3F3F" w:themeColor="text2" w:themeShade="80"/>
                        <w:szCs w:val="20"/>
                      </w:rPr>
                    </w:pPr>
                    <w:r w:rsidRPr="00A7457D">
                      <w:rPr>
                        <w:color w:val="3F3F3F" w:themeColor="text2" w:themeShade="80"/>
                        <w:szCs w:val="20"/>
                      </w:rPr>
                      <w:fldChar w:fldCharType="begin"/>
                    </w:r>
                    <w:r w:rsidRPr="00A7457D">
                      <w:rPr>
                        <w:color w:val="3F3F3F" w:themeColor="text2" w:themeShade="80"/>
                        <w:szCs w:val="20"/>
                      </w:rPr>
                      <w:instrText xml:space="preserve"> PAGE  \* Arabic  \* MERGEFORMAT </w:instrText>
                    </w:r>
                    <w:r w:rsidRPr="00A7457D">
                      <w:rPr>
                        <w:color w:val="3F3F3F" w:themeColor="text2" w:themeShade="80"/>
                        <w:szCs w:val="20"/>
                      </w:rPr>
                      <w:fldChar w:fldCharType="separate"/>
                    </w:r>
                    <w:r w:rsidR="00313669">
                      <w:rPr>
                        <w:noProof/>
                        <w:color w:val="3F3F3F" w:themeColor="text2" w:themeShade="80"/>
                        <w:szCs w:val="20"/>
                      </w:rPr>
                      <w:t>4</w:t>
                    </w:r>
                    <w:r w:rsidRPr="00A7457D">
                      <w:rPr>
                        <w:color w:val="3F3F3F" w:themeColor="text2" w:themeShade="8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E87" w:rsidRDefault="00CF6E87" w:rsidP="00D91F59">
      <w:r>
        <w:separator/>
      </w:r>
    </w:p>
  </w:footnote>
  <w:footnote w:type="continuationSeparator" w:id="0">
    <w:p w:rsidR="00CF6E87" w:rsidRDefault="00CF6E87" w:rsidP="00D91F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E82BCEA"/>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D0EED652"/>
    <w:lvl w:ilvl="0">
      <w:start w:val="1"/>
      <w:numFmt w:val="bullet"/>
      <w:lvlText w:val=""/>
      <w:lvlJc w:val="left"/>
      <w:pPr>
        <w:tabs>
          <w:tab w:val="num" w:pos="360"/>
        </w:tabs>
        <w:ind w:left="360" w:hanging="360"/>
      </w:pPr>
      <w:rPr>
        <w:rFonts w:ascii="Symbol" w:hAnsi="Symbol" w:hint="default"/>
      </w:rPr>
    </w:lvl>
  </w:abstractNum>
  <w:abstractNum w:abstractNumId="2">
    <w:nsid w:val="065103E4"/>
    <w:multiLevelType w:val="multilevel"/>
    <w:tmpl w:val="FCF615A8"/>
    <w:numStyleLink w:val="ListCS"/>
  </w:abstractNum>
  <w:abstractNum w:abstractNumId="3">
    <w:nsid w:val="22D03EA2"/>
    <w:multiLevelType w:val="multilevel"/>
    <w:tmpl w:val="FCF615A8"/>
    <w:numStyleLink w:val="ListCS"/>
  </w:abstractNum>
  <w:abstractNum w:abstractNumId="4">
    <w:nsid w:val="237F07CE"/>
    <w:multiLevelType w:val="multilevel"/>
    <w:tmpl w:val="FCF615A8"/>
    <w:styleLink w:val="ListCS"/>
    <w:lvl w:ilvl="0">
      <w:start w:val="1"/>
      <w:numFmt w:val="bullet"/>
      <w:pStyle w:val="ListBullet"/>
      <w:lvlText w:val=""/>
      <w:lvlJc w:val="left"/>
      <w:pPr>
        <w:ind w:left="198" w:hanging="198"/>
      </w:pPr>
      <w:rPr>
        <w:rFonts w:ascii="Credit Suisse Type Light" w:hAnsi="Credit Suisse Type Light" w:cs="Times New Roman" w:hint="default"/>
        <w:color w:val="A6A6A6" w:themeColor="background1" w:themeShade="A6"/>
      </w:rPr>
    </w:lvl>
    <w:lvl w:ilvl="1">
      <w:start w:val="1"/>
      <w:numFmt w:val="bullet"/>
      <w:pStyle w:val="ListBullet2"/>
      <w:lvlText w:val="−"/>
      <w:lvlJc w:val="left"/>
      <w:pPr>
        <w:ind w:left="396" w:hanging="198"/>
      </w:pPr>
      <w:rPr>
        <w:rFonts w:ascii="Credit Suisse Type Light" w:hAnsi="Credit Suisse Type Light" w:cs="Times New Roman" w:hint="default"/>
        <w:color w:val="auto"/>
      </w:rPr>
    </w:lvl>
    <w:lvl w:ilvl="2">
      <w:start w:val="1"/>
      <w:numFmt w:val="bullet"/>
      <w:lvlText w:val=""/>
      <w:lvlJc w:val="left"/>
      <w:pPr>
        <w:tabs>
          <w:tab w:val="num" w:pos="2835"/>
        </w:tabs>
        <w:ind w:left="594" w:hanging="198"/>
      </w:pPr>
      <w:rPr>
        <w:rFonts w:ascii="Credit Suisse Type Light" w:hAnsi="Credit Suisse Type Light" w:cs="Times New Roman" w:hint="default"/>
        <w:color w:val="A6A6A6" w:themeColor="background1" w:themeShade="A6"/>
      </w:rPr>
    </w:lvl>
    <w:lvl w:ilvl="3">
      <w:start w:val="1"/>
      <w:numFmt w:val="bullet"/>
      <w:lvlText w:val="−"/>
      <w:lvlJc w:val="left"/>
      <w:pPr>
        <w:tabs>
          <w:tab w:val="num" w:pos="5670"/>
        </w:tabs>
        <w:ind w:left="792" w:hanging="198"/>
      </w:pPr>
      <w:rPr>
        <w:rFonts w:ascii="Credit Suisse Type Light" w:hAnsi="Credit Suisse Type Light" w:cs="Times New Roman" w:hint="default"/>
        <w:color w:val="auto"/>
      </w:rPr>
    </w:lvl>
    <w:lvl w:ilvl="4">
      <w:start w:val="1"/>
      <w:numFmt w:val="bullet"/>
      <w:lvlText w:val=""/>
      <w:lvlJc w:val="left"/>
      <w:pPr>
        <w:ind w:left="990" w:hanging="198"/>
      </w:pPr>
      <w:rPr>
        <w:rFonts w:ascii="Credit Suisse Type Light" w:hAnsi="Credit Suisse Type Light" w:cs="Times New Roman" w:hint="default"/>
        <w:color w:val="A6A6A6" w:themeColor="background1" w:themeShade="A6"/>
      </w:rPr>
    </w:lvl>
    <w:lvl w:ilvl="5">
      <w:start w:val="1"/>
      <w:numFmt w:val="bullet"/>
      <w:lvlText w:val="−"/>
      <w:lvlJc w:val="left"/>
      <w:pPr>
        <w:ind w:left="1188" w:hanging="198"/>
      </w:pPr>
      <w:rPr>
        <w:rFonts w:ascii="Credit Suisse Type Light" w:hAnsi="Credit Suisse Type Light" w:cs="Times New Roman" w:hint="default"/>
        <w:color w:val="auto"/>
      </w:rPr>
    </w:lvl>
    <w:lvl w:ilvl="6">
      <w:start w:val="1"/>
      <w:numFmt w:val="bullet"/>
      <w:lvlText w:val=""/>
      <w:lvlJc w:val="left"/>
      <w:pPr>
        <w:ind w:left="1389" w:hanging="201"/>
      </w:pPr>
      <w:rPr>
        <w:rFonts w:ascii="Credit Suisse Type Light" w:hAnsi="Credit Suisse Type Light" w:cs="Times New Roman" w:hint="default"/>
        <w:color w:val="A6A6A6" w:themeColor="background1" w:themeShade="A6"/>
      </w:rPr>
    </w:lvl>
    <w:lvl w:ilvl="7">
      <w:start w:val="1"/>
      <w:numFmt w:val="bullet"/>
      <w:lvlText w:val="−"/>
      <w:lvlJc w:val="left"/>
      <w:pPr>
        <w:ind w:left="1588" w:hanging="199"/>
      </w:pPr>
      <w:rPr>
        <w:rFonts w:ascii="Credit Suisse Type Light" w:hAnsi="Credit Suisse Type Light" w:cs="Times New Roman" w:hint="default"/>
        <w:color w:val="auto"/>
      </w:rPr>
    </w:lvl>
    <w:lvl w:ilvl="8">
      <w:start w:val="1"/>
      <w:numFmt w:val="bullet"/>
      <w:lvlText w:val=""/>
      <w:lvlJc w:val="left"/>
      <w:pPr>
        <w:ind w:left="1786" w:hanging="198"/>
      </w:pPr>
      <w:rPr>
        <w:rFonts w:ascii="Credit Suisse Type Light" w:hAnsi="Credit Suisse Type Light" w:cs="Times New Roman" w:hint="default"/>
        <w:color w:val="A6A6A6" w:themeColor="background1" w:themeShade="A6"/>
      </w:rPr>
    </w:lvl>
  </w:abstractNum>
  <w:abstractNum w:abstractNumId="5">
    <w:nsid w:val="2B564BD9"/>
    <w:multiLevelType w:val="hybridMultilevel"/>
    <w:tmpl w:val="C70482D8"/>
    <w:lvl w:ilvl="0" w:tplc="5F5604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A50A2"/>
    <w:multiLevelType w:val="multilevel"/>
    <w:tmpl w:val="FCF615A8"/>
    <w:numStyleLink w:val="ListCS"/>
  </w:abstractNum>
  <w:abstractNum w:abstractNumId="7">
    <w:nsid w:val="34E86371"/>
    <w:multiLevelType w:val="multilevel"/>
    <w:tmpl w:val="FCF615A8"/>
    <w:numStyleLink w:val="ListCS"/>
  </w:abstractNum>
  <w:abstractNum w:abstractNumId="8">
    <w:nsid w:val="3531541D"/>
    <w:multiLevelType w:val="multilevel"/>
    <w:tmpl w:val="FCF615A8"/>
    <w:numStyleLink w:val="ListCS"/>
  </w:abstractNum>
  <w:abstractNum w:abstractNumId="9">
    <w:nsid w:val="6C164AC3"/>
    <w:multiLevelType w:val="hybridMultilevel"/>
    <w:tmpl w:val="EBDA9D34"/>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9"/>
  </w:num>
  <w:num w:numId="5">
    <w:abstractNumId w:val="2"/>
  </w:num>
  <w:num w:numId="6">
    <w:abstractNumId w:val="7"/>
  </w:num>
  <w:num w:numId="7">
    <w:abstractNumId w:val="8"/>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E87"/>
    <w:rsid w:val="0000041D"/>
    <w:rsid w:val="000144B8"/>
    <w:rsid w:val="00033348"/>
    <w:rsid w:val="0004045D"/>
    <w:rsid w:val="00055C3A"/>
    <w:rsid w:val="00064279"/>
    <w:rsid w:val="000716DB"/>
    <w:rsid w:val="0007327B"/>
    <w:rsid w:val="00084D15"/>
    <w:rsid w:val="00090DC1"/>
    <w:rsid w:val="000E0B74"/>
    <w:rsid w:val="000F49D0"/>
    <w:rsid w:val="0010658C"/>
    <w:rsid w:val="001164A0"/>
    <w:rsid w:val="001A2A9B"/>
    <w:rsid w:val="001A7D98"/>
    <w:rsid w:val="001C50EC"/>
    <w:rsid w:val="001D27B4"/>
    <w:rsid w:val="001E010B"/>
    <w:rsid w:val="001F10A7"/>
    <w:rsid w:val="00220C54"/>
    <w:rsid w:val="00224603"/>
    <w:rsid w:val="00242C30"/>
    <w:rsid w:val="00245E5E"/>
    <w:rsid w:val="00266220"/>
    <w:rsid w:val="002A40FF"/>
    <w:rsid w:val="002A42B8"/>
    <w:rsid w:val="002B65A8"/>
    <w:rsid w:val="00313669"/>
    <w:rsid w:val="003271DE"/>
    <w:rsid w:val="00345889"/>
    <w:rsid w:val="00370E6D"/>
    <w:rsid w:val="003810CF"/>
    <w:rsid w:val="00403D1C"/>
    <w:rsid w:val="004047B4"/>
    <w:rsid w:val="00445B2A"/>
    <w:rsid w:val="00452CE5"/>
    <w:rsid w:val="004630C4"/>
    <w:rsid w:val="004B1475"/>
    <w:rsid w:val="004C0E79"/>
    <w:rsid w:val="004D747F"/>
    <w:rsid w:val="0051309E"/>
    <w:rsid w:val="00591B4C"/>
    <w:rsid w:val="005A7AA1"/>
    <w:rsid w:val="005B4018"/>
    <w:rsid w:val="005B6232"/>
    <w:rsid w:val="005B7325"/>
    <w:rsid w:val="005C1598"/>
    <w:rsid w:val="005C18C3"/>
    <w:rsid w:val="005D7BA3"/>
    <w:rsid w:val="005E299A"/>
    <w:rsid w:val="0061315F"/>
    <w:rsid w:val="006365B7"/>
    <w:rsid w:val="00697EA7"/>
    <w:rsid w:val="006C37E4"/>
    <w:rsid w:val="00746C09"/>
    <w:rsid w:val="00760446"/>
    <w:rsid w:val="00770E55"/>
    <w:rsid w:val="00783CA6"/>
    <w:rsid w:val="007941AA"/>
    <w:rsid w:val="007D3A59"/>
    <w:rsid w:val="00816014"/>
    <w:rsid w:val="00830943"/>
    <w:rsid w:val="00844C0C"/>
    <w:rsid w:val="00845E77"/>
    <w:rsid w:val="00850FBD"/>
    <w:rsid w:val="008C0CC5"/>
    <w:rsid w:val="008F35AB"/>
    <w:rsid w:val="0094120A"/>
    <w:rsid w:val="009770D7"/>
    <w:rsid w:val="009862A2"/>
    <w:rsid w:val="00991EA9"/>
    <w:rsid w:val="009B1927"/>
    <w:rsid w:val="009B5934"/>
    <w:rsid w:val="009C0BB6"/>
    <w:rsid w:val="009F4728"/>
    <w:rsid w:val="00A06BB3"/>
    <w:rsid w:val="00A171E2"/>
    <w:rsid w:val="00A31F05"/>
    <w:rsid w:val="00A342FD"/>
    <w:rsid w:val="00A605B5"/>
    <w:rsid w:val="00A624E6"/>
    <w:rsid w:val="00A7457D"/>
    <w:rsid w:val="00A80B06"/>
    <w:rsid w:val="00AA24D6"/>
    <w:rsid w:val="00AB309D"/>
    <w:rsid w:val="00AB78D3"/>
    <w:rsid w:val="00AF647E"/>
    <w:rsid w:val="00B1772E"/>
    <w:rsid w:val="00B40B54"/>
    <w:rsid w:val="00B4749A"/>
    <w:rsid w:val="00BA13DE"/>
    <w:rsid w:val="00BD430E"/>
    <w:rsid w:val="00C60CAD"/>
    <w:rsid w:val="00C625A4"/>
    <w:rsid w:val="00C66184"/>
    <w:rsid w:val="00C70177"/>
    <w:rsid w:val="00C854AF"/>
    <w:rsid w:val="00CB32DF"/>
    <w:rsid w:val="00CC7830"/>
    <w:rsid w:val="00CE7149"/>
    <w:rsid w:val="00CF6E87"/>
    <w:rsid w:val="00D143B1"/>
    <w:rsid w:val="00D32D84"/>
    <w:rsid w:val="00D45CA4"/>
    <w:rsid w:val="00D51873"/>
    <w:rsid w:val="00D528C1"/>
    <w:rsid w:val="00D85000"/>
    <w:rsid w:val="00D91F59"/>
    <w:rsid w:val="00DA485E"/>
    <w:rsid w:val="00DC4F33"/>
    <w:rsid w:val="00E235BA"/>
    <w:rsid w:val="00E35C72"/>
    <w:rsid w:val="00F32AF6"/>
    <w:rsid w:val="00F3363D"/>
    <w:rsid w:val="00F47B51"/>
    <w:rsid w:val="00F67163"/>
    <w:rsid w:val="00FA44E9"/>
    <w:rsid w:val="00FB74C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semiHidden="0" w:uiPriority="5" w:unhideWhenUsed="0"/>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7" w:unhideWhenUsed="0" w:qFormat="1"/>
    <w:lsdException w:name="List Bullet 2" w:semiHidden="0" w:uiPriority="8" w:unhideWhenUsed="0" w:qFormat="1"/>
    <w:lsdException w:name="Title" w:semiHidden="0" w:uiPriority="0" w:unhideWhenUsed="0" w:qFormat="1"/>
    <w:lsdException w:name="Default Paragraph Font" w:uiPriority="1"/>
    <w:lsdException w:name="Subtitle" w:uiPriority="1" w:unhideWhenUsed="0"/>
    <w:lsdException w:name="Strong" w:uiPriority="22" w:unhideWhenUsed="0"/>
    <w:lsdException w:name="Emphasis" w:semiHidden="0" w:uiPriority="6"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4"/>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5"/>
    <w:unhideWhenUsed/>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0072C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4"/>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5"/>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0072CE"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66220"/>
    <w:pPr>
      <w:spacing w:line="276" w:lineRule="auto"/>
      <w:outlineLvl w:val="9"/>
    </w:pPr>
    <w:rPr>
      <w:color w:val="00559A" w:themeColor="accent1" w:themeShade="BF"/>
      <w:sz w:val="28"/>
      <w:szCs w:val="28"/>
      <w:lang w:eastAsia="ja-JP"/>
    </w:rPr>
  </w:style>
  <w:style w:type="paragraph" w:styleId="NormalWeb">
    <w:name w:val="Normal (Web)"/>
    <w:basedOn w:val="Normal"/>
    <w:uiPriority w:val="99"/>
    <w:unhideWhenUsed/>
    <w:rsid w:val="00CF6E87"/>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semiHidden="0" w:uiPriority="5" w:unhideWhenUsed="0"/>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7" w:unhideWhenUsed="0" w:qFormat="1"/>
    <w:lsdException w:name="List Bullet 2" w:semiHidden="0" w:uiPriority="8" w:unhideWhenUsed="0" w:qFormat="1"/>
    <w:lsdException w:name="Title" w:semiHidden="0" w:uiPriority="0" w:unhideWhenUsed="0" w:qFormat="1"/>
    <w:lsdException w:name="Default Paragraph Font" w:uiPriority="1"/>
    <w:lsdException w:name="Subtitle" w:uiPriority="1" w:unhideWhenUsed="0"/>
    <w:lsdException w:name="Strong" w:uiPriority="22" w:unhideWhenUsed="0"/>
    <w:lsdException w:name="Emphasis" w:semiHidden="0" w:uiPriority="6"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4"/>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5"/>
    <w:unhideWhenUsed/>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0072C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4"/>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5"/>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0072CE"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66220"/>
    <w:pPr>
      <w:spacing w:line="276" w:lineRule="auto"/>
      <w:outlineLvl w:val="9"/>
    </w:pPr>
    <w:rPr>
      <w:color w:val="00559A" w:themeColor="accent1" w:themeShade="BF"/>
      <w:sz w:val="28"/>
      <w:szCs w:val="28"/>
      <w:lang w:eastAsia="ja-JP"/>
    </w:rPr>
  </w:style>
  <w:style w:type="paragraph" w:styleId="NormalWeb">
    <w:name w:val="Normal (Web)"/>
    <w:basedOn w:val="Normal"/>
    <w:uiPriority w:val="99"/>
    <w:unhideWhenUsed/>
    <w:rsid w:val="00CF6E8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033749">
      <w:bodyDiv w:val="1"/>
      <w:marLeft w:val="0"/>
      <w:marRight w:val="0"/>
      <w:marTop w:val="0"/>
      <w:marBottom w:val="0"/>
      <w:divBdr>
        <w:top w:val="none" w:sz="0" w:space="0" w:color="auto"/>
        <w:left w:val="none" w:sz="0" w:space="0" w:color="auto"/>
        <w:bottom w:val="none" w:sz="0" w:space="0" w:color="auto"/>
        <w:right w:val="none" w:sz="0" w:space="0" w:color="auto"/>
      </w:divBdr>
    </w:div>
    <w:div w:id="107847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3001_NEW CS TEMPLATE">
  <a:themeElements>
    <a:clrScheme name="New Brand">
      <a:dk1>
        <a:sysClr val="windowText" lastClr="000000"/>
      </a:dk1>
      <a:lt1>
        <a:sysClr val="window" lastClr="FFFFFF"/>
      </a:lt1>
      <a:dk2>
        <a:srgbClr val="7F7F7F"/>
      </a:dk2>
      <a:lt2>
        <a:srgbClr val="E7E8E9"/>
      </a:lt2>
      <a:accent1>
        <a:srgbClr val="0072CE"/>
      </a:accent1>
      <a:accent2>
        <a:srgbClr val="78C043"/>
      </a:accent2>
      <a:accent3>
        <a:srgbClr val="865BBC"/>
      </a:accent3>
      <a:accent4>
        <a:srgbClr val="00B2AC"/>
      </a:accent4>
      <a:accent5>
        <a:srgbClr val="DA0C6F"/>
      </a:accent5>
      <a:accent6>
        <a:srgbClr val="FFFFFF"/>
      </a:accent6>
      <a:hlink>
        <a:srgbClr val="000000"/>
      </a:hlink>
      <a:folHlink>
        <a:srgbClr val="000000"/>
      </a:folHlink>
    </a:clrScheme>
    <a:fontScheme name="Custom 1">
      <a:majorFont>
        <a:latin typeface="Credit Suisse Headline"/>
        <a:ea typeface=""/>
        <a:cs typeface=""/>
      </a:majorFont>
      <a:minorFont>
        <a:latin typeface="Credit Suisse Type Light"/>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72CE"/>
        </a:solidFill>
        <a:ln>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defPPr algn="ctr">
          <a:defRPr sz="1200" dirty="0"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180000" indent="-180000">
          <a:buFont typeface="Wingdings" panose="05000000000000000000" pitchFamily="2" charset="2"/>
          <a:buChar char="§"/>
          <a:defRPr sz="1200" dirty="0" smtClean="0"/>
        </a:defPPr>
      </a:lstStyle>
    </a:txDef>
  </a:objectDefaults>
  <a:extraClrSchemeLst/>
  <a:custClrLst>
    <a:custClr name="Credit Suisse Blue">
      <a:srgbClr val="0072CE"/>
    </a:custClr>
    <a:custClr name="Credit Suisse Turquoise">
      <a:srgbClr val="00B2AC"/>
    </a:custClr>
    <a:custClr name="Credit Suisse Green">
      <a:srgbClr val="78C048"/>
    </a:custClr>
    <a:custClr name="Credit Suisse Purple">
      <a:srgbClr val="865BBC"/>
    </a:custClr>
    <a:custClr name="Credit Suisse Magenta">
      <a:srgbClr val="DA0C6F"/>
    </a:custClr>
    <a:custClr name="Credit Suisse Black">
      <a:srgbClr val="000000"/>
    </a:custClr>
    <a:custClr name="Credit Suisse Gray 3">
      <a:srgbClr val="DADADA"/>
    </a:custClr>
    <a:custClr name="White">
      <a:srgbClr val="FFFFFF"/>
    </a:custClr>
    <a:custClr name="White">
      <a:srgbClr val="FFFFFF"/>
    </a:custClr>
    <a:custClr name="RAG Green">
      <a:srgbClr val="008000"/>
    </a:custClr>
    <a:custClr name="Credit Suisse Dark Blue">
      <a:srgbClr val="003868"/>
    </a:custClr>
    <a:custClr name="Credit Suisse Dark Turquoise">
      <a:srgbClr val="005B66"/>
    </a:custClr>
    <a:custClr name="Credit Suisse Dark Green">
      <a:srgbClr val="00562A"/>
    </a:custClr>
    <a:custClr name="Credit Suisse Dark Purple">
      <a:srgbClr val="4C227C"/>
    </a:custClr>
    <a:custClr name="Credit Suisse Dark Magenta">
      <a:srgbClr val="7A004C"/>
    </a:custClr>
    <a:custClr name="Credit Suisse Gray 6">
      <a:srgbClr val="575756"/>
    </a:custClr>
    <a:custClr name="Credit Suisse Gray 2">
      <a:srgbClr val="E6E7E8"/>
    </a:custClr>
    <a:custClr name="White">
      <a:srgbClr val="FFFFFF"/>
    </a:custClr>
    <a:custClr name="White">
      <a:srgbClr val="FFFFFF"/>
    </a:custClr>
    <a:custClr name="RAG Red">
      <a:srgbClr val="D91E18"/>
    </a:custClr>
    <a:custClr name="Credit Suisse Mid Blue">
      <a:srgbClr val="004C97"/>
    </a:custClr>
    <a:custClr name="Credit Suisse Mid Turquoise">
      <a:srgbClr val="007D84"/>
    </a:custClr>
    <a:custClr name="Credit Suisse Mid Green">
      <a:srgbClr val="1F7C34"/>
    </a:custClr>
    <a:custClr name="Credit Suisse Mid Purple">
      <a:srgbClr val="633F9A"/>
    </a:custClr>
    <a:custClr name="Credit Suisse Mid Magenta">
      <a:srgbClr val="B4006E"/>
    </a:custClr>
    <a:custClr name="Credit Suisse Gray 5">
      <a:srgbClr val="7C7C7B"/>
    </a:custClr>
    <a:custClr name="Credit Suisse Gray 1">
      <a:srgbClr val="F1F2F2"/>
    </a:custClr>
    <a:custClr name="White">
      <a:srgbClr val="FFFFFF"/>
    </a:custClr>
    <a:custClr name="White">
      <a:srgbClr val="FFFFFF"/>
    </a:custClr>
    <a:custClr name="RAG Amber">
      <a:srgbClr val="FFB81C"/>
    </a:custClr>
    <a:custClr name="Credit Suisse Light Blue">
      <a:srgbClr val="ADC8E9"/>
    </a:custClr>
    <a:custClr name="Credit Suisse Light Turquoise">
      <a:srgbClr val="BFE5E2"/>
    </a:custClr>
    <a:custClr name="Credit Suisse Light Green">
      <a:srgbClr val="D5E9C1"/>
    </a:custClr>
    <a:custClr name="Credit Suisse Light Purple">
      <a:srgbClr val="D1C4E0"/>
    </a:custClr>
    <a:custClr name="Credit Suisse Light Magenta">
      <a:srgbClr val="F9C0CC"/>
    </a:custClr>
    <a:custClr name="Credit Suisse Gray 4">
      <a:srgbClr val="A8A8A7"/>
    </a:custClr>
    <a:custClr name="Credit Suisse White">
      <a:srgbClr val="FFFFFF"/>
    </a:custClr>
    <a:custClr name="White">
      <a:srgbClr val="FFFFFF"/>
    </a:custClr>
    <a:custClr name="White">
      <a:srgbClr val="FFFFFF"/>
    </a:custClr>
    <a:custClr name="White">
      <a:srgbClr val="FFFFF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32940C6D63F644875D7E3A71A65777" ma:contentTypeVersion="3" ma:contentTypeDescription="Create a new document." ma:contentTypeScope="" ma:versionID="53f58ef6306b6e42febee57805344d6e">
  <xsd:schema xmlns:xsd="http://www.w3.org/2001/XMLSchema" xmlns:xs="http://www.w3.org/2001/XMLSchema" xmlns:p="http://schemas.microsoft.com/office/2006/metadata/properties" targetNamespace="http://schemas.microsoft.com/office/2006/metadata/properties" ma:root="true" ma:fieldsID="8252db2fa3f32b543b0ef5758677579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0B938-E3D2-47C6-8CF1-D33BCA14CF87}">
  <ds:schemaRefs>
    <ds:schemaRef ds:uri="http://purl.org/dc/terms/"/>
    <ds:schemaRef ds:uri="http://www.w3.org/XML/1998/namespace"/>
    <ds:schemaRef ds:uri="http://purl.org/dc/elements/1.1/"/>
    <ds:schemaRef ds:uri="http://schemas.microsoft.com/office/2006/metadata/properties"/>
    <ds:schemaRef ds:uri="http://purl.org/dc/dcmitype/"/>
    <ds:schemaRef ds:uri="http://schemas.microsoft.com/office/2006/documentManagement/types"/>
    <ds:schemaRef ds:uri="http://schemas.openxmlformats.org/package/2006/metadata/core-properties"/>
    <ds:schemaRef ds:uri="http://schemas.microsoft.com/office/infopath/2007/PartnerControls"/>
  </ds:schemaRefs>
</ds:datastoreItem>
</file>

<file path=customXml/itemProps2.xml><?xml version="1.0" encoding="utf-8"?>
<ds:datastoreItem xmlns:ds="http://schemas.openxmlformats.org/officeDocument/2006/customXml" ds:itemID="{9E9037E6-E22E-453B-ABC7-6C299E50B2B1}">
  <ds:schemaRefs>
    <ds:schemaRef ds:uri="http://schemas.microsoft.com/sharepoint/v3/contenttype/forms"/>
  </ds:schemaRefs>
</ds:datastoreItem>
</file>

<file path=customXml/itemProps3.xml><?xml version="1.0" encoding="utf-8"?>
<ds:datastoreItem xmlns:ds="http://schemas.openxmlformats.org/officeDocument/2006/customXml" ds:itemID="{9A0ACE03-F137-4AA2-9F2B-984143ED4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68F9F7E-70E1-4312-9361-7DF37392A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2440</Words>
  <Characters>12812</Characters>
  <Application>Microsoft Office Word</Application>
  <DocSecurity>0</DocSecurity>
  <Lines>213</Lines>
  <Paragraphs>78</Paragraphs>
  <ScaleCrop>false</ScaleCrop>
  <HeadingPairs>
    <vt:vector size="2" baseType="variant">
      <vt:variant>
        <vt:lpstr>Title</vt:lpstr>
      </vt:variant>
      <vt:variant>
        <vt:i4>1</vt:i4>
      </vt:variant>
    </vt:vector>
  </HeadingPairs>
  <TitlesOfParts>
    <vt:vector size="1" baseType="lpstr">
      <vt:lpstr/>
    </vt:vector>
  </TitlesOfParts>
  <Company>Credit Suisse</Company>
  <LinksUpToDate>false</LinksUpToDate>
  <CharactersWithSpaces>15191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Sourial, Anthony (TPGB 611)</dc:creator>
  <cp:lastModifiedBy>Karuppiah, Sabarish (MIRF 76)</cp:lastModifiedBy>
  <cp:revision>2</cp:revision>
  <dcterms:created xsi:type="dcterms:W3CDTF">2019-10-31T15:56:00Z</dcterms:created>
  <dcterms:modified xsi:type="dcterms:W3CDTF">2019-10-31T15:56:00Z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Unrestricted</vt:lpwstr>
  </property>
  <property fmtid="{D5CDD505-2E9C-101B-9397-08002B2CF9AE}" pid="3" name="_AdHocReviewCycleID">
    <vt:i4>34080310</vt:i4>
  </property>
  <property fmtid="{D5CDD505-2E9C-101B-9397-08002B2CF9AE}" pid="4" name="_NewReviewCycle">
    <vt:lpwstr/>
  </property>
  <property fmtid="{D5CDD505-2E9C-101B-9397-08002B2CF9AE}" pid="5" name="_EmailSubject">
    <vt:lpwstr>8K fields- Highlighted</vt:lpwstr>
  </property>
  <property fmtid="{D5CDD505-2E9C-101B-9397-08002B2CF9AE}" pid="6" name="_AuthorEmail">
    <vt:lpwstr>sabarish.karuppiah.2@credit-suisse.com</vt:lpwstr>
  </property>
  <property fmtid="{D5CDD505-2E9C-101B-9397-08002B2CF9AE}" pid="7" name="_AuthorEmailDisplayName">
    <vt:lpwstr>Karuppiah, Sabarish (MIRF 76)</vt:lpwstr>
  </property>
  <property fmtid="{D5CDD505-2E9C-101B-9397-08002B2CF9AE}" pid="8" name="_PreviousAdHocReviewCycleID">
    <vt:i4>-1890857228</vt:i4>
  </property>
  <property fmtid="{D5CDD505-2E9C-101B-9397-08002B2CF9AE}" pid="10" name="_SIProp12DataClass+304a34c9-5b17-4e2a-bdc3-dec6a43f35e7">
    <vt:lpwstr>v=1.2&gt;I=304a34c9-5b17-4e2a-bdc3-dec6a43f35e7&amp;N=Unrestricted&amp;V=1.3&amp;U=S-1-5-21-1828601920-3511188894-431489442-681079&amp;D=Karuppiah%2c+Sabarish+(MIRF+76)&amp;A=Associated&amp;H=False</vt:lpwstr>
  </property>
</Properties>
</file>