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019CC2">
      <w:pPr>
        <w:spacing w:before="280" w:after="280" w:line="312" w:lineRule="auto"/>
        <w:jc w:val="center"/>
        <w:rPr>
          <w:rFonts w:hint="default"/>
          <w:lang w:val="en-US"/>
        </w:rPr>
      </w:pPr>
      <w:r>
        <w:rPr>
          <w:rFonts w:ascii="Times New Roman" w:hAnsi="Times New Roman"/>
          <w:b/>
          <w:color w:val="000000"/>
          <w:sz w:val="32"/>
        </w:rPr>
        <w:t xml:space="preserve">Chương 2. Phương pháp </w:t>
      </w:r>
      <w:r>
        <w:rPr>
          <w:rFonts w:hint="default"/>
          <w:b/>
          <w:color w:val="000000"/>
          <w:sz w:val="32"/>
          <w:lang w:val="en-US"/>
        </w:rPr>
        <w:t>Nghiên cứu và mô hình đề xuất</w:t>
      </w:r>
      <w:bookmarkStart w:id="0" w:name="_GoBack"/>
      <w:bookmarkEnd w:id="0"/>
    </w:p>
    <w:p w14:paraId="511EF0D1">
      <w:pPr>
        <w:spacing w:before="60" w:after="120" w:line="312" w:lineRule="auto"/>
        <w:jc w:val="both"/>
      </w:pPr>
      <w:r>
        <w:rPr>
          <w:rFonts w:ascii="Times New Roman" w:hAnsi="Times New Roman"/>
          <w:color w:val="000000"/>
          <w:sz w:val="28"/>
        </w:rPr>
        <w:t xml:space="preserve">Chương này trình bày toàn diện phương pháp thực hiện và quy trình thiết kế của hệ thống phát hiện </w:t>
      </w:r>
      <w:r>
        <w:rPr>
          <w:color w:val="000000"/>
          <w:sz w:val="28"/>
          <w:lang w:val="en-US"/>
        </w:rPr>
        <w:t>lỗi</w:t>
      </w:r>
      <w:r>
        <w:rPr>
          <w:rFonts w:ascii="Times New Roman" w:hAnsi="Times New Roman"/>
          <w:color w:val="000000"/>
          <w:sz w:val="28"/>
        </w:rPr>
        <w:t xml:space="preserve"> bề mặt thép dải cán nóng. Thay vì kỳ vọng đề xuất một kiến trúc học sâu mới từ đầu, nghiên cứu tập trung xây dựng một hệ thống hoàn chỉnh đề xuất ứng dụng và so sánh đối chuẩn ba kiến trúc mô hình thị giác máy tính tiêu biểu có sẵn và đã được kiểm chứng rộng rãi trong thực tế: Faster R-CNN (đại diện cho mô hình phát hiện hai giai đoạn), YOLOv5 (đại diện cho mô hình một giai đoạn dựa trên hộp neo định sẵn - anchor-based), và YOLOv8 (đại diện cho mô hình một giai đoạn không dùng hộp neo - anchor-free). Cốt lõi của chương làm rõ quy trình xử lý dữ liệu (data pipeline) nghiêm ngặt từ khâu kiểm tra chất lượng, làm sạch đến tiền xử lý thích ứng; thiết lập hàm mục tiêu và siêu tham số huấn luyện chuẩn của từng kiến trúc; xây dựng tiêu chí đối sánh khách quan; và đề xuất phương án tích hợp mô hình tối ưu vào giao diện Dashboard điều khiển thời gian thực phục vụ sản xuất công nghiệp. Toàn bộ các kết quả định lượng, biểu đồ huấn luyện và cấu hình tham số thực tế chi tiết sẽ được trình bày cụ thể trong Chương 3.</w:t>
      </w:r>
    </w:p>
    <w:p w14:paraId="03171B23">
      <w:pPr>
        <w:spacing w:before="280" w:after="120" w:line="312" w:lineRule="auto"/>
        <w:jc w:val="left"/>
      </w:pPr>
      <w:r>
        <w:rPr>
          <w:rFonts w:ascii="Times New Roman" w:hAnsi="Times New Roman"/>
          <w:b/>
          <w:color w:val="000000"/>
          <w:sz w:val="28"/>
        </w:rPr>
        <w:t>2.1. Bộ dữ liệu NEU-DET và quy trình chuẩn bị dữ liệu (Data Pipeline)</w:t>
      </w:r>
    </w:p>
    <w:p w14:paraId="34B1B047">
      <w:pPr>
        <w:spacing w:before="60" w:after="120" w:line="312" w:lineRule="auto"/>
        <w:jc w:val="both"/>
      </w:pPr>
      <w:r>
        <w:rPr>
          <w:rFonts w:ascii="Times New Roman" w:hAnsi="Times New Roman"/>
          <w:b/>
          <w:color w:val="000000"/>
          <w:sz w:val="28"/>
        </w:rPr>
        <w:t xml:space="preserve">Tổng quan và thống kê bộ dữ liệu NEU-DET: </w:t>
      </w:r>
      <w:r>
        <w:rPr>
          <w:rFonts w:ascii="Times New Roman" w:hAnsi="Times New Roman"/>
          <w:color w:val="000000"/>
          <w:sz w:val="28"/>
        </w:rPr>
        <w:t xml:space="preserve">Nghiên cứu sử dụng bộ dữ liệu chuẩn NEU-DET (Northeastern University Surface Defect Database) gồm 1.800 ảnh chụp bề mặt dải thép cán nóng, phân bố đều trên 6 loại </w:t>
      </w:r>
      <w:r>
        <w:rPr>
          <w:color w:val="000000"/>
          <w:sz w:val="28"/>
          <w:lang w:val="en-US"/>
        </w:rPr>
        <w:t>lỗi</w:t>
      </w:r>
      <w:r>
        <w:rPr>
          <w:rFonts w:ascii="Times New Roman" w:hAnsi="Times New Roman"/>
          <w:color w:val="000000"/>
          <w:sz w:val="28"/>
        </w:rPr>
        <w:t xml:space="preserve"> phổ biến trong luyện kim: Rolled-in Scale (Vảy cán), Patches (Mảng đốm), Crazing (Rạn nứt chân chim), Pitted Surface (Rỗ bề mặt), Inclusion (Tạp chất xỉ), và Scratches (Vết cào xước). Mỗi lớp </w:t>
      </w:r>
      <w:r>
        <w:rPr>
          <w:color w:val="000000"/>
          <w:sz w:val="28"/>
          <w:lang w:val="en-US"/>
        </w:rPr>
        <w:t>lỗi</w:t>
      </w:r>
      <w:r>
        <w:rPr>
          <w:rFonts w:ascii="Times New Roman" w:hAnsi="Times New Roman"/>
          <w:color w:val="000000"/>
          <w:sz w:val="28"/>
        </w:rPr>
        <w:t xml:space="preserve"> có đúng 300 ảnh ở định dạng ảnh xám (grayscale) với kích thước gốc 200 × 200 pixel. Toàn bộ tập dữ liệu chứa hơn 4.000 hộp bao (bounding boxes) được gán nhãn thủ công theo định dạng Pascal VOC XML. Khảo sát phân bố kích thước hộp lỗi cho thấy sự phân hóa hình học rất rõ nét: các </w:t>
      </w:r>
      <w:r>
        <w:rPr>
          <w:color w:val="000000"/>
          <w:sz w:val="28"/>
          <w:lang w:val="en-US"/>
        </w:rPr>
        <w:t>lỗi</w:t>
      </w:r>
      <w:r>
        <w:rPr>
          <w:rFonts w:ascii="Times New Roman" w:hAnsi="Times New Roman"/>
          <w:color w:val="000000"/>
          <w:sz w:val="28"/>
        </w:rPr>
        <w:t xml:space="preserve"> rạn chân chim (crazing) và rỗ bề mặt (pitted surface) đa phần có diện tích siêu nhỏ và nằm rải rác; mảng đốm (patches) và vảy cán (rolled-in scale) có kích thước trung bình và lớn; trong khi các vết xước (scratches) có tỷ lệ khung hình (aspect ratio) rất mảnh và kéo dài dọc theo bề mặt thép.</w:t>
      </w:r>
    </w:p>
    <w:tbl>
      <w:tblPr>
        <w:tblStyle w:val="12"/>
        <w:tblW w:w="0" w:type="auto"/>
        <w:jc w:val="center"/>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1872"/>
        <w:gridCol w:w="1872"/>
        <w:gridCol w:w="1872"/>
        <w:gridCol w:w="1872"/>
        <w:gridCol w:w="1872"/>
      </w:tblGrid>
      <w:tr w14:paraId="5F985BD1">
        <w:tblPrEx>
          <w:tblCellMar>
            <w:top w:w="0" w:type="dxa"/>
            <w:left w:w="108" w:type="dxa"/>
            <w:bottom w:w="0" w:type="dxa"/>
            <w:right w:w="108" w:type="dxa"/>
          </w:tblCellMar>
        </w:tblPrEx>
        <w:trPr>
          <w:jc w:val="center"/>
        </w:trPr>
        <w:tc>
          <w:tcPr>
            <w:tcW w:w="1872" w:type="dxa"/>
            <w:shd w:val="clear" w:color="auto" w:fill="EAEAEA"/>
            <w:tcMar>
              <w:top w:w="100" w:type="dxa"/>
              <w:left w:w="120" w:type="dxa"/>
              <w:bottom w:w="100" w:type="dxa"/>
              <w:right w:w="120" w:type="dxa"/>
            </w:tcMar>
          </w:tcPr>
          <w:p w14:paraId="2A25D7A8">
            <w:pPr>
              <w:jc w:val="center"/>
              <w:rPr>
                <w:rFonts w:hint="default"/>
                <w:lang w:val="en-US"/>
              </w:rPr>
            </w:pPr>
            <w:r>
              <w:rPr>
                <w:rFonts w:ascii="Times New Roman" w:hAnsi="Times New Roman"/>
                <w:b/>
                <w:sz w:val="24"/>
              </w:rPr>
              <w:t xml:space="preserve">Loại </w:t>
            </w:r>
            <w:r>
              <w:rPr>
                <w:b/>
                <w:sz w:val="24"/>
                <w:lang w:val="en-US"/>
              </w:rPr>
              <w:t>lỗi</w:t>
            </w:r>
          </w:p>
        </w:tc>
        <w:tc>
          <w:tcPr>
            <w:tcW w:w="1872" w:type="dxa"/>
            <w:shd w:val="clear" w:color="auto" w:fill="EAEAEA"/>
            <w:tcMar>
              <w:top w:w="100" w:type="dxa"/>
              <w:left w:w="120" w:type="dxa"/>
              <w:bottom w:w="100" w:type="dxa"/>
              <w:right w:w="120" w:type="dxa"/>
            </w:tcMar>
          </w:tcPr>
          <w:p w14:paraId="7CC9EBA6">
            <w:pPr>
              <w:jc w:val="center"/>
            </w:pPr>
            <w:r>
              <w:rPr>
                <w:rFonts w:ascii="Times New Roman" w:hAnsi="Times New Roman"/>
                <w:b/>
                <w:sz w:val="24"/>
              </w:rPr>
              <w:t>Tên tiếng Việt</w:t>
            </w:r>
          </w:p>
        </w:tc>
        <w:tc>
          <w:tcPr>
            <w:tcW w:w="1872" w:type="dxa"/>
            <w:shd w:val="clear" w:color="auto" w:fill="EAEAEA"/>
            <w:tcMar>
              <w:top w:w="100" w:type="dxa"/>
              <w:left w:w="120" w:type="dxa"/>
              <w:bottom w:w="100" w:type="dxa"/>
              <w:right w:w="120" w:type="dxa"/>
            </w:tcMar>
          </w:tcPr>
          <w:p w14:paraId="5EB4E732">
            <w:pPr>
              <w:jc w:val="center"/>
            </w:pPr>
            <w:r>
              <w:rPr>
                <w:rFonts w:ascii="Times New Roman" w:hAnsi="Times New Roman"/>
                <w:b/>
                <w:sz w:val="24"/>
              </w:rPr>
              <w:t>Số ảnh</w:t>
            </w:r>
          </w:p>
        </w:tc>
        <w:tc>
          <w:tcPr>
            <w:tcW w:w="1872" w:type="dxa"/>
            <w:shd w:val="clear" w:color="auto" w:fill="EAEAEA"/>
            <w:tcMar>
              <w:top w:w="100" w:type="dxa"/>
              <w:left w:w="120" w:type="dxa"/>
              <w:bottom w:w="100" w:type="dxa"/>
              <w:right w:w="120" w:type="dxa"/>
            </w:tcMar>
          </w:tcPr>
          <w:p w14:paraId="1FD31EA9">
            <w:pPr>
              <w:jc w:val="center"/>
            </w:pPr>
            <w:r>
              <w:rPr>
                <w:rFonts w:ascii="Times New Roman" w:hAnsi="Times New Roman"/>
                <w:b/>
                <w:sz w:val="24"/>
              </w:rPr>
              <w:t>Số hộp lỗi (ước tính)</w:t>
            </w:r>
          </w:p>
        </w:tc>
        <w:tc>
          <w:tcPr>
            <w:tcW w:w="1872" w:type="dxa"/>
            <w:shd w:val="clear" w:color="auto" w:fill="EAEAEA"/>
            <w:tcMar>
              <w:top w:w="100" w:type="dxa"/>
              <w:left w:w="120" w:type="dxa"/>
              <w:bottom w:w="100" w:type="dxa"/>
              <w:right w:w="120" w:type="dxa"/>
            </w:tcMar>
          </w:tcPr>
          <w:p w14:paraId="34065501">
            <w:pPr>
              <w:jc w:val="center"/>
            </w:pPr>
            <w:r>
              <w:rPr>
                <w:rFonts w:ascii="Times New Roman" w:hAnsi="Times New Roman"/>
                <w:b/>
                <w:sz w:val="24"/>
              </w:rPr>
              <w:t>Đặc điểm hình thái &amp; tỷ lệ</w:t>
            </w:r>
          </w:p>
        </w:tc>
      </w:tr>
      <w:tr w14:paraId="268C1DA9">
        <w:tblPrEx>
          <w:tblCellMar>
            <w:top w:w="0" w:type="dxa"/>
            <w:left w:w="108" w:type="dxa"/>
            <w:bottom w:w="0" w:type="dxa"/>
            <w:right w:w="108" w:type="dxa"/>
          </w:tblCellMar>
        </w:tblPrEx>
        <w:trPr>
          <w:jc w:val="center"/>
        </w:trPr>
        <w:tc>
          <w:tcPr>
            <w:tcW w:w="1872" w:type="dxa"/>
            <w:tcMar>
              <w:top w:w="80" w:type="dxa"/>
              <w:left w:w="100" w:type="dxa"/>
              <w:bottom w:w="80" w:type="dxa"/>
              <w:right w:w="100" w:type="dxa"/>
            </w:tcMar>
          </w:tcPr>
          <w:p w14:paraId="2BBAA4D6">
            <w:pPr>
              <w:jc w:val="left"/>
            </w:pPr>
            <w:r>
              <w:rPr>
                <w:rFonts w:ascii="Times New Roman" w:hAnsi="Times New Roman"/>
                <w:sz w:val="24"/>
              </w:rPr>
              <w:t>Rolled-in Scale</w:t>
            </w:r>
          </w:p>
        </w:tc>
        <w:tc>
          <w:tcPr>
            <w:tcW w:w="1872" w:type="dxa"/>
            <w:tcMar>
              <w:top w:w="80" w:type="dxa"/>
              <w:left w:w="100" w:type="dxa"/>
              <w:bottom w:w="80" w:type="dxa"/>
              <w:right w:w="100" w:type="dxa"/>
            </w:tcMar>
          </w:tcPr>
          <w:p w14:paraId="39497E51">
            <w:pPr>
              <w:jc w:val="left"/>
            </w:pPr>
            <w:r>
              <w:rPr>
                <w:rFonts w:ascii="Times New Roman" w:hAnsi="Times New Roman"/>
                <w:sz w:val="24"/>
              </w:rPr>
              <w:t>Vảy cán</w:t>
            </w:r>
          </w:p>
        </w:tc>
        <w:tc>
          <w:tcPr>
            <w:tcW w:w="1872" w:type="dxa"/>
            <w:tcMar>
              <w:top w:w="80" w:type="dxa"/>
              <w:left w:w="100" w:type="dxa"/>
              <w:bottom w:w="80" w:type="dxa"/>
              <w:right w:w="100" w:type="dxa"/>
            </w:tcMar>
          </w:tcPr>
          <w:p w14:paraId="252FFFD5">
            <w:pPr>
              <w:jc w:val="center"/>
            </w:pPr>
            <w:r>
              <w:rPr>
                <w:rFonts w:ascii="Times New Roman" w:hAnsi="Times New Roman"/>
                <w:sz w:val="24"/>
              </w:rPr>
              <w:t>300</w:t>
            </w:r>
          </w:p>
        </w:tc>
        <w:tc>
          <w:tcPr>
            <w:tcW w:w="1872" w:type="dxa"/>
            <w:tcMar>
              <w:top w:w="80" w:type="dxa"/>
              <w:left w:w="100" w:type="dxa"/>
              <w:bottom w:w="80" w:type="dxa"/>
              <w:right w:w="100" w:type="dxa"/>
            </w:tcMar>
          </w:tcPr>
          <w:p w14:paraId="24E94631">
            <w:pPr>
              <w:jc w:val="center"/>
            </w:pPr>
            <w:r>
              <w:rPr>
                <w:rFonts w:ascii="Times New Roman" w:hAnsi="Times New Roman"/>
                <w:sz w:val="24"/>
              </w:rPr>
              <w:t>~680</w:t>
            </w:r>
          </w:p>
        </w:tc>
        <w:tc>
          <w:tcPr>
            <w:tcW w:w="1872" w:type="dxa"/>
            <w:tcMar>
              <w:top w:w="80" w:type="dxa"/>
              <w:left w:w="100" w:type="dxa"/>
              <w:bottom w:w="80" w:type="dxa"/>
              <w:right w:w="100" w:type="dxa"/>
            </w:tcMar>
          </w:tcPr>
          <w:p w14:paraId="15B03B04">
            <w:pPr>
              <w:jc w:val="left"/>
            </w:pPr>
            <w:r>
              <w:rPr>
                <w:rFonts w:ascii="Times New Roman" w:hAnsi="Times New Roman"/>
                <w:sz w:val="24"/>
              </w:rPr>
              <w:t>Dải cán bẹt, diện tích vừa đến lớn</w:t>
            </w:r>
          </w:p>
        </w:tc>
      </w:tr>
      <w:tr w14:paraId="63C56464">
        <w:tblPrEx>
          <w:tblCellMar>
            <w:top w:w="0" w:type="dxa"/>
            <w:left w:w="108" w:type="dxa"/>
            <w:bottom w:w="0" w:type="dxa"/>
            <w:right w:w="108" w:type="dxa"/>
          </w:tblCellMar>
        </w:tblPrEx>
        <w:trPr>
          <w:jc w:val="center"/>
        </w:trPr>
        <w:tc>
          <w:tcPr>
            <w:tcW w:w="1872" w:type="dxa"/>
            <w:tcMar>
              <w:top w:w="80" w:type="dxa"/>
              <w:left w:w="100" w:type="dxa"/>
              <w:bottom w:w="80" w:type="dxa"/>
              <w:right w:w="100" w:type="dxa"/>
            </w:tcMar>
          </w:tcPr>
          <w:p w14:paraId="2CFB96DE">
            <w:pPr>
              <w:jc w:val="left"/>
            </w:pPr>
            <w:r>
              <w:rPr>
                <w:rFonts w:ascii="Times New Roman" w:hAnsi="Times New Roman"/>
                <w:sz w:val="24"/>
              </w:rPr>
              <w:t>Patches</w:t>
            </w:r>
          </w:p>
        </w:tc>
        <w:tc>
          <w:tcPr>
            <w:tcW w:w="1872" w:type="dxa"/>
            <w:tcMar>
              <w:top w:w="80" w:type="dxa"/>
              <w:left w:w="100" w:type="dxa"/>
              <w:bottom w:w="80" w:type="dxa"/>
              <w:right w:w="100" w:type="dxa"/>
            </w:tcMar>
          </w:tcPr>
          <w:p w14:paraId="03A78CA6">
            <w:pPr>
              <w:jc w:val="left"/>
            </w:pPr>
            <w:r>
              <w:rPr>
                <w:rFonts w:ascii="Times New Roman" w:hAnsi="Times New Roman"/>
                <w:sz w:val="24"/>
              </w:rPr>
              <w:t>Mảng đốm</w:t>
            </w:r>
          </w:p>
        </w:tc>
        <w:tc>
          <w:tcPr>
            <w:tcW w:w="1872" w:type="dxa"/>
            <w:tcMar>
              <w:top w:w="80" w:type="dxa"/>
              <w:left w:w="100" w:type="dxa"/>
              <w:bottom w:w="80" w:type="dxa"/>
              <w:right w:w="100" w:type="dxa"/>
            </w:tcMar>
          </w:tcPr>
          <w:p w14:paraId="7AB088A4">
            <w:pPr>
              <w:jc w:val="center"/>
            </w:pPr>
            <w:r>
              <w:rPr>
                <w:rFonts w:ascii="Times New Roman" w:hAnsi="Times New Roman"/>
                <w:sz w:val="24"/>
              </w:rPr>
              <w:t>300</w:t>
            </w:r>
          </w:p>
        </w:tc>
        <w:tc>
          <w:tcPr>
            <w:tcW w:w="1872" w:type="dxa"/>
            <w:tcMar>
              <w:top w:w="80" w:type="dxa"/>
              <w:left w:w="100" w:type="dxa"/>
              <w:bottom w:w="80" w:type="dxa"/>
              <w:right w:w="100" w:type="dxa"/>
            </w:tcMar>
          </w:tcPr>
          <w:p w14:paraId="31569EE8">
            <w:pPr>
              <w:jc w:val="center"/>
            </w:pPr>
            <w:r>
              <w:rPr>
                <w:rFonts w:ascii="Times New Roman" w:hAnsi="Times New Roman"/>
                <w:sz w:val="24"/>
              </w:rPr>
              <w:t>~720</w:t>
            </w:r>
          </w:p>
        </w:tc>
        <w:tc>
          <w:tcPr>
            <w:tcW w:w="1872" w:type="dxa"/>
            <w:tcMar>
              <w:top w:w="80" w:type="dxa"/>
              <w:left w:w="100" w:type="dxa"/>
              <w:bottom w:w="80" w:type="dxa"/>
              <w:right w:w="100" w:type="dxa"/>
            </w:tcMar>
          </w:tcPr>
          <w:p w14:paraId="5465F5BF">
            <w:pPr>
              <w:jc w:val="left"/>
            </w:pPr>
            <w:r>
              <w:rPr>
                <w:rFonts w:ascii="Times New Roman" w:hAnsi="Times New Roman"/>
                <w:sz w:val="24"/>
              </w:rPr>
              <w:t>Vết bám loang lổ, kích thước lớn</w:t>
            </w:r>
          </w:p>
        </w:tc>
      </w:tr>
      <w:tr w14:paraId="7E20E7C5">
        <w:tblPrEx>
          <w:tblCellMar>
            <w:top w:w="0" w:type="dxa"/>
            <w:left w:w="108" w:type="dxa"/>
            <w:bottom w:w="0" w:type="dxa"/>
            <w:right w:w="108" w:type="dxa"/>
          </w:tblCellMar>
        </w:tblPrEx>
        <w:trPr>
          <w:jc w:val="center"/>
        </w:trPr>
        <w:tc>
          <w:tcPr>
            <w:tcW w:w="1872" w:type="dxa"/>
            <w:tcMar>
              <w:top w:w="80" w:type="dxa"/>
              <w:left w:w="100" w:type="dxa"/>
              <w:bottom w:w="80" w:type="dxa"/>
              <w:right w:w="100" w:type="dxa"/>
            </w:tcMar>
          </w:tcPr>
          <w:p w14:paraId="46EEB855">
            <w:pPr>
              <w:jc w:val="left"/>
            </w:pPr>
            <w:r>
              <w:rPr>
                <w:rFonts w:ascii="Times New Roman" w:hAnsi="Times New Roman"/>
                <w:sz w:val="24"/>
              </w:rPr>
              <w:t>Crazing</w:t>
            </w:r>
          </w:p>
        </w:tc>
        <w:tc>
          <w:tcPr>
            <w:tcW w:w="1872" w:type="dxa"/>
            <w:tcMar>
              <w:top w:w="80" w:type="dxa"/>
              <w:left w:w="100" w:type="dxa"/>
              <w:bottom w:w="80" w:type="dxa"/>
              <w:right w:w="100" w:type="dxa"/>
            </w:tcMar>
          </w:tcPr>
          <w:p w14:paraId="39BA0501">
            <w:pPr>
              <w:jc w:val="left"/>
            </w:pPr>
            <w:r>
              <w:rPr>
                <w:rFonts w:ascii="Times New Roman" w:hAnsi="Times New Roman"/>
                <w:sz w:val="24"/>
              </w:rPr>
              <w:t>Rạn chân chim</w:t>
            </w:r>
          </w:p>
        </w:tc>
        <w:tc>
          <w:tcPr>
            <w:tcW w:w="1872" w:type="dxa"/>
            <w:tcMar>
              <w:top w:w="80" w:type="dxa"/>
              <w:left w:w="100" w:type="dxa"/>
              <w:bottom w:w="80" w:type="dxa"/>
              <w:right w:w="100" w:type="dxa"/>
            </w:tcMar>
          </w:tcPr>
          <w:p w14:paraId="1B37E7A2">
            <w:pPr>
              <w:jc w:val="center"/>
            </w:pPr>
            <w:r>
              <w:rPr>
                <w:rFonts w:ascii="Times New Roman" w:hAnsi="Times New Roman"/>
                <w:sz w:val="24"/>
              </w:rPr>
              <w:t>300</w:t>
            </w:r>
          </w:p>
        </w:tc>
        <w:tc>
          <w:tcPr>
            <w:tcW w:w="1872" w:type="dxa"/>
            <w:tcMar>
              <w:top w:w="80" w:type="dxa"/>
              <w:left w:w="100" w:type="dxa"/>
              <w:bottom w:w="80" w:type="dxa"/>
              <w:right w:w="100" w:type="dxa"/>
            </w:tcMar>
          </w:tcPr>
          <w:p w14:paraId="5DEEB02C">
            <w:pPr>
              <w:jc w:val="center"/>
            </w:pPr>
            <w:r>
              <w:rPr>
                <w:rFonts w:ascii="Times New Roman" w:hAnsi="Times New Roman"/>
                <w:sz w:val="24"/>
              </w:rPr>
              <w:t>~650</w:t>
            </w:r>
          </w:p>
        </w:tc>
        <w:tc>
          <w:tcPr>
            <w:tcW w:w="1872" w:type="dxa"/>
            <w:tcMar>
              <w:top w:w="80" w:type="dxa"/>
              <w:left w:w="100" w:type="dxa"/>
              <w:bottom w:w="80" w:type="dxa"/>
              <w:right w:w="100" w:type="dxa"/>
            </w:tcMar>
          </w:tcPr>
          <w:p w14:paraId="19913CE0">
            <w:pPr>
              <w:jc w:val="left"/>
            </w:pPr>
            <w:r>
              <w:rPr>
                <w:rFonts w:ascii="Times New Roman" w:hAnsi="Times New Roman"/>
                <w:sz w:val="24"/>
              </w:rPr>
              <w:t>Đường nứt li ti, diện tích siêu nhỏ, rải rác</w:t>
            </w:r>
          </w:p>
        </w:tc>
      </w:tr>
      <w:tr w14:paraId="02806132">
        <w:tblPrEx>
          <w:tblCellMar>
            <w:top w:w="0" w:type="dxa"/>
            <w:left w:w="108" w:type="dxa"/>
            <w:bottom w:w="0" w:type="dxa"/>
            <w:right w:w="108" w:type="dxa"/>
          </w:tblCellMar>
        </w:tblPrEx>
        <w:trPr>
          <w:jc w:val="center"/>
        </w:trPr>
        <w:tc>
          <w:tcPr>
            <w:tcW w:w="1872" w:type="dxa"/>
            <w:tcMar>
              <w:top w:w="80" w:type="dxa"/>
              <w:left w:w="100" w:type="dxa"/>
              <w:bottom w:w="80" w:type="dxa"/>
              <w:right w:w="100" w:type="dxa"/>
            </w:tcMar>
          </w:tcPr>
          <w:p w14:paraId="58A73464">
            <w:pPr>
              <w:jc w:val="left"/>
            </w:pPr>
            <w:r>
              <w:rPr>
                <w:rFonts w:ascii="Times New Roman" w:hAnsi="Times New Roman"/>
                <w:sz w:val="24"/>
              </w:rPr>
              <w:t>Pitted Surface</w:t>
            </w:r>
          </w:p>
        </w:tc>
        <w:tc>
          <w:tcPr>
            <w:tcW w:w="1872" w:type="dxa"/>
            <w:tcMar>
              <w:top w:w="80" w:type="dxa"/>
              <w:left w:w="100" w:type="dxa"/>
              <w:bottom w:w="80" w:type="dxa"/>
              <w:right w:w="100" w:type="dxa"/>
            </w:tcMar>
          </w:tcPr>
          <w:p w14:paraId="759430A0">
            <w:pPr>
              <w:jc w:val="left"/>
            </w:pPr>
            <w:r>
              <w:rPr>
                <w:rFonts w:ascii="Times New Roman" w:hAnsi="Times New Roman"/>
                <w:sz w:val="24"/>
              </w:rPr>
              <w:t>Rỗ bề mặt</w:t>
            </w:r>
          </w:p>
        </w:tc>
        <w:tc>
          <w:tcPr>
            <w:tcW w:w="1872" w:type="dxa"/>
            <w:tcMar>
              <w:top w:w="80" w:type="dxa"/>
              <w:left w:w="100" w:type="dxa"/>
              <w:bottom w:w="80" w:type="dxa"/>
              <w:right w:w="100" w:type="dxa"/>
            </w:tcMar>
          </w:tcPr>
          <w:p w14:paraId="12751809">
            <w:pPr>
              <w:jc w:val="center"/>
            </w:pPr>
            <w:r>
              <w:rPr>
                <w:rFonts w:ascii="Times New Roman" w:hAnsi="Times New Roman"/>
                <w:sz w:val="24"/>
              </w:rPr>
              <w:t>300</w:t>
            </w:r>
          </w:p>
        </w:tc>
        <w:tc>
          <w:tcPr>
            <w:tcW w:w="1872" w:type="dxa"/>
            <w:tcMar>
              <w:top w:w="80" w:type="dxa"/>
              <w:left w:w="100" w:type="dxa"/>
              <w:bottom w:w="80" w:type="dxa"/>
              <w:right w:w="100" w:type="dxa"/>
            </w:tcMar>
          </w:tcPr>
          <w:p w14:paraId="753E73FC">
            <w:pPr>
              <w:jc w:val="center"/>
            </w:pPr>
            <w:r>
              <w:rPr>
                <w:rFonts w:ascii="Times New Roman" w:hAnsi="Times New Roman"/>
                <w:sz w:val="24"/>
              </w:rPr>
              <w:t>~750</w:t>
            </w:r>
          </w:p>
        </w:tc>
        <w:tc>
          <w:tcPr>
            <w:tcW w:w="1872" w:type="dxa"/>
            <w:tcMar>
              <w:top w:w="80" w:type="dxa"/>
              <w:left w:w="100" w:type="dxa"/>
              <w:bottom w:w="80" w:type="dxa"/>
              <w:right w:w="100" w:type="dxa"/>
            </w:tcMar>
          </w:tcPr>
          <w:p w14:paraId="2C370407">
            <w:pPr>
              <w:jc w:val="left"/>
            </w:pPr>
            <w:r>
              <w:rPr>
                <w:rFonts w:ascii="Times New Roman" w:hAnsi="Times New Roman"/>
                <w:sz w:val="24"/>
              </w:rPr>
              <w:t>Hố rỗ rải rác, kích thước rất nhỏ</w:t>
            </w:r>
          </w:p>
        </w:tc>
      </w:tr>
      <w:tr w14:paraId="4F0B36A6">
        <w:tblPrEx>
          <w:tblCellMar>
            <w:top w:w="0" w:type="dxa"/>
            <w:left w:w="108" w:type="dxa"/>
            <w:bottom w:w="0" w:type="dxa"/>
            <w:right w:w="108" w:type="dxa"/>
          </w:tblCellMar>
        </w:tblPrEx>
        <w:trPr>
          <w:jc w:val="center"/>
        </w:trPr>
        <w:tc>
          <w:tcPr>
            <w:tcW w:w="1872" w:type="dxa"/>
            <w:tcMar>
              <w:top w:w="80" w:type="dxa"/>
              <w:left w:w="100" w:type="dxa"/>
              <w:bottom w:w="80" w:type="dxa"/>
              <w:right w:w="100" w:type="dxa"/>
            </w:tcMar>
          </w:tcPr>
          <w:p w14:paraId="3329CC04">
            <w:pPr>
              <w:jc w:val="left"/>
            </w:pPr>
            <w:r>
              <w:rPr>
                <w:rFonts w:ascii="Times New Roman" w:hAnsi="Times New Roman"/>
                <w:sz w:val="24"/>
              </w:rPr>
              <w:t>Inclusion</w:t>
            </w:r>
          </w:p>
        </w:tc>
        <w:tc>
          <w:tcPr>
            <w:tcW w:w="1872" w:type="dxa"/>
            <w:tcMar>
              <w:top w:w="80" w:type="dxa"/>
              <w:left w:w="100" w:type="dxa"/>
              <w:bottom w:w="80" w:type="dxa"/>
              <w:right w:w="100" w:type="dxa"/>
            </w:tcMar>
          </w:tcPr>
          <w:p w14:paraId="541E9C21">
            <w:pPr>
              <w:jc w:val="left"/>
            </w:pPr>
            <w:r>
              <w:rPr>
                <w:rFonts w:ascii="Times New Roman" w:hAnsi="Times New Roman"/>
                <w:sz w:val="24"/>
              </w:rPr>
              <w:t>Tạp chất xỉ</w:t>
            </w:r>
          </w:p>
        </w:tc>
        <w:tc>
          <w:tcPr>
            <w:tcW w:w="1872" w:type="dxa"/>
            <w:tcMar>
              <w:top w:w="80" w:type="dxa"/>
              <w:left w:w="100" w:type="dxa"/>
              <w:bottom w:w="80" w:type="dxa"/>
              <w:right w:w="100" w:type="dxa"/>
            </w:tcMar>
          </w:tcPr>
          <w:p w14:paraId="24947CFD">
            <w:pPr>
              <w:jc w:val="center"/>
            </w:pPr>
            <w:r>
              <w:rPr>
                <w:rFonts w:ascii="Times New Roman" w:hAnsi="Times New Roman"/>
                <w:sz w:val="24"/>
              </w:rPr>
              <w:t>300</w:t>
            </w:r>
          </w:p>
        </w:tc>
        <w:tc>
          <w:tcPr>
            <w:tcW w:w="1872" w:type="dxa"/>
            <w:tcMar>
              <w:top w:w="80" w:type="dxa"/>
              <w:left w:w="100" w:type="dxa"/>
              <w:bottom w:w="80" w:type="dxa"/>
              <w:right w:w="100" w:type="dxa"/>
            </w:tcMar>
          </w:tcPr>
          <w:p w14:paraId="06E1C4CF">
            <w:pPr>
              <w:jc w:val="center"/>
            </w:pPr>
            <w:r>
              <w:rPr>
                <w:rFonts w:ascii="Times New Roman" w:hAnsi="Times New Roman"/>
                <w:sz w:val="24"/>
              </w:rPr>
              <w:t>~700</w:t>
            </w:r>
          </w:p>
        </w:tc>
        <w:tc>
          <w:tcPr>
            <w:tcW w:w="1872" w:type="dxa"/>
            <w:tcMar>
              <w:top w:w="80" w:type="dxa"/>
              <w:left w:w="100" w:type="dxa"/>
              <w:bottom w:w="80" w:type="dxa"/>
              <w:right w:w="100" w:type="dxa"/>
            </w:tcMar>
          </w:tcPr>
          <w:p w14:paraId="7E212659">
            <w:pPr>
              <w:jc w:val="left"/>
            </w:pPr>
            <w:r>
              <w:rPr>
                <w:rFonts w:ascii="Times New Roman" w:hAnsi="Times New Roman"/>
                <w:sz w:val="24"/>
              </w:rPr>
              <w:t>Đốm tạp chất phi kim, kích thước nhỏ/vừa</w:t>
            </w:r>
          </w:p>
        </w:tc>
      </w:tr>
      <w:tr w14:paraId="7FC431B9">
        <w:tblPrEx>
          <w:tblCellMar>
            <w:top w:w="0" w:type="dxa"/>
            <w:left w:w="108" w:type="dxa"/>
            <w:bottom w:w="0" w:type="dxa"/>
            <w:right w:w="108" w:type="dxa"/>
          </w:tblCellMar>
        </w:tblPrEx>
        <w:trPr>
          <w:jc w:val="center"/>
        </w:trPr>
        <w:tc>
          <w:tcPr>
            <w:tcW w:w="1872" w:type="dxa"/>
            <w:tcMar>
              <w:top w:w="80" w:type="dxa"/>
              <w:left w:w="100" w:type="dxa"/>
              <w:bottom w:w="80" w:type="dxa"/>
              <w:right w:w="100" w:type="dxa"/>
            </w:tcMar>
          </w:tcPr>
          <w:p w14:paraId="3DA027DD">
            <w:pPr>
              <w:jc w:val="left"/>
            </w:pPr>
            <w:r>
              <w:rPr>
                <w:rFonts w:ascii="Times New Roman" w:hAnsi="Times New Roman"/>
                <w:sz w:val="24"/>
              </w:rPr>
              <w:t>Scratches</w:t>
            </w:r>
          </w:p>
        </w:tc>
        <w:tc>
          <w:tcPr>
            <w:tcW w:w="1872" w:type="dxa"/>
            <w:tcMar>
              <w:top w:w="80" w:type="dxa"/>
              <w:left w:w="100" w:type="dxa"/>
              <w:bottom w:w="80" w:type="dxa"/>
              <w:right w:w="100" w:type="dxa"/>
            </w:tcMar>
          </w:tcPr>
          <w:p w14:paraId="4B54CC30">
            <w:pPr>
              <w:jc w:val="left"/>
            </w:pPr>
            <w:r>
              <w:rPr>
                <w:rFonts w:ascii="Times New Roman" w:hAnsi="Times New Roman"/>
                <w:sz w:val="24"/>
              </w:rPr>
              <w:t>Vết cào xước</w:t>
            </w:r>
          </w:p>
        </w:tc>
        <w:tc>
          <w:tcPr>
            <w:tcW w:w="1872" w:type="dxa"/>
            <w:tcMar>
              <w:top w:w="80" w:type="dxa"/>
              <w:left w:w="100" w:type="dxa"/>
              <w:bottom w:w="80" w:type="dxa"/>
              <w:right w:w="100" w:type="dxa"/>
            </w:tcMar>
          </w:tcPr>
          <w:p w14:paraId="40EE88C7">
            <w:pPr>
              <w:jc w:val="center"/>
            </w:pPr>
            <w:r>
              <w:rPr>
                <w:rFonts w:ascii="Times New Roman" w:hAnsi="Times New Roman"/>
                <w:sz w:val="24"/>
              </w:rPr>
              <w:t>300</w:t>
            </w:r>
          </w:p>
        </w:tc>
        <w:tc>
          <w:tcPr>
            <w:tcW w:w="1872" w:type="dxa"/>
            <w:tcMar>
              <w:top w:w="80" w:type="dxa"/>
              <w:left w:w="100" w:type="dxa"/>
              <w:bottom w:w="80" w:type="dxa"/>
              <w:right w:w="100" w:type="dxa"/>
            </w:tcMar>
          </w:tcPr>
          <w:p w14:paraId="6EEB30A6">
            <w:pPr>
              <w:jc w:val="center"/>
            </w:pPr>
            <w:r>
              <w:rPr>
                <w:rFonts w:ascii="Times New Roman" w:hAnsi="Times New Roman"/>
                <w:sz w:val="24"/>
              </w:rPr>
              <w:t>~660</w:t>
            </w:r>
          </w:p>
        </w:tc>
        <w:tc>
          <w:tcPr>
            <w:tcW w:w="1872" w:type="dxa"/>
            <w:tcMar>
              <w:top w:w="80" w:type="dxa"/>
              <w:left w:w="100" w:type="dxa"/>
              <w:bottom w:w="80" w:type="dxa"/>
              <w:right w:w="100" w:type="dxa"/>
            </w:tcMar>
          </w:tcPr>
          <w:p w14:paraId="6DBDBF29">
            <w:pPr>
              <w:jc w:val="left"/>
            </w:pPr>
            <w:r>
              <w:rPr>
                <w:rFonts w:ascii="Times New Roman" w:hAnsi="Times New Roman"/>
                <w:sz w:val="24"/>
              </w:rPr>
              <w:t>Vết xước dài, tỷ lệ khung hình rất hẹp</w:t>
            </w:r>
          </w:p>
        </w:tc>
      </w:tr>
    </w:tbl>
    <w:p w14:paraId="372E2704">
      <w:pPr>
        <w:spacing w:before="80" w:after="160"/>
        <w:jc w:val="center"/>
      </w:pPr>
      <w:r>
        <w:rPr>
          <w:rFonts w:ascii="Times New Roman" w:hAnsi="Times New Roman"/>
          <w:i/>
          <w:sz w:val="24"/>
        </w:rPr>
        <w:t xml:space="preserve">Bảng 2.1. Thống kê đặc điểm hình thái và phân bố 6 loại </w:t>
      </w:r>
      <w:r>
        <w:rPr>
          <w:i/>
          <w:sz w:val="24"/>
          <w:lang w:val="en-US"/>
        </w:rPr>
        <w:t>lỗi</w:t>
      </w:r>
      <w:r>
        <w:rPr>
          <w:rFonts w:ascii="Times New Roman" w:hAnsi="Times New Roman"/>
          <w:i/>
          <w:sz w:val="24"/>
        </w:rPr>
        <w:t xml:space="preserve"> trong tập dữ liệu NEU-DET</w:t>
      </w:r>
    </w:p>
    <w:p w14:paraId="134CEFB9">
      <w:pPr>
        <w:spacing w:before="60" w:after="120" w:line="312" w:lineRule="auto"/>
        <w:jc w:val="both"/>
      </w:pPr>
      <w:r>
        <w:rPr>
          <w:rFonts w:ascii="Times New Roman" w:hAnsi="Times New Roman"/>
          <w:b/>
          <w:color w:val="000000"/>
          <w:sz w:val="28"/>
        </w:rPr>
        <w:t xml:space="preserve">Kiểm tra tính toàn vẹn và lọc ảnh trùng/gần trùng: </w:t>
      </w:r>
      <w:r>
        <w:rPr>
          <w:rFonts w:ascii="Times New Roman" w:hAnsi="Times New Roman"/>
          <w:color w:val="000000"/>
          <w:sz w:val="28"/>
        </w:rPr>
        <w:t>Trước khi đưa vào đường ống huấn luyện, toàn bộ dữ liệu ảnh và tệp nhãn được kiểm tra tính toàn vẹn (data integrity check). Quá trình này bảo đảm tính tương ứng 1-1 giữa tệp ảnh và tệp chú thích XML, loại bỏ các hộp bao có tọa độ âm hoặc vượt quá kích thước biên ảnh 200 × 200 pixel. Đặc biệt, nhóm áp dụng giải pháp băm cảm nhận (Perceptual Hashing - pHash/dHash) kết hợp so khớp ma trận điểm ảnh để rà soát, phát hiện và loại bỏ các ảnh trùng lặp (exact duplicates) hoặc gần trùng lặp (near-duplicates), nhằm loại trừ nguy cơ thiên vị dữ liệu và ngăn ngừa hiện tượng mô hình học vẹt (overfitting) các mẫu lặp lại.</w:t>
      </w:r>
    </w:p>
    <w:p w14:paraId="19D480B4">
      <w:pPr>
        <w:spacing w:before="60" w:after="120" w:line="312" w:lineRule="auto"/>
        <w:jc w:val="both"/>
      </w:pPr>
      <w:r>
        <w:rPr>
          <w:rFonts w:ascii="Times New Roman" w:hAnsi="Times New Roman"/>
          <w:b/>
          <w:color w:val="000000"/>
          <w:sz w:val="28"/>
        </w:rPr>
        <w:t xml:space="preserve">Phân chia tập dữ liệu trước khi tăng cường (Stratified Data Splitting): </w:t>
      </w:r>
      <w:r>
        <w:rPr>
          <w:rFonts w:ascii="Times New Roman" w:hAnsi="Times New Roman"/>
          <w:color w:val="000000"/>
          <w:sz w:val="28"/>
        </w:rPr>
        <w:t xml:space="preserve">Để tuân thủ triệt để nguyên tắc khoa học về việc ngăn chặn rò rỉ dữ liệu (data leakage) giữa tập huấn luyện và các tập đánh giá, quy trình phân chia dữ liệu được thực hiện hoàn toàn trước khi áp dụng bất kỳ kỹ thuật tăng cường dữ liệu (data augmentation) nào. Nhóm nghiên cứu chủ động lựa chọn phân chia tập dữ liệu theo tỷ lệ phân tầng 70% tập Huấn luyện (Train set - 1.260 ảnh), 15% tập Kiểm định (Validation set - 270 ảnh), và 15% tập Kiểm thử độc lập (Test set - 270 ảnh). Phương pháp phân tầng (stratified splitting) được áp dụng nhằm bảo đảm cả 6 nhóm </w:t>
      </w:r>
      <w:r>
        <w:rPr>
          <w:color w:val="000000"/>
          <w:sz w:val="28"/>
          <w:lang w:val="en-US"/>
        </w:rPr>
        <w:t>lỗi</w:t>
      </w:r>
      <w:r>
        <w:rPr>
          <w:rFonts w:ascii="Times New Roman" w:hAnsi="Times New Roman"/>
          <w:color w:val="000000"/>
          <w:sz w:val="28"/>
        </w:rPr>
        <w:t xml:space="preserve"> đều duy trì tỷ lệ đồng đều tuyệt đối trên từng tập (mỗi loại </w:t>
      </w:r>
      <w:r>
        <w:rPr>
          <w:color w:val="000000"/>
          <w:sz w:val="28"/>
          <w:lang w:val="en-US"/>
        </w:rPr>
        <w:t>lỗi</w:t>
      </w:r>
      <w:r>
        <w:rPr>
          <w:rFonts w:ascii="Times New Roman" w:hAnsi="Times New Roman"/>
          <w:color w:val="000000"/>
          <w:sz w:val="28"/>
        </w:rPr>
        <w:t xml:space="preserve"> gồm chính xác 210 ảnh Train, 45 ảnh Validation, và 45 ảnh Test).</w:t>
      </w:r>
    </w:p>
    <w:p w14:paraId="7B9FDE74">
      <w:pPr>
        <w:spacing w:before="60" w:after="120" w:line="312" w:lineRule="auto"/>
        <w:jc w:val="both"/>
      </w:pPr>
      <w:r>
        <w:rPr>
          <w:rFonts w:ascii="Times New Roman" w:hAnsi="Times New Roman"/>
          <w:b/>
          <w:color w:val="000000"/>
          <w:sz w:val="28"/>
        </w:rPr>
        <w:t xml:space="preserve">Chuẩn hóa nhãn cho các kiến trúc mô hình (Label Normalization): </w:t>
      </w:r>
      <w:r>
        <w:rPr>
          <w:rFonts w:ascii="Times New Roman" w:hAnsi="Times New Roman"/>
          <w:color w:val="000000"/>
          <w:sz w:val="28"/>
        </w:rPr>
        <w:t>Nhằm đáp ứng cơ chế nạp dữ liệu riêng biệt của từng kiến trúc mô hình, dữ liệu chú thích gốc từ Pascal VOC XML được xử lý và chuyển đổi độc lập: đối với Faster R-CNN, dữ liệu nhãn được duy trì ở định dạng tọa độ hộp bao tuyệt đối kèm chỉ số phân lớp số nguyên [xmin, ymin, xmax, ymax] theo chuẩn Pascal VOC / COCO JSON; đối với YOLOv5 và YOLOv8, tọa độ hộp bao được chuyển đổi sang định dạng văn bản (.txt) chứa các giá trị tương đối chuẩn hóa [x_center, y_center, width, height] nằm trong hệ quy chiếu [0, 1] được tính toán tỷ lệ theo kích thước gốc của ảnh.</w:t>
      </w:r>
    </w:p>
    <w:p w14:paraId="531E4BD6">
      <w:pPr>
        <w:spacing w:before="60" w:after="120" w:line="312" w:lineRule="auto"/>
        <w:jc w:val="both"/>
      </w:pPr>
      <w:r>
        <w:rPr>
          <w:rFonts w:ascii="Times New Roman" w:hAnsi="Times New Roman"/>
          <w:b/>
          <w:color w:val="000000"/>
          <w:sz w:val="28"/>
        </w:rPr>
        <w:t xml:space="preserve">Xử lý ảnh xám thích ứng với mô hình tiền huấn luyện (Grayscale Adaptation): </w:t>
      </w:r>
      <w:r>
        <w:rPr>
          <w:rFonts w:ascii="Times New Roman" w:hAnsi="Times New Roman"/>
          <w:color w:val="000000"/>
          <w:sz w:val="28"/>
        </w:rPr>
        <w:t>Ảnh gốc trong bộ dữ liệu NEU-DET là ảnh đơn kênh (grayscale 1-channel, 200 × 200 × 1). Trong khi đó, các mô hình học sâu tiền huấn luyện (pretrained weights trên ImageNet hoặc MS COCO) của Faster R-CNN, YOLOv5 và YOLOv8 đều yêu cầu tensor đầu vào 3 kênh chuẩn (RGB, C=3). Để tận dụng hiệu quả các trọng số trích xuất đặc trưng có sẵn mà không làm phá vỡ cấu trúc của các tầng tích chập đầu tiên, hệ thống thực hiện nhân bản kênh (channel replication: sao chép cùng giá trị cường độ xám sang 3 kênh R, G, B để tạo tensor H × W × 3). Đồng thời, giá trị điểm ảnh được chuẩn hóa về miền giá trị [0.0, 1.0] và chuẩn hóa thống kê (mean/std normalization) theo phân phối chuẩn của từng mô hình.</w:t>
      </w:r>
    </w:p>
    <w:p w14:paraId="3C973388">
      <w:pPr>
        <w:spacing w:before="60" w:after="120" w:line="312" w:lineRule="auto"/>
        <w:jc w:val="both"/>
      </w:pPr>
      <w:r>
        <w:rPr>
          <w:rFonts w:ascii="Times New Roman" w:hAnsi="Times New Roman"/>
          <w:b/>
          <w:color w:val="000000"/>
          <w:sz w:val="28"/>
        </w:rPr>
        <w:t xml:space="preserve">Cân bằng Histogram cục bộ (CLAHE): </w:t>
      </w:r>
      <w:r>
        <w:rPr>
          <w:rFonts w:ascii="Times New Roman" w:hAnsi="Times New Roman"/>
          <w:color w:val="000000"/>
          <w:sz w:val="28"/>
        </w:rPr>
        <w:t xml:space="preserve">Áp dụng thuật toán cân bằng biểu đồ tần suất thích nghi có giới hạn độ tương phản (Contrast Limited Adaptive Histogram Equalization - CLAHE) nhằm nâng cao độ tương phản cục bộ. Kỹ thuật này giúp làm nổi bật các </w:t>
      </w:r>
      <w:r>
        <w:rPr>
          <w:color w:val="000000"/>
          <w:sz w:val="28"/>
          <w:lang w:val="en-US"/>
        </w:rPr>
        <w:t>lỗi</w:t>
      </w:r>
      <w:r>
        <w:rPr>
          <w:rFonts w:ascii="Times New Roman" w:hAnsi="Times New Roman"/>
          <w:color w:val="000000"/>
          <w:sz w:val="28"/>
        </w:rPr>
        <w:t xml:space="preserve"> có ranh giới mờ nhạt hoặc độ tương phản thấp so với nền thép (như vết rạn nứt chân chim hoặc rỗ bề mặt li ti), đồng thời kiểm soát độ khuếch đại nhiễu tại các vùng phôi kim loại đồng nhất.</w:t>
      </w:r>
    </w:p>
    <w:p w14:paraId="2F916AE6">
      <w:pPr>
        <w:spacing w:before="60" w:after="120" w:line="312" w:lineRule="auto"/>
        <w:jc w:val="both"/>
      </w:pPr>
      <w:r>
        <w:rPr>
          <w:rFonts w:ascii="Times New Roman" w:hAnsi="Times New Roman"/>
          <w:b/>
          <w:color w:val="000000"/>
          <w:sz w:val="28"/>
        </w:rPr>
        <w:t xml:space="preserve">Tăng cường dữ liệu không gian (Spatial Augmentation): </w:t>
      </w:r>
      <w:r>
        <w:rPr>
          <w:rFonts w:ascii="Times New Roman" w:hAnsi="Times New Roman"/>
          <w:color w:val="000000"/>
          <w:sz w:val="28"/>
        </w:rPr>
        <w:t xml:space="preserve">Chỉ áp dụng trên tập huấn luyện (Train set), bao gồm các phép biến đổi hình học như lật ngẫu nhiên (Random Horizontal/Vertical Flip) và ghép ảnh Mosaic (đối với YOLO). Kỹ thuật này làm phong phú ngữ cảnh nền thép, gia tăng tính biến thiên của các mẫu </w:t>
      </w:r>
      <w:r>
        <w:rPr>
          <w:color w:val="000000"/>
          <w:sz w:val="28"/>
          <w:lang w:val="en-US"/>
        </w:rPr>
        <w:t>lỗi</w:t>
      </w:r>
      <w:r>
        <w:rPr>
          <w:rFonts w:ascii="Times New Roman" w:hAnsi="Times New Roman"/>
          <w:color w:val="000000"/>
          <w:sz w:val="28"/>
        </w:rPr>
        <w:t xml:space="preserve"> và nâng cao khả năng khái quát hóa của mô hình đối với các điều kiện bề mặt phôi cán khác nhau.</w:t>
      </w:r>
    </w:p>
    <w:p w14:paraId="07AB757C">
      <w:pPr>
        <w:spacing w:before="60" w:after="120" w:line="312" w:lineRule="auto"/>
        <w:jc w:val="both"/>
      </w:pPr>
      <w:r>
        <w:rPr>
          <w:rFonts w:ascii="Times New Roman" w:hAnsi="Times New Roman"/>
          <w:b/>
          <w:color w:val="000000"/>
          <w:sz w:val="28"/>
        </w:rPr>
        <w:t xml:space="preserve">Khảo sát kỹ thuật Cắt ảnh đa tỉ lệ (Tiling / Slicing): </w:t>
      </w:r>
      <w:r>
        <w:rPr>
          <w:rFonts w:ascii="Times New Roman" w:hAnsi="Times New Roman"/>
          <w:color w:val="000000"/>
          <w:sz w:val="28"/>
        </w:rPr>
        <w:t xml:space="preserve">Cần nhấn mạnh rằng ảnh gốc trong bộ dữ liệu NEU-DET có độ phân giải 200 × 200 pixel, trong khi cấu hình đầu vào chuẩn của các mô hình phát hiện đối tượng hiện đại thường là 640 × 640 pixel (tức ảnh gốc được nội suy phóng đại lên chứ không phải thu nhỏ lại). Do đó, việc chia nhỏ ảnh gốc thành các mảng xếp chồng (tiling/slicing patches) không thể dùng lập luận mặc định là chống suy giảm độ phân giải do thu nhỏ ảnh. Thay vào đó, kỹ thuật tiling được nhóm đưa vào như một giải pháp thực nghiệm cần khảo sát và kiểm chứng: nhóm tiến hành phân tích kích thước lỗi thực tế và đánh giá xem việc cắt mảng có thực sự mang lại lợi ích phát hiện các cụm </w:t>
      </w:r>
      <w:r>
        <w:rPr>
          <w:color w:val="000000"/>
          <w:sz w:val="28"/>
          <w:lang w:val="en-US"/>
        </w:rPr>
        <w:t>lỗi</w:t>
      </w:r>
      <w:r>
        <w:rPr>
          <w:rFonts w:ascii="Times New Roman" w:hAnsi="Times New Roman"/>
          <w:color w:val="000000"/>
          <w:sz w:val="28"/>
        </w:rPr>
        <w:t xml:space="preserve"> cục bộ hay sẽ làm gia tăng chi phí tính toán và phát sinh lỗi dương tính giả tại các ranh giới cắt.</w:t>
      </w:r>
    </w:p>
    <w:p w14:paraId="46DBFEAA">
      <w:pPr>
        <w:spacing w:before="280" w:after="120" w:line="312" w:lineRule="auto"/>
        <w:jc w:val="left"/>
      </w:pPr>
      <w:r>
        <w:rPr>
          <w:rFonts w:ascii="Times New Roman" w:hAnsi="Times New Roman"/>
          <w:b/>
          <w:color w:val="000000"/>
          <w:sz w:val="28"/>
        </w:rPr>
        <w:t>2.2. Các thành phần kiến trúc và hàm mục tiêu (Loss Functions)</w:t>
      </w:r>
    </w:p>
    <w:p w14:paraId="75A4A8F5">
      <w:pPr>
        <w:spacing w:before="60" w:after="120" w:line="312" w:lineRule="auto"/>
        <w:jc w:val="both"/>
      </w:pPr>
      <w:r>
        <w:rPr>
          <w:rFonts w:ascii="Times New Roman" w:hAnsi="Times New Roman"/>
          <w:b/>
          <w:color w:val="000000"/>
          <w:sz w:val="28"/>
        </w:rPr>
        <w:t xml:space="preserve">Mạng trích xuất đặc trưng (Backbone): </w:t>
      </w:r>
      <w:r>
        <w:rPr>
          <w:rFonts w:ascii="Times New Roman" w:hAnsi="Times New Roman"/>
          <w:color w:val="000000"/>
          <w:sz w:val="28"/>
        </w:rPr>
        <w:t xml:space="preserve">Đóng vai trò trích xuất các bản đồ đặc trưng (feature maps) từ mức độ thấp (cạnh, góc, vân bề mặt cán thép) đến mức độ cao (hình thái học và ngữ cảnh </w:t>
      </w:r>
      <w:r>
        <w:rPr>
          <w:color w:val="000000"/>
          <w:sz w:val="28"/>
          <w:lang w:val="en-US"/>
        </w:rPr>
        <w:t>lỗi</w:t>
      </w:r>
      <w:r>
        <w:rPr>
          <w:rFonts w:ascii="Times New Roman" w:hAnsi="Times New Roman"/>
          <w:color w:val="000000"/>
          <w:sz w:val="28"/>
        </w:rPr>
        <w:t>) thông qua các chuỗi lớp tích chập sâu và các khối liên kết tắt (residual/CSP connections).</w:t>
      </w:r>
    </w:p>
    <w:p w14:paraId="3EBBFF50">
      <w:pPr>
        <w:spacing w:before="60" w:after="120" w:line="312" w:lineRule="auto"/>
        <w:jc w:val="both"/>
      </w:pPr>
      <w:r>
        <w:rPr>
          <w:rFonts w:ascii="Times New Roman" w:hAnsi="Times New Roman"/>
          <w:b/>
          <w:color w:val="000000"/>
          <w:sz w:val="28"/>
        </w:rPr>
        <w:t xml:space="preserve">Mạng cổ (Neck) và Đầu phân loại/hồi quy (Head): </w:t>
      </w:r>
      <w:r>
        <w:rPr>
          <w:rFonts w:ascii="Times New Roman" w:hAnsi="Times New Roman"/>
          <w:color w:val="000000"/>
          <w:sz w:val="28"/>
        </w:rPr>
        <w:t xml:space="preserve">Khối Neck (như FPN hoặc PANet) đảm nhận nhiệm vụ hợp nhất và truyền dẫn thông tin đặc trưng đa quy mô theo chiều từ trên xuống (top-down) và từ dưới lên (bottom-up); khối Head thực hiện các phép chiếu đặc trưng để dự đoán phân bố xác suất của 6 loại </w:t>
      </w:r>
      <w:r>
        <w:rPr>
          <w:color w:val="000000"/>
          <w:sz w:val="28"/>
          <w:lang w:val="en-US"/>
        </w:rPr>
        <w:t>lỗi</w:t>
      </w:r>
      <w:r>
        <w:rPr>
          <w:rFonts w:ascii="Times New Roman" w:hAnsi="Times New Roman"/>
          <w:color w:val="000000"/>
          <w:sz w:val="28"/>
        </w:rPr>
        <w:t xml:space="preserve"> và tính toán tọa độ hộp bao vị trí.</w:t>
      </w:r>
    </w:p>
    <w:p w14:paraId="6A45A2C0">
      <w:pPr>
        <w:spacing w:before="60" w:after="120" w:line="312" w:lineRule="auto"/>
        <w:jc w:val="both"/>
      </w:pPr>
      <w:r>
        <w:rPr>
          <w:rFonts w:ascii="Times New Roman" w:hAnsi="Times New Roman"/>
          <w:b/>
          <w:color w:val="000000"/>
          <w:sz w:val="28"/>
        </w:rPr>
        <w:t xml:space="preserve">Hàm mất mát riêng biệt cho từng mô hình thực nghiệm: </w:t>
      </w:r>
      <w:r>
        <w:rPr>
          <w:rFonts w:ascii="Times New Roman" w:hAnsi="Times New Roman"/>
          <w:color w:val="000000"/>
          <w:sz w:val="28"/>
        </w:rPr>
        <w:t>Để bảo đảm tính chuẩn xác khoa học và bám sát các bản triển khai chính thức của mã nguồn gốc, nghiên cứu không sử dụng một hàm mất mát chung cho cả ba mô hình mà thiết lập hàm mất mát tiêu chuẩn riêng biệt cho từng kiến trúc trong thí nghiệm cơ sở (baseline experiments):</w:t>
      </w:r>
    </w:p>
    <w:p w14:paraId="0F6ABE77">
      <w:pPr>
        <w:spacing w:before="40" w:after="100" w:line="312" w:lineRule="auto"/>
        <w:ind w:left="360"/>
        <w:jc w:val="both"/>
      </w:pPr>
      <w:r>
        <w:rPr>
          <w:rFonts w:ascii="Times New Roman" w:hAnsi="Times New Roman"/>
          <w:b/>
          <w:sz w:val="28"/>
        </w:rPr>
        <w:t xml:space="preserve">• Hàm mất mát của YOLOv5 (chuẩn Ultralytics): </w:t>
      </w:r>
      <w:r>
        <w:rPr>
          <w:rFonts w:ascii="Times New Roman" w:hAnsi="Times New Roman"/>
          <w:sz w:val="28"/>
        </w:rPr>
        <w:t>Gồm tổng có trọng số của ba thành phần độc lập: L_YOLOv5 = λ_box * L_box + λ_obj * L_obj + λ_cls * L_cls. Trong đó, mất mát phân loại (L_cls) và mất mát vật thể (L_obj) sử dụng hàm Binary Cross-Entropy với Logits (BCEWithLogitsLoss); mất mát tọa độ hộp bao (L_box) sử dụng Complete IoU (CIoU Loss) để tối ưu đồng thời diện tích chồng lấn IoU, khoảng cách giữa hai điểm tâm và tỷ lệ khung hình. (Lưu ý rằng Focal Loss trong YOLOv5 là một tham số cấu hình nâng cao fl_gamma, ở cấu hình cơ sở mô hình sử dụng hàm BCE tiêu chuẩn).</w:t>
      </w:r>
    </w:p>
    <w:p w14:paraId="0C79E311">
      <w:pPr>
        <w:spacing w:before="40" w:after="100" w:line="312" w:lineRule="auto"/>
        <w:ind w:left="360"/>
        <w:jc w:val="both"/>
      </w:pPr>
      <w:r>
        <w:rPr>
          <w:rFonts w:ascii="Times New Roman" w:hAnsi="Times New Roman"/>
          <w:b/>
          <w:sz w:val="28"/>
        </w:rPr>
        <w:t xml:space="preserve">• Hàm mất mát của YOLOv8 (chuẩn Ultralytics): </w:t>
      </w:r>
      <w:r>
        <w:rPr>
          <w:rFonts w:ascii="Times New Roman" w:hAnsi="Times New Roman"/>
          <w:sz w:val="28"/>
        </w:rPr>
        <w:t xml:space="preserve">Nhờ cấu trúc Anchor-free và đầu phân tách Decoupled Head, YOLOv8 loại bỏ hoàn toàn nhánh Objectness. Hàm mất mát tổng hợp gồm: L_YOLOv8 = λ_box * L_box + λ_cls * L_cls + λ_dfl * L_DFL. Trong đó, L_cls sử dụng BCE Loss kết hợp trọng số từ thuật toán gán nhãn động Task-Aligned Assigner; L_box sử dụng CIoU Loss; và L_DFL (Distribution Focal Loss) hồi quy khoảng cách biên hộp dưới dạng phân phối xác suất liên tục, giúp mô hình nắm bắt độ bất định tại ranh giới các </w:t>
      </w:r>
      <w:r>
        <w:rPr>
          <w:sz w:val="28"/>
          <w:lang w:val="en-US"/>
        </w:rPr>
        <w:t>lỗi</w:t>
      </w:r>
      <w:r>
        <w:rPr>
          <w:rFonts w:ascii="Times New Roman" w:hAnsi="Times New Roman"/>
          <w:sz w:val="28"/>
        </w:rPr>
        <w:t xml:space="preserve"> biến dạng không đồng đều trên bề mặt kim loại.</w:t>
      </w:r>
    </w:p>
    <w:p w14:paraId="14A6F432">
      <w:pPr>
        <w:spacing w:before="40" w:after="100" w:line="312" w:lineRule="auto"/>
        <w:ind w:left="360"/>
        <w:jc w:val="both"/>
      </w:pPr>
      <w:r>
        <w:rPr>
          <w:rFonts w:ascii="Times New Roman" w:hAnsi="Times New Roman"/>
          <w:b/>
          <w:sz w:val="28"/>
        </w:rPr>
        <w:t xml:space="preserve">• Hàm mất mát của Faster R-CNN (chuẩn Torchvision): </w:t>
      </w:r>
      <w:r>
        <w:rPr>
          <w:rFonts w:ascii="Times New Roman" w:hAnsi="Times New Roman"/>
          <w:sz w:val="28"/>
        </w:rPr>
        <w:t xml:space="preserve">Là kiến trúc hai giai đoạn, hàm mất mát được chia tách độc lập giữa mạng đề xuất vùng (RPN) và đầu phân loại/hồi quy RoI (RoI Heads): L_Faster = L_rpn_cls + L_rpn_box + L_roi_cls + L_roi_box. Ở giai đoạn RPN, L_rpn_cls sử dụng nhị phân Cross-Entropy để phân biệt tiền cảnh/hậu cảnh, L_rpn_box sử dụng Smooth L1 Loss để hồi quy sơ bộ hộp đề xuất. Ở giai đoạn RoI Heads, L_roi_cls sử dụng Multi-class Cross-Entropy (với hàm Softmax trên 6 lớp </w:t>
      </w:r>
      <w:r>
        <w:rPr>
          <w:sz w:val="28"/>
          <w:lang w:val="en-US"/>
        </w:rPr>
        <w:t>lỗi</w:t>
      </w:r>
      <w:r>
        <w:rPr>
          <w:rFonts w:ascii="Times New Roman" w:hAnsi="Times New Roman"/>
          <w:sz w:val="28"/>
        </w:rPr>
        <w:t xml:space="preserve"> và 1 lớp nền) để định danh loại lỗi; L_roi_box sử dụng Smooth L1 Loss để tinh chỉnh tọa độ hộp bao chi tiết cho từng lớp </w:t>
      </w:r>
      <w:r>
        <w:rPr>
          <w:sz w:val="28"/>
          <w:lang w:val="en-US"/>
        </w:rPr>
        <w:t>lỗi</w:t>
      </w:r>
      <w:r>
        <w:rPr>
          <w:rFonts w:ascii="Times New Roman" w:hAnsi="Times New Roman"/>
          <w:sz w:val="28"/>
        </w:rPr>
        <w:t xml:space="preserve"> cụ thể.</w:t>
      </w:r>
    </w:p>
    <w:p w14:paraId="1EB5F664">
      <w:pPr>
        <w:spacing w:before="60" w:after="120" w:line="312" w:lineRule="auto"/>
        <w:jc w:val="both"/>
      </w:pPr>
      <w:r>
        <w:rPr>
          <w:rFonts w:ascii="Times New Roman" w:hAnsi="Times New Roman"/>
          <w:b/>
          <w:color w:val="000000"/>
          <w:sz w:val="28"/>
        </w:rPr>
        <w:t xml:space="preserve">Chiến lược tối ưu hóa và siêu tham số: </w:t>
      </w:r>
      <w:r>
        <w:rPr>
          <w:rFonts w:ascii="Times New Roman" w:hAnsi="Times New Roman"/>
          <w:color w:val="000000"/>
          <w:sz w:val="28"/>
        </w:rPr>
        <w:t>Quá trình huấn luyện sử dụng các bộ tối ưu hóa tiêu chuẩn (AdamW / SGD có động lượng), tốc độ học ban đầu được kết hợp với lịch trình giảm dần theo hàm Cosine (Cosine Annealing LR Scheduler), và kích thước batch được điều chỉnh phù hợp với dung lượng bộ nhớ VRAM của GPU nhằm duy trì sự ổn định của gradient qua từng epoch.</w:t>
      </w:r>
    </w:p>
    <w:p w14:paraId="29EC1B28">
      <w:pPr>
        <w:spacing w:before="60" w:after="120" w:line="312" w:lineRule="auto"/>
        <w:jc w:val="both"/>
      </w:pPr>
      <w:r>
        <w:rPr>
          <w:rFonts w:ascii="Times New Roman" w:hAnsi="Times New Roman"/>
          <w:b/>
          <w:color w:val="000000"/>
          <w:sz w:val="28"/>
        </w:rPr>
        <w:t xml:space="preserve">Hệ thống chỉ số đánh giá: </w:t>
      </w:r>
      <w:r>
        <w:rPr>
          <w:rFonts w:ascii="Times New Roman" w:hAnsi="Times New Roman"/>
          <w:color w:val="000000"/>
          <w:sz w:val="28"/>
        </w:rPr>
        <w:t>Đo lường độ chính xác nhận diện và chất lượng định vị hình học thông qua các chỉ số chuẩn mAP@0.5 và mAP@0.5:0.95 (theo chuẩn COCO), Precision, Recall; đồng thời đo lường hiệu năng suy luận thông qua độ trễ tính toán (Latency tính theo mili-giây) và tốc độ khung hình trên giây (FPS).</w:t>
      </w:r>
    </w:p>
    <w:p w14:paraId="16437D33">
      <w:pPr>
        <w:spacing w:before="280" w:after="120" w:line="312" w:lineRule="auto"/>
        <w:jc w:val="left"/>
      </w:pPr>
      <w:r>
        <w:rPr>
          <w:rFonts w:ascii="Times New Roman" w:hAnsi="Times New Roman"/>
          <w:b/>
          <w:color w:val="000000"/>
          <w:sz w:val="28"/>
        </w:rPr>
        <w:t>2.3. Lựa chọn và thiết kế các kiến trúc mô hình thực nghiệm</w:t>
      </w:r>
    </w:p>
    <w:p w14:paraId="234573EB">
      <w:pPr>
        <w:spacing w:before="60" w:after="120" w:line="312" w:lineRule="auto"/>
        <w:jc w:val="both"/>
      </w:pPr>
      <w:r>
        <w:rPr>
          <w:rFonts w:ascii="Times New Roman" w:hAnsi="Times New Roman"/>
          <w:b/>
          <w:color w:val="000000"/>
          <w:sz w:val="28"/>
        </w:rPr>
        <w:t xml:space="preserve">Định hướng lựa chọn mô hình: </w:t>
      </w:r>
      <w:r>
        <w:rPr>
          <w:rFonts w:ascii="Times New Roman" w:hAnsi="Times New Roman"/>
          <w:color w:val="000000"/>
          <w:sz w:val="28"/>
        </w:rPr>
        <w:t>Nhóm nghiên cứu không đề xuất một kiến trúc mạng nơ-ron hoàn toàn mới mà xây dựng hệ thống đề xuất ứng dụng ba kiến trúc mô hình thị giác máy tính đã được chứng minh hiệu quả trong học sâu, đại diện cho ba cách tiếp cận khác nhau để tiến hành thực nghiệm so sánh đối chuẩn khách quan:</w:t>
      </w:r>
    </w:p>
    <w:p w14:paraId="0926524B">
      <w:pPr>
        <w:spacing w:before="60" w:after="120" w:line="312" w:lineRule="auto"/>
        <w:jc w:val="both"/>
      </w:pPr>
      <w:r>
        <w:rPr>
          <w:rFonts w:ascii="Times New Roman" w:hAnsi="Times New Roman"/>
          <w:b/>
          <w:color w:val="000000"/>
          <w:sz w:val="28"/>
        </w:rPr>
        <w:t xml:space="preserve">Mô hình hai giai đoạn (Faster R-CNN với ResNet-50-FPN): </w:t>
      </w:r>
      <w:r>
        <w:rPr>
          <w:rFonts w:ascii="Times New Roman" w:hAnsi="Times New Roman"/>
          <w:color w:val="000000"/>
          <w:sz w:val="28"/>
        </w:rPr>
        <w:t xml:space="preserve">Sử dụng mạng trích xuất đặc trưng ResNet-50 kết hợp kim tự tháp đặc trưng FPN, mạng đề xuất vùng (RPN) để lọc ra các vùng nghi ngờ </w:t>
      </w:r>
      <w:r>
        <w:rPr>
          <w:color w:val="000000"/>
          <w:sz w:val="28"/>
          <w:lang w:val="en-US"/>
        </w:rPr>
        <w:t>lỗi</w:t>
      </w:r>
      <w:r>
        <w:rPr>
          <w:rFonts w:ascii="Times New Roman" w:hAnsi="Times New Roman"/>
          <w:color w:val="000000"/>
          <w:sz w:val="28"/>
        </w:rPr>
        <w:t xml:space="preserve">, sau đó căn chỉnh đặc trưng thông qua RoIAlign và đưa qua các nhánh RoI Heads để phân loại chi tiết và hồi quy tọa độ. Về mặt lý thuyết, cơ chế đề xuất hai giai đoạn có ưu thế tiềm năng trong việc định vị các </w:t>
      </w:r>
      <w:r>
        <w:rPr>
          <w:color w:val="000000"/>
          <w:sz w:val="28"/>
          <w:lang w:val="en-US"/>
        </w:rPr>
        <w:t>lỗi</w:t>
      </w:r>
      <w:r>
        <w:rPr>
          <w:rFonts w:ascii="Times New Roman" w:hAnsi="Times New Roman"/>
          <w:color w:val="000000"/>
          <w:sz w:val="28"/>
        </w:rPr>
        <w:t xml:space="preserve"> nhỏ và phức tạp; tuy nhiên, cấu trúc tuần tự này thường đi kèm độ trễ tính toán cao và tốc độ FPS thấp. Đây là đặc điểm kỹ thuật cần được khảo sát và đánh giá định lượng thông qua thực nghiệm thay vì khẳng định tiên nghiệm.</w:t>
      </w:r>
    </w:p>
    <w:p w14:paraId="3DB82F8D">
      <w:pPr>
        <w:spacing w:before="60" w:after="120" w:line="312" w:lineRule="auto"/>
        <w:jc w:val="both"/>
      </w:pPr>
      <w:r>
        <w:rPr>
          <w:rFonts w:ascii="Times New Roman" w:hAnsi="Times New Roman"/>
          <w:b/>
          <w:color w:val="000000"/>
          <w:sz w:val="28"/>
        </w:rPr>
        <w:t xml:space="preserve">Mô hình một giai đoạn dựa trên hộp neo định sẵn (Anchor-based One-Stage - YOLOv5): </w:t>
      </w:r>
      <w:r>
        <w:rPr>
          <w:rFonts w:ascii="Times New Roman" w:hAnsi="Times New Roman"/>
          <w:color w:val="000000"/>
          <w:sz w:val="28"/>
        </w:rPr>
        <w:t xml:space="preserve">Dựa trên kiến trúc CSPDarknet và PANet, sử dụng cơ chế hộp neo định sẵn (predefined anchors) được phân cụm k-means phù hợp với phân bố kích thước hộp lỗi NEU-DET. Mô hình dự đoán đồng thời vị trí và lớp </w:t>
      </w:r>
      <w:r>
        <w:rPr>
          <w:color w:val="000000"/>
          <w:sz w:val="28"/>
          <w:lang w:val="en-US"/>
        </w:rPr>
        <w:t>lỗi</w:t>
      </w:r>
      <w:r>
        <w:rPr>
          <w:rFonts w:ascii="Times New Roman" w:hAnsi="Times New Roman"/>
          <w:color w:val="000000"/>
          <w:sz w:val="28"/>
        </w:rPr>
        <w:t xml:space="preserve"> trong một lần quét (single-pass forward) nhằm tối ưu hóa thông lượng và tốc độ suy luận. Khả năng thích ứng của các hộp neo cố định với các vết xước dài hẹp hoặc </w:t>
      </w:r>
      <w:r>
        <w:rPr>
          <w:color w:val="000000"/>
          <w:sz w:val="28"/>
          <w:lang w:val="en-US"/>
        </w:rPr>
        <w:t>lỗi</w:t>
      </w:r>
      <w:r>
        <w:rPr>
          <w:rFonts w:ascii="Times New Roman" w:hAnsi="Times New Roman"/>
          <w:color w:val="000000"/>
          <w:sz w:val="28"/>
        </w:rPr>
        <w:t xml:space="preserve"> rạn chân chim sẽ được kiểm chứng cụ thể trong kết quả thực nghiệm.</w:t>
      </w:r>
    </w:p>
    <w:p w14:paraId="3FD7EF7C">
      <w:pPr>
        <w:spacing w:before="60" w:after="120" w:line="312" w:lineRule="auto"/>
        <w:jc w:val="both"/>
      </w:pPr>
      <w:r>
        <w:rPr>
          <w:rFonts w:ascii="Times New Roman" w:hAnsi="Times New Roman"/>
          <w:b/>
          <w:color w:val="000000"/>
          <w:sz w:val="28"/>
        </w:rPr>
        <w:t xml:space="preserve">Mô hình một giai đoạn không dùng hộp neo (Anchor-free One-Stage - YOLOv8): </w:t>
      </w:r>
      <w:r>
        <w:rPr>
          <w:rFonts w:ascii="Times New Roman" w:hAnsi="Times New Roman"/>
          <w:color w:val="000000"/>
          <w:sz w:val="28"/>
        </w:rPr>
        <w:t>Được cải tiến với khối C2f tối ưu luồng truyền gradient, loại bỏ cơ chế hộp neo cố định để chuyển sang cơ chế Anchor-free kết hợp thuật toán gán nhãn động Task-Aligned Assigner và đầu phân tách Decoupled Head. Mô hình được kỳ vọng sẽ đạt được sự cân bằng tối ưu giữa độ chính xác định vị và tốc độ xử lý thời gian thực; mức độ hiệu quả này sẽ được phân tích và kết luận chính xác sau khi thu nhận đầy đủ số liệu thực nghiệm ở Chương 3.</w:t>
      </w:r>
    </w:p>
    <w:tbl>
      <w:tblPr>
        <w:tblStyle w:val="12"/>
        <w:tblW w:w="0" w:type="auto"/>
        <w:jc w:val="center"/>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1872"/>
        <w:gridCol w:w="1872"/>
        <w:gridCol w:w="1872"/>
        <w:gridCol w:w="1872"/>
        <w:gridCol w:w="1872"/>
      </w:tblGrid>
      <w:tr w14:paraId="16C09CBA">
        <w:tblPrEx>
          <w:tblCellMar>
            <w:top w:w="0" w:type="dxa"/>
            <w:left w:w="108" w:type="dxa"/>
            <w:bottom w:w="0" w:type="dxa"/>
            <w:right w:w="108" w:type="dxa"/>
          </w:tblCellMar>
        </w:tblPrEx>
        <w:trPr>
          <w:jc w:val="center"/>
        </w:trPr>
        <w:tc>
          <w:tcPr>
            <w:tcW w:w="1872" w:type="dxa"/>
            <w:shd w:val="clear" w:color="auto" w:fill="EAEAEA"/>
            <w:tcMar>
              <w:top w:w="100" w:type="dxa"/>
              <w:left w:w="120" w:type="dxa"/>
              <w:bottom w:w="100" w:type="dxa"/>
              <w:right w:w="120" w:type="dxa"/>
            </w:tcMar>
          </w:tcPr>
          <w:p w14:paraId="1D9280F8">
            <w:pPr>
              <w:jc w:val="center"/>
            </w:pPr>
            <w:r>
              <w:rPr>
                <w:rFonts w:ascii="Times New Roman" w:hAnsi="Times New Roman"/>
                <w:b/>
                <w:sz w:val="24"/>
              </w:rPr>
              <w:t>Mô hình</w:t>
            </w:r>
          </w:p>
        </w:tc>
        <w:tc>
          <w:tcPr>
            <w:tcW w:w="1872" w:type="dxa"/>
            <w:shd w:val="clear" w:color="auto" w:fill="EAEAEA"/>
            <w:tcMar>
              <w:top w:w="100" w:type="dxa"/>
              <w:left w:w="120" w:type="dxa"/>
              <w:bottom w:w="100" w:type="dxa"/>
              <w:right w:w="120" w:type="dxa"/>
            </w:tcMar>
          </w:tcPr>
          <w:p w14:paraId="3D8E0413">
            <w:pPr>
              <w:jc w:val="center"/>
            </w:pPr>
            <w:r>
              <w:rPr>
                <w:rFonts w:ascii="Times New Roman" w:hAnsi="Times New Roman"/>
                <w:b/>
                <w:sz w:val="24"/>
              </w:rPr>
              <w:t>Phân loại kiến trúc</w:t>
            </w:r>
          </w:p>
        </w:tc>
        <w:tc>
          <w:tcPr>
            <w:tcW w:w="1872" w:type="dxa"/>
            <w:shd w:val="clear" w:color="auto" w:fill="EAEAEA"/>
            <w:tcMar>
              <w:top w:w="100" w:type="dxa"/>
              <w:left w:w="120" w:type="dxa"/>
              <w:bottom w:w="100" w:type="dxa"/>
              <w:right w:w="120" w:type="dxa"/>
            </w:tcMar>
          </w:tcPr>
          <w:p w14:paraId="530B5CFC">
            <w:pPr>
              <w:jc w:val="center"/>
            </w:pPr>
            <w:r>
              <w:rPr>
                <w:rFonts w:ascii="Times New Roman" w:hAnsi="Times New Roman"/>
                <w:b/>
                <w:sz w:val="24"/>
              </w:rPr>
              <w:t>Cơ chế Anchor</w:t>
            </w:r>
          </w:p>
        </w:tc>
        <w:tc>
          <w:tcPr>
            <w:tcW w:w="1872" w:type="dxa"/>
            <w:shd w:val="clear" w:color="auto" w:fill="EAEAEA"/>
            <w:tcMar>
              <w:top w:w="100" w:type="dxa"/>
              <w:left w:w="120" w:type="dxa"/>
              <w:bottom w:w="100" w:type="dxa"/>
              <w:right w:w="120" w:type="dxa"/>
            </w:tcMar>
          </w:tcPr>
          <w:p w14:paraId="5A55F74B">
            <w:pPr>
              <w:jc w:val="center"/>
            </w:pPr>
            <w:r>
              <w:rPr>
                <w:rFonts w:ascii="Times New Roman" w:hAnsi="Times New Roman"/>
                <w:b/>
                <w:sz w:val="24"/>
              </w:rPr>
              <w:t>Hàm mất mát phân loại</w:t>
            </w:r>
          </w:p>
        </w:tc>
        <w:tc>
          <w:tcPr>
            <w:tcW w:w="1872" w:type="dxa"/>
            <w:shd w:val="clear" w:color="auto" w:fill="EAEAEA"/>
            <w:tcMar>
              <w:top w:w="100" w:type="dxa"/>
              <w:left w:w="120" w:type="dxa"/>
              <w:bottom w:w="100" w:type="dxa"/>
              <w:right w:w="120" w:type="dxa"/>
            </w:tcMar>
          </w:tcPr>
          <w:p w14:paraId="0425D744">
            <w:pPr>
              <w:jc w:val="center"/>
            </w:pPr>
            <w:r>
              <w:rPr>
                <w:rFonts w:ascii="Times New Roman" w:hAnsi="Times New Roman"/>
                <w:b/>
                <w:sz w:val="24"/>
              </w:rPr>
              <w:t>Hàm mất mát tọa độ hộp</w:t>
            </w:r>
          </w:p>
        </w:tc>
      </w:tr>
      <w:tr w14:paraId="7A93128C">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872" w:type="dxa"/>
            <w:tcMar>
              <w:top w:w="80" w:type="dxa"/>
              <w:left w:w="100" w:type="dxa"/>
              <w:bottom w:w="80" w:type="dxa"/>
              <w:right w:w="100" w:type="dxa"/>
            </w:tcMar>
          </w:tcPr>
          <w:p w14:paraId="298FB28E">
            <w:pPr>
              <w:jc w:val="center"/>
            </w:pPr>
            <w:r>
              <w:rPr>
                <w:rFonts w:ascii="Times New Roman" w:hAnsi="Times New Roman"/>
                <w:sz w:val="24"/>
              </w:rPr>
              <w:t>Faster R-CNN</w:t>
            </w:r>
          </w:p>
        </w:tc>
        <w:tc>
          <w:tcPr>
            <w:tcW w:w="1872" w:type="dxa"/>
            <w:tcMar>
              <w:top w:w="80" w:type="dxa"/>
              <w:left w:w="100" w:type="dxa"/>
              <w:bottom w:w="80" w:type="dxa"/>
              <w:right w:w="100" w:type="dxa"/>
            </w:tcMar>
          </w:tcPr>
          <w:p w14:paraId="257B207A">
            <w:pPr>
              <w:jc w:val="center"/>
            </w:pPr>
            <w:r>
              <w:rPr>
                <w:rFonts w:ascii="Times New Roman" w:hAnsi="Times New Roman"/>
                <w:sz w:val="24"/>
              </w:rPr>
              <w:t>Hai giai đoạn (Two-stage)</w:t>
            </w:r>
          </w:p>
        </w:tc>
        <w:tc>
          <w:tcPr>
            <w:tcW w:w="1872" w:type="dxa"/>
            <w:tcMar>
              <w:top w:w="80" w:type="dxa"/>
              <w:left w:w="100" w:type="dxa"/>
              <w:bottom w:w="80" w:type="dxa"/>
              <w:right w:w="100" w:type="dxa"/>
            </w:tcMar>
          </w:tcPr>
          <w:p w14:paraId="78068BD3">
            <w:pPr>
              <w:jc w:val="left"/>
            </w:pPr>
            <w:r>
              <w:rPr>
                <w:rFonts w:ascii="Times New Roman" w:hAnsi="Times New Roman"/>
                <w:sz w:val="24"/>
              </w:rPr>
              <w:t>Dense Anchor Proposing (RPN)</w:t>
            </w:r>
          </w:p>
        </w:tc>
        <w:tc>
          <w:tcPr>
            <w:tcW w:w="1872" w:type="dxa"/>
            <w:tcMar>
              <w:top w:w="80" w:type="dxa"/>
              <w:left w:w="100" w:type="dxa"/>
              <w:bottom w:w="80" w:type="dxa"/>
              <w:right w:w="100" w:type="dxa"/>
            </w:tcMar>
          </w:tcPr>
          <w:p w14:paraId="0B4BE081">
            <w:pPr>
              <w:jc w:val="left"/>
            </w:pPr>
            <w:r>
              <w:rPr>
                <w:rFonts w:ascii="Times New Roman" w:hAnsi="Times New Roman"/>
                <w:sz w:val="24"/>
              </w:rPr>
              <w:t>RPN BCE + RoI Multi-class CE</w:t>
            </w:r>
          </w:p>
        </w:tc>
        <w:tc>
          <w:tcPr>
            <w:tcW w:w="1872" w:type="dxa"/>
            <w:tcMar>
              <w:top w:w="80" w:type="dxa"/>
              <w:left w:w="100" w:type="dxa"/>
              <w:bottom w:w="80" w:type="dxa"/>
              <w:right w:w="100" w:type="dxa"/>
            </w:tcMar>
          </w:tcPr>
          <w:p w14:paraId="01598DF4">
            <w:pPr>
              <w:jc w:val="left"/>
            </w:pPr>
            <w:r>
              <w:rPr>
                <w:rFonts w:ascii="Times New Roman" w:hAnsi="Times New Roman"/>
                <w:sz w:val="24"/>
              </w:rPr>
              <w:t>RPN Smooth L1 + RoI Smooth L1</w:t>
            </w:r>
          </w:p>
        </w:tc>
      </w:tr>
      <w:tr w14:paraId="5574B626">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872" w:type="dxa"/>
            <w:tcMar>
              <w:top w:w="80" w:type="dxa"/>
              <w:left w:w="100" w:type="dxa"/>
              <w:bottom w:w="80" w:type="dxa"/>
              <w:right w:w="100" w:type="dxa"/>
            </w:tcMar>
          </w:tcPr>
          <w:p w14:paraId="006820F0">
            <w:pPr>
              <w:jc w:val="center"/>
            </w:pPr>
            <w:r>
              <w:rPr>
                <w:rFonts w:ascii="Times New Roman" w:hAnsi="Times New Roman"/>
                <w:sz w:val="24"/>
              </w:rPr>
              <w:t>YOLOv5</w:t>
            </w:r>
          </w:p>
        </w:tc>
        <w:tc>
          <w:tcPr>
            <w:tcW w:w="1872" w:type="dxa"/>
            <w:tcMar>
              <w:top w:w="80" w:type="dxa"/>
              <w:left w:w="100" w:type="dxa"/>
              <w:bottom w:w="80" w:type="dxa"/>
              <w:right w:w="100" w:type="dxa"/>
            </w:tcMar>
          </w:tcPr>
          <w:p w14:paraId="63A0DCD1">
            <w:pPr>
              <w:jc w:val="center"/>
            </w:pPr>
            <w:r>
              <w:rPr>
                <w:rFonts w:ascii="Times New Roman" w:hAnsi="Times New Roman"/>
                <w:sz w:val="24"/>
              </w:rPr>
              <w:t>Một giai đoạn (One-stage)</w:t>
            </w:r>
          </w:p>
        </w:tc>
        <w:tc>
          <w:tcPr>
            <w:tcW w:w="1872" w:type="dxa"/>
            <w:tcMar>
              <w:top w:w="80" w:type="dxa"/>
              <w:left w:w="100" w:type="dxa"/>
              <w:bottom w:w="80" w:type="dxa"/>
              <w:right w:w="100" w:type="dxa"/>
            </w:tcMar>
          </w:tcPr>
          <w:p w14:paraId="3FEDF258">
            <w:pPr>
              <w:jc w:val="left"/>
            </w:pPr>
            <w:r>
              <w:rPr>
                <w:rFonts w:ascii="Times New Roman" w:hAnsi="Times New Roman"/>
                <w:sz w:val="24"/>
              </w:rPr>
              <w:t>Anchor-based định sẵn (k-means)</w:t>
            </w:r>
          </w:p>
        </w:tc>
        <w:tc>
          <w:tcPr>
            <w:tcW w:w="1872" w:type="dxa"/>
            <w:tcMar>
              <w:top w:w="80" w:type="dxa"/>
              <w:left w:w="100" w:type="dxa"/>
              <w:bottom w:w="80" w:type="dxa"/>
              <w:right w:w="100" w:type="dxa"/>
            </w:tcMar>
          </w:tcPr>
          <w:p w14:paraId="484398F7">
            <w:pPr>
              <w:jc w:val="left"/>
            </w:pPr>
            <w:r>
              <w:rPr>
                <w:rFonts w:ascii="Times New Roman" w:hAnsi="Times New Roman"/>
                <w:sz w:val="24"/>
              </w:rPr>
              <w:t>BCE Loss (kèm Objectness BCE)</w:t>
            </w:r>
          </w:p>
        </w:tc>
        <w:tc>
          <w:tcPr>
            <w:tcW w:w="1872" w:type="dxa"/>
            <w:tcMar>
              <w:top w:w="80" w:type="dxa"/>
              <w:left w:w="100" w:type="dxa"/>
              <w:bottom w:w="80" w:type="dxa"/>
              <w:right w:w="100" w:type="dxa"/>
            </w:tcMar>
          </w:tcPr>
          <w:p w14:paraId="5855B726">
            <w:pPr>
              <w:jc w:val="left"/>
            </w:pPr>
            <w:r>
              <w:rPr>
                <w:rFonts w:ascii="Times New Roman" w:hAnsi="Times New Roman"/>
                <w:sz w:val="24"/>
              </w:rPr>
              <w:t>CIoU Loss</w:t>
            </w:r>
          </w:p>
        </w:tc>
      </w:tr>
      <w:tr w14:paraId="2D58DD68">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872" w:type="dxa"/>
            <w:tcMar>
              <w:top w:w="80" w:type="dxa"/>
              <w:left w:w="100" w:type="dxa"/>
              <w:bottom w:w="80" w:type="dxa"/>
              <w:right w:w="100" w:type="dxa"/>
            </w:tcMar>
          </w:tcPr>
          <w:p w14:paraId="04E37677">
            <w:pPr>
              <w:jc w:val="center"/>
            </w:pPr>
            <w:r>
              <w:rPr>
                <w:rFonts w:ascii="Times New Roman" w:hAnsi="Times New Roman"/>
                <w:sz w:val="24"/>
              </w:rPr>
              <w:t>YOLOv8</w:t>
            </w:r>
          </w:p>
        </w:tc>
        <w:tc>
          <w:tcPr>
            <w:tcW w:w="1872" w:type="dxa"/>
            <w:tcMar>
              <w:top w:w="80" w:type="dxa"/>
              <w:left w:w="100" w:type="dxa"/>
              <w:bottom w:w="80" w:type="dxa"/>
              <w:right w:w="100" w:type="dxa"/>
            </w:tcMar>
          </w:tcPr>
          <w:p w14:paraId="130F8BE5">
            <w:pPr>
              <w:jc w:val="center"/>
            </w:pPr>
            <w:r>
              <w:rPr>
                <w:rFonts w:ascii="Times New Roman" w:hAnsi="Times New Roman"/>
                <w:sz w:val="24"/>
              </w:rPr>
              <w:t>Một giai đoạn (One-stage)</w:t>
            </w:r>
          </w:p>
        </w:tc>
        <w:tc>
          <w:tcPr>
            <w:tcW w:w="1872" w:type="dxa"/>
            <w:tcMar>
              <w:top w:w="80" w:type="dxa"/>
              <w:left w:w="100" w:type="dxa"/>
              <w:bottom w:w="80" w:type="dxa"/>
              <w:right w:w="100" w:type="dxa"/>
            </w:tcMar>
          </w:tcPr>
          <w:p w14:paraId="1FC7C458">
            <w:pPr>
              <w:jc w:val="left"/>
            </w:pPr>
            <w:r>
              <w:rPr>
                <w:rFonts w:ascii="Times New Roman" w:hAnsi="Times New Roman"/>
                <w:sz w:val="24"/>
              </w:rPr>
              <w:t>Anchor-free (Task-Aligned)</w:t>
            </w:r>
          </w:p>
        </w:tc>
        <w:tc>
          <w:tcPr>
            <w:tcW w:w="1872" w:type="dxa"/>
            <w:tcMar>
              <w:top w:w="80" w:type="dxa"/>
              <w:left w:w="100" w:type="dxa"/>
              <w:bottom w:w="80" w:type="dxa"/>
              <w:right w:w="100" w:type="dxa"/>
            </w:tcMar>
          </w:tcPr>
          <w:p w14:paraId="2DC5759C">
            <w:pPr>
              <w:jc w:val="left"/>
            </w:pPr>
            <w:r>
              <w:rPr>
                <w:rFonts w:ascii="Times New Roman" w:hAnsi="Times New Roman"/>
                <w:sz w:val="24"/>
              </w:rPr>
              <w:t>BCE Loss (Decoupled Head)</w:t>
            </w:r>
          </w:p>
        </w:tc>
        <w:tc>
          <w:tcPr>
            <w:tcW w:w="1872" w:type="dxa"/>
            <w:tcMar>
              <w:top w:w="80" w:type="dxa"/>
              <w:left w:w="100" w:type="dxa"/>
              <w:bottom w:w="80" w:type="dxa"/>
              <w:right w:w="100" w:type="dxa"/>
            </w:tcMar>
          </w:tcPr>
          <w:p w14:paraId="1709D88E">
            <w:pPr>
              <w:jc w:val="left"/>
            </w:pPr>
            <w:r>
              <w:rPr>
                <w:rFonts w:ascii="Times New Roman" w:hAnsi="Times New Roman"/>
                <w:sz w:val="24"/>
              </w:rPr>
              <w:t>CIoU Loss + Distribution Focal Loss (DFL)</w:t>
            </w:r>
          </w:p>
        </w:tc>
      </w:tr>
    </w:tbl>
    <w:p w14:paraId="7EA126A7">
      <w:pPr>
        <w:spacing w:before="80" w:after="160"/>
        <w:jc w:val="center"/>
      </w:pPr>
      <w:r>
        <w:rPr>
          <w:rFonts w:ascii="Times New Roman" w:hAnsi="Times New Roman"/>
          <w:i/>
          <w:sz w:val="24"/>
        </w:rPr>
        <w:t>Bảng 2.2. So sánh đặc tính thiết kế kiến trúc và hàm mục tiêu của 3 mô hình thực nghiệm</w:t>
      </w:r>
    </w:p>
    <w:p w14:paraId="24439388">
      <w:pPr>
        <w:spacing w:before="280" w:after="120" w:line="312" w:lineRule="auto"/>
        <w:jc w:val="left"/>
      </w:pPr>
      <w:r>
        <w:rPr>
          <w:rFonts w:ascii="Times New Roman" w:hAnsi="Times New Roman"/>
          <w:b/>
          <w:color w:val="000000"/>
          <w:sz w:val="28"/>
        </w:rPr>
        <w:t>2.4. Khả năng giải thích của mô hình thông qua kỹ thuật Eigen-CAM (Mở rộng)</w:t>
      </w:r>
    </w:p>
    <w:p w14:paraId="59161949">
      <w:pPr>
        <w:spacing w:before="60" w:after="120" w:line="312" w:lineRule="auto"/>
        <w:jc w:val="both"/>
      </w:pPr>
      <w:r>
        <w:rPr>
          <w:rFonts w:ascii="Times New Roman" w:hAnsi="Times New Roman"/>
          <w:b/>
          <w:color w:val="000000"/>
          <w:sz w:val="28"/>
        </w:rPr>
        <w:t xml:space="preserve">Nguyên lý kỹ thuật (Explainable AI - XAI): </w:t>
      </w:r>
      <w:r>
        <w:rPr>
          <w:rFonts w:ascii="Times New Roman" w:hAnsi="Times New Roman"/>
          <w:color w:val="000000"/>
          <w:sz w:val="28"/>
        </w:rPr>
        <w:t>Eigen-CAM (Eigen-weighted Class Activation Mapping) là kỹ thuật giải thích mô hình trực quan dựa trên phân tích thành phần chính (PCA) hoặc phân tích phân rã giá trị kỳ dị (Singular Value Decomposition - SVD) trực tiếp trên các bản đồ đặc trưng (feature activation maps) trích xuất từ các lớp tích chập sâu nhất của mạng. Về mặt nguyên lý, Eigen-CAM hoàn toàn không sử dụng quá trình lan truyền ngược gradient (gradient-free) và không phụ thuộc vào trọng số của lớp phân loại (class-agnostic). Kỹ thuật này trích xuất vector riêng thứ nhất (first eigenvector) tương ứng với giá trị riêng lớn nhất của ma trận hiệp phương sai đặc trưng để chiếu không gian kích hoạt, phản ánh khách quan vùng thông tin hình ảnh mà mạng nơ-ron tập trung cao nhất mà không bị phụ thuộc vào tính toán đạo hàm ngược.</w:t>
      </w:r>
    </w:p>
    <w:p w14:paraId="4158AE48">
      <w:pPr>
        <w:spacing w:before="60" w:after="120" w:line="312" w:lineRule="auto"/>
        <w:jc w:val="both"/>
      </w:pPr>
      <w:r>
        <w:rPr>
          <w:rFonts w:ascii="Times New Roman" w:hAnsi="Times New Roman"/>
          <w:b/>
          <w:color w:val="000000"/>
          <w:sz w:val="28"/>
        </w:rPr>
        <w:t xml:space="preserve">Định vị phạm vi áp dụng (Hướng phát triển mở rộng): </w:t>
      </w:r>
      <w:r>
        <w:rPr>
          <w:rFonts w:ascii="Times New Roman" w:hAnsi="Times New Roman"/>
          <w:color w:val="000000"/>
          <w:sz w:val="28"/>
        </w:rPr>
        <w:t>Trong thiết kế hệ thống, kỹ thuật Eigen-CAM không nằm trong luồng tính toán bắt buộc của đường ống phát hiện thời gian thực nhằm tránh gây thêm độ trễ suy luận cho hệ thống. Thay vào đó, Eigen-CAM được định vị như một công cụ phân tích định tính bổ trợ và là hướng phát triển mở rộng phục vụ việc kiểm tra độ tin cậy và thẩm định cơ chế ra quyết định của mô hình.</w:t>
      </w:r>
    </w:p>
    <w:p w14:paraId="0875BC9B">
      <w:pPr>
        <w:spacing w:before="60" w:after="120" w:line="312" w:lineRule="auto"/>
        <w:jc w:val="both"/>
      </w:pPr>
      <w:r>
        <w:rPr>
          <w:rFonts w:ascii="Times New Roman" w:hAnsi="Times New Roman"/>
          <w:b/>
          <w:color w:val="000000"/>
          <w:sz w:val="28"/>
        </w:rPr>
        <w:t xml:space="preserve">Phương pháp trực quan hóa bản đồ nhiệt (Heatmap): </w:t>
      </w:r>
      <w:r>
        <w:rPr>
          <w:rFonts w:ascii="Times New Roman" w:hAnsi="Times New Roman"/>
          <w:color w:val="000000"/>
          <w:sz w:val="28"/>
        </w:rPr>
        <w:t xml:space="preserve">Bản đồ kích hoạt trích xuất từ lớp tích chập được chuẩn hóa về dải [0, 1] và ánh xạ thành biểu đồ nhiệt (Heatmap) quang phổ phủ lên ảnh gốc thép cán. Các vùng </w:t>
      </w:r>
      <w:r>
        <w:rPr>
          <w:color w:val="000000"/>
          <w:sz w:val="28"/>
          <w:lang w:val="en-US"/>
        </w:rPr>
        <w:t>lỗi</w:t>
      </w:r>
      <w:r>
        <w:rPr>
          <w:rFonts w:ascii="Times New Roman" w:hAnsi="Times New Roman"/>
          <w:color w:val="000000"/>
          <w:sz w:val="28"/>
        </w:rPr>
        <w:t xml:space="preserve"> được mô hình chú ý sẽ hiển thị màu nhiệt độ cao (đỏ/cam), hỗ trợ các kỹ sư kiểm soát chất lượng xác minh trực quan xem mô hình thực sự phát hiện đúng vùng biến dạng kim loại hay bị nhiễu bởi các vết vân cán thông thường.</w:t>
      </w:r>
    </w:p>
    <w:p w14:paraId="4315217C">
      <w:pPr>
        <w:spacing w:before="280" w:after="120" w:line="312" w:lineRule="auto"/>
        <w:jc w:val="left"/>
      </w:pPr>
      <w:r>
        <w:rPr>
          <w:rFonts w:ascii="Times New Roman" w:hAnsi="Times New Roman"/>
          <w:b/>
          <w:color w:val="000000"/>
          <w:sz w:val="28"/>
        </w:rPr>
        <w:t>2.5. Thiết kế quy trình thực nghiệm và tích hợp hệ thống Dashboard</w:t>
      </w:r>
    </w:p>
    <w:p w14:paraId="2B07580A">
      <w:pPr>
        <w:spacing w:before="60" w:after="120" w:line="312" w:lineRule="auto"/>
        <w:jc w:val="both"/>
      </w:pPr>
      <w:r>
        <w:rPr>
          <w:rFonts w:ascii="Times New Roman" w:hAnsi="Times New Roman"/>
          <w:b/>
          <w:color w:val="000000"/>
          <w:sz w:val="28"/>
        </w:rPr>
        <w:t xml:space="preserve">Môi trường thực thi và cấu hình: </w:t>
      </w:r>
      <w:r>
        <w:rPr>
          <w:rFonts w:ascii="Times New Roman" w:hAnsi="Times New Roman"/>
          <w:color w:val="000000"/>
          <w:sz w:val="28"/>
        </w:rPr>
        <w:t>Quy trình thực nghiệm được triển khai đồng bộ trên nền tảng ngôn ngữ Python, sử dụng các thư viện và framework học sâu chính thống gồm PyTorch, Torchvision và Ultralytics, được tăng tốc xử lý trên phần cứng GPU chuyên dụng (NVIDIA GPU).</w:t>
      </w:r>
    </w:p>
    <w:p w14:paraId="4BAF3E25">
      <w:pPr>
        <w:spacing w:before="60" w:after="120" w:line="312" w:lineRule="auto"/>
        <w:jc w:val="both"/>
      </w:pPr>
      <w:r>
        <w:rPr>
          <w:rFonts w:ascii="Times New Roman" w:hAnsi="Times New Roman"/>
          <w:b/>
          <w:color w:val="000000"/>
          <w:sz w:val="28"/>
        </w:rPr>
        <w:t xml:space="preserve">Chiến lược huấn luyện và phân chia dữ liệu: </w:t>
      </w:r>
      <w:r>
        <w:rPr>
          <w:rFonts w:ascii="Times New Roman" w:hAnsi="Times New Roman"/>
          <w:color w:val="000000"/>
          <w:sz w:val="28"/>
        </w:rPr>
        <w:t>Thực hiện huấn luyện trên tập dữ liệu đã phân chia theo tỷ lệ nhóm chủ động lựa chọn là 70% Train, 15% Validation, và 15% Test. Quá trình huấn luyện kích hoạt cơ chế dừng sớm (Early Stopping với tham số kiên nhẫn patience phù hợp) để theo dõi hàm mất mát trên tập kiểm định, ngăn chặn hiện tượng quá khớp (overfitting) khi độ chính xác không còn cải thiện.</w:t>
      </w:r>
    </w:p>
    <w:p w14:paraId="31AFC3DA">
      <w:pPr>
        <w:spacing w:before="60" w:after="120" w:line="312" w:lineRule="auto"/>
        <w:jc w:val="both"/>
      </w:pPr>
      <w:r>
        <w:rPr>
          <w:rFonts w:ascii="Times New Roman" w:hAnsi="Times New Roman"/>
          <w:b/>
          <w:color w:val="000000"/>
          <w:sz w:val="28"/>
        </w:rPr>
        <w:t xml:space="preserve">Tiêu chí lựa chọn Checkpoint tối ưu: </w:t>
      </w:r>
      <w:r>
        <w:rPr>
          <w:rFonts w:ascii="Times New Roman" w:hAnsi="Times New Roman"/>
          <w:color w:val="000000"/>
          <w:sz w:val="28"/>
        </w:rPr>
        <w:t xml:space="preserve">Nghiên cứu thống nhất sử dụng chỉ số mAP@0.5:0.95 trên tập Validation làm thước đo chuẩn mực để lựa chọn trọng số tối ưu (best checkpoint) cho từng mô hình. Khác với chỉ số mAP@0.5 chỉ đánh giá tại ngưỡng trùng lặp nới lỏng, mAP@0.5:0.95 tính trung bình độ chính xác trên 10 ngưỡng IoU (từ 0.50 đến 0.95 với bước nhảy 0.05), bảo đảm rằng mô hình được lựa chọn đạt sự tối ưu toàn diện cả về khả năng phân loại đúng </w:t>
      </w:r>
      <w:r>
        <w:rPr>
          <w:color w:val="000000"/>
          <w:sz w:val="28"/>
          <w:lang w:val="en-US"/>
        </w:rPr>
        <w:t>lỗi</w:t>
      </w:r>
      <w:r>
        <w:rPr>
          <w:rFonts w:ascii="Times New Roman" w:hAnsi="Times New Roman"/>
          <w:color w:val="000000"/>
          <w:sz w:val="28"/>
        </w:rPr>
        <w:t xml:space="preserve"> lẫn độ chính xác hình học khi bao khít biên lỗi.</w:t>
      </w:r>
    </w:p>
    <w:p w14:paraId="23D900C3">
      <w:pPr>
        <w:spacing w:before="60" w:after="120" w:line="312" w:lineRule="auto"/>
        <w:jc w:val="both"/>
      </w:pPr>
      <w:r>
        <w:rPr>
          <w:rFonts w:ascii="Times New Roman" w:hAnsi="Times New Roman"/>
          <w:b/>
          <w:color w:val="000000"/>
          <w:sz w:val="28"/>
        </w:rPr>
        <w:t xml:space="preserve">Tiêu chí so sánh đối chuẩn chéo: </w:t>
      </w:r>
      <w:r>
        <w:rPr>
          <w:rFonts w:ascii="Times New Roman" w:hAnsi="Times New Roman"/>
          <w:color w:val="000000"/>
          <w:sz w:val="28"/>
        </w:rPr>
        <w:t>Đánh giá đồng thời cả 3 kiến trúc mô hình trên tập Kiểm thử độc lập (Test set) dựa trên sự cân đối tổng thể giữa các tiêu chuẩn: Độ chính xác và độ nhạy phát hiện (Precision, Recall), Độ chính xác định vị đa ngưỡng (mAP@0.5 và mAP@0.5:0.95), Độ trễ suy luận trung bình (Latency tính bằng ms), Tốc độ khung hình (FPS) và Kích thước file trọng số mô hình (Model Size).</w:t>
      </w:r>
    </w:p>
    <w:p w14:paraId="00341495">
      <w:pPr>
        <w:spacing w:before="60" w:after="120" w:line="312" w:lineRule="auto"/>
        <w:jc w:val="both"/>
      </w:pPr>
      <w:r>
        <w:rPr>
          <w:rFonts w:ascii="Times New Roman" w:hAnsi="Times New Roman"/>
          <w:b/>
          <w:color w:val="000000"/>
          <w:sz w:val="28"/>
        </w:rPr>
        <w:t xml:space="preserve">Thiết kế tích hợp mô hình vào Dashboard giám sát thời gian thực: </w:t>
      </w:r>
      <w:r>
        <w:rPr>
          <w:rFonts w:ascii="Times New Roman" w:hAnsi="Times New Roman"/>
          <w:color w:val="000000"/>
          <w:sz w:val="28"/>
        </w:rPr>
        <w:t xml:space="preserve">Để hoàn thiện hệ thống ứng dụng từ nghiên cứu lý thuyết đến thực tế sản xuất, mô hình có hiệu năng tổng thể tốt nhất sẽ được đóng gói và tích hợp vào hệ thống Dashboard giám sát </w:t>
      </w:r>
      <w:r>
        <w:rPr>
          <w:color w:val="000000"/>
          <w:sz w:val="28"/>
          <w:lang w:val="en-US"/>
        </w:rPr>
        <w:t>lỗi</w:t>
      </w:r>
      <w:r>
        <w:rPr>
          <w:rFonts w:ascii="Times New Roman" w:hAnsi="Times New Roman"/>
          <w:color w:val="000000"/>
          <w:sz w:val="28"/>
        </w:rPr>
        <w:t xml:space="preserve"> bề mặt thép theo kiến trúc mô-đun: Khối xử lý suy luận (Inference Engine) chạy ngầm thực hiện tiền xử lý ảnh xám, nạp trọng số mô hình để phát hiện lỗi và trả về dữ liệu chuẩn JSON; Khối giao diện trực quan (Dashboard UI) hiển thị ảnh phôi thép kèm hộp nhận diện </w:t>
      </w:r>
      <w:r>
        <w:rPr>
          <w:color w:val="000000"/>
          <w:sz w:val="28"/>
          <w:lang w:val="en-US"/>
        </w:rPr>
        <w:t>lỗi</w:t>
      </w:r>
      <w:r>
        <w:rPr>
          <w:rFonts w:ascii="Times New Roman" w:hAnsi="Times New Roman"/>
          <w:color w:val="000000"/>
          <w:sz w:val="28"/>
        </w:rPr>
        <w:t xml:space="preserve">, bảng thống kê tần suất 6 nhóm lỗi, biểu đồ xu hướng theo ca sản xuất và cơ chế cảnh báo tự động khi xuất hiện các </w:t>
      </w:r>
      <w:r>
        <w:rPr>
          <w:color w:val="000000"/>
          <w:sz w:val="28"/>
          <w:lang w:val="en-US"/>
        </w:rPr>
        <w:t>lỗi</w:t>
      </w:r>
      <w:r>
        <w:rPr>
          <w:rFonts w:ascii="Times New Roman" w:hAnsi="Times New Roman"/>
          <w:color w:val="000000"/>
          <w:sz w:val="28"/>
        </w:rPr>
        <w:t xml:space="preserve"> vượt ngưỡng nghiêm trọng.</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2CE7688"/>
    <w:rsid w:val="48FA108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color w:val="000000"/>
      <w:sz w:val="28"/>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8</TotalTime>
  <ScaleCrop>false</ScaleCrop>
  <LinksUpToDate>false</LinksUpToDate>
  <CharactersWithSpaces>0</CharactersWithSpaces>
  <Application>WPS Office_12.1.0.28099_F1E327BC-269C-435d-A152-05C5408002CA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Bao Phan</cp:lastModifiedBy>
  <dcterms:modified xsi:type="dcterms:W3CDTF">2026-10-17T08:36:36Z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eyJoZGlkIjoiNzcyYjM2YThiN2QxZjEzZDczZTUyNDcyMjUxNTA1MDQiLCJ1c2VySWQiOiIxMzkxNzc2NTAzMTcwIn0=</vt:lpwstr>
  </property>
  <property fmtid="{D5CDD505-2E9C-101B-9397-08002B2CF9AE}" pid="3" name="KSOProductBuildVer">
    <vt:lpwstr>1033-12.1.0.28099</vt:lpwstr>
  </property>
  <property fmtid="{D5CDD505-2E9C-101B-9397-08002B2CF9AE}" pid="4" name="ICV">
    <vt:lpwstr>2E4087BD69A6491F89F4B00EAE453CC8_12</vt:lpwstr>
  </property>
</Properties>
</file>