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Gravitational Interaction Lab</w:t>
      </w:r>
    </w:p>
    <w:p>
      <w:pPr>
        <w:pStyle w:val="Normal"/>
        <w:rPr>
          <w:sz w:val="28"/>
          <w:szCs w:val="28"/>
        </w:rPr>
      </w:pPr>
      <w:r>
        <w:rPr>
          <w:sz w:val="28"/>
          <w:szCs w:val="28"/>
        </w:rPr>
        <w:t>The English scientist Isaac Newton realized that gravity acts everywhere in the universe, not just on Earth. The gravitational acceleration on the surface of each of the planets varies, depending on the mass and radius of the planet. Astronauts on the moon bounded across the surface, due to the weaker gravity, but the strength of gravity on other planets would be so strong that an astronaut couldn’t even walk at all. In this activity, you will calculate and compare the gravitational acceleration on several different planets.</w:t>
      </w:r>
    </w:p>
    <w:p>
      <w:pPr>
        <w:pStyle w:val="Normal"/>
        <w:rPr>
          <w:b/>
          <w:b/>
          <w:bCs/>
          <w:sz w:val="28"/>
          <w:szCs w:val="28"/>
        </w:rPr>
      </w:pPr>
      <w:r>
        <w:rPr>
          <w:b/>
          <w:bCs/>
          <w:sz w:val="28"/>
          <w:szCs w:val="28"/>
        </w:rPr>
        <w:t xml:space="preserve">Procedure </w:t>
      </w:r>
    </w:p>
    <w:p>
      <w:pPr>
        <w:pStyle w:val="Normal"/>
        <w:rPr>
          <w:sz w:val="28"/>
          <w:szCs w:val="28"/>
        </w:rPr>
      </w:pPr>
      <w:r>
        <w:rPr>
          <w:sz w:val="28"/>
          <w:szCs w:val="28"/>
        </w:rPr>
        <w:t xml:space="preserve">1. Start Virtual Physics and select Gravitational Interactions from the list of assignments. The lab will open in the Mechanics laboratory. </w:t>
      </w:r>
    </w:p>
    <w:p>
      <w:pPr>
        <w:pStyle w:val="Normal"/>
        <w:rPr>
          <w:sz w:val="28"/>
          <w:szCs w:val="28"/>
        </w:rPr>
      </w:pPr>
      <w:r>
        <w:rPr>
          <w:sz w:val="28"/>
          <w:szCs w:val="28"/>
        </w:rPr>
        <w:t xml:space="preserve">2. The laboratory will be set up with a ball at the top of the experiment window, 40 m above the surface. This is about as high as a twelve-story building. Gravity, which is set the same as on Earth, will pull the ball downward. You will observe how long it takes the ball to fall to the ground. The mass of the ball is 1 kg. </w:t>
      </w:r>
    </w:p>
    <w:p>
      <w:pPr>
        <w:pStyle w:val="Normal"/>
        <w:rPr>
          <w:sz w:val="28"/>
          <w:szCs w:val="28"/>
        </w:rPr>
      </w:pPr>
      <w:r>
        <w:rPr>
          <w:sz w:val="28"/>
          <w:szCs w:val="28"/>
        </w:rPr>
        <w:t xml:space="preserve">3. Click on the red Recording button to start recording data. Start the experiment by clicking on the Start button and observe what happens. The experiment will stop when the ball reaches the bottom of the screen. A link will be generated in the Lab Book. This contains the velocity versus time data for the falling ball. Click next to the link and label it as Earth.  </w:t>
      </w:r>
    </w:p>
    <w:p>
      <w:pPr>
        <w:pStyle w:val="Normal"/>
        <w:rPr>
          <w:sz w:val="28"/>
          <w:szCs w:val="28"/>
        </w:rPr>
      </w:pPr>
      <w:r>
        <w:rPr>
          <w:sz w:val="28"/>
          <w:szCs w:val="28"/>
        </w:rPr>
        <w:t>4. Click the Reset button to reset the experiment. Use the Gravity tab in the Parameters Palette to select the strength of gravity of a different planet. Repeat Step 3 to record the velocity of the ball as it falls. Do this on four different planets or moons. Try a big planet such as Jupiter and a small heavenly body such as Earth’s moon.</w:t>
      </w:r>
    </w:p>
    <w:p>
      <w:pPr>
        <w:pStyle w:val="Normal"/>
        <w:rPr>
          <w:b/>
          <w:b/>
          <w:bCs/>
          <w:sz w:val="28"/>
          <w:szCs w:val="28"/>
        </w:rPr>
      </w:pPr>
      <w:r>
        <w:rPr>
          <w:b/>
          <w:bCs/>
          <w:sz w:val="28"/>
          <w:szCs w:val="28"/>
        </w:rPr>
        <w:t>Questions &amp; Data Analysis</w:t>
      </w:r>
    </w:p>
    <w:p>
      <w:pPr>
        <w:pStyle w:val="ListParagraph"/>
        <w:numPr>
          <w:ilvl w:val="0"/>
          <w:numId w:val="1"/>
        </w:numPr>
        <w:rPr>
          <w:sz w:val="28"/>
          <w:szCs w:val="28"/>
        </w:rPr>
      </w:pPr>
      <w:r>
        <w:rPr>
          <w:sz w:val="28"/>
          <w:szCs w:val="28"/>
        </w:rPr>
        <w:t>Plot the velocity versus time graph for each of the planets or moons the ball was dropped on. Make sure the plots have the appropriate titles and units and paste them below.</w:t>
      </w:r>
    </w:p>
    <w:p>
      <w:pPr>
        <w:pStyle w:val="Normal"/>
        <w:rPr>
          <w:sz w:val="28"/>
          <w:szCs w:val="28"/>
        </w:rPr>
      </w:pPr>
      <w:r>
        <w:rPr>
          <w:sz w:val="28"/>
          <w:szCs w:val="28"/>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8"/>
          <w:szCs w:val="28"/>
        </w:rPr>
      </w:pPr>
      <w:r>
        <w:rPr>
          <w:sz w:val="28"/>
          <w:szCs w:val="28"/>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sz w:val="28"/>
          <w:szCs w:val="28"/>
        </w:rPr>
        <w:drawing>
          <wp:inline distT="0" distB="0" distL="0" distR="0">
            <wp:extent cx="5760085" cy="323977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8"/>
          <w:szCs w:val="28"/>
        </w:rPr>
        <w:drawing>
          <wp:inline distT="0" distB="0" distL="0" distR="0">
            <wp:extent cx="5760085" cy="323977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What is the trend of the data plotted in each of the graphs (linear, quadratic, exponential, etc.)? What does this imply about the acceleration?</w:t>
      </w:r>
    </w:p>
    <w:p>
      <w:pPr>
        <w:pStyle w:val="Normal"/>
        <w:rPr>
          <w:sz w:val="28"/>
          <w:szCs w:val="28"/>
        </w:rPr>
      </w:pPr>
      <w:r>
        <w:rPr>
          <w:sz w:val="28"/>
          <w:szCs w:val="28"/>
        </w:rPr>
        <w:t>Linear, this indicated that the acceleration is constant on a given planet/moon.</w:t>
      </w:r>
    </w:p>
    <w:p>
      <w:pPr>
        <w:pStyle w:val="Normal"/>
        <w:rPr>
          <w:sz w:val="28"/>
          <w:szCs w:val="28"/>
        </w:rPr>
      </w:pPr>
      <w:r>
        <w:rPr>
          <w:sz w:val="28"/>
          <w:szCs w:val="28"/>
        </w:rPr>
      </w:r>
    </w:p>
    <w:p>
      <w:pPr>
        <w:pStyle w:val="ListParagraph"/>
        <w:numPr>
          <w:ilvl w:val="0"/>
          <w:numId w:val="1"/>
        </w:numPr>
        <w:rPr>
          <w:sz w:val="28"/>
          <w:szCs w:val="28"/>
        </w:rPr>
      </w:pPr>
      <w:r>
        <w:rPr>
          <w:sz w:val="28"/>
          <w:szCs w:val="28"/>
        </w:rPr>
        <w:t>Fit each of the graphs plotted in step 1 to the appropriate equation which is determined from your answer of step 1. Make the graphs have the appropriate trendlines, R-squared value, units, and titles. Paste the graphs below.</w:t>
      </w:r>
    </w:p>
    <w:p>
      <w:pPr>
        <w:pStyle w:val="Normal"/>
        <w:rPr>
          <w:sz w:val="28"/>
          <w:szCs w:val="28"/>
        </w:rPr>
      </w:pPr>
      <w:r>
        <w:rPr>
          <w:sz w:val="28"/>
          <w:szCs w:val="28"/>
        </w:rPr>
        <w:drawing>
          <wp:inline distT="0" distB="0" distL="0" distR="0">
            <wp:extent cx="5760085" cy="3239770"/>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8"/>
          <w:szCs w:val="28"/>
        </w:rPr>
        <w:drawing>
          <wp:inline distT="0" distB="0" distL="0" distR="0">
            <wp:extent cx="5760085" cy="3239770"/>
            <wp:effectExtent l="0" t="0" r="0" b="0"/>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8"/>
          <w:szCs w:val="28"/>
        </w:rPr>
        <w:drawing>
          <wp:inline distT="0" distB="0" distL="0" distR="0">
            <wp:extent cx="5760085" cy="3239770"/>
            <wp:effectExtent l="0" t="0" r="0" b="0"/>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 w:val="28"/>
          <w:szCs w:val="28"/>
        </w:rPr>
        <w:drawing>
          <wp:inline distT="0" distB="0" distL="0" distR="0">
            <wp:extent cx="5760085" cy="3239770"/>
            <wp:effectExtent l="0" t="0" r="0" b="0"/>
            <wp:docPr id="9"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10"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Which kinematic equation does your choice of fit equation correspond to?</w:t>
      </w:r>
    </w:p>
    <w:p>
      <w:pPr>
        <w:pStyle w:val="Normal"/>
        <w:rPr>
          <w:sz w:val="28"/>
          <w:szCs w:val="28"/>
        </w:rPr>
      </w:pPr>
      <w:r>
        <w:rPr>
          <w:sz w:val="28"/>
          <w:szCs w:val="28"/>
        </w:rPr>
        <w:t>The fit corresponds to the following equation:</w:t>
      </w:r>
    </w:p>
    <w:p>
      <w:pPr>
        <w:pStyle w:val="Normal"/>
        <w:rPr>
          <w:sz w:val="28"/>
          <w:szCs w:val="28"/>
        </w:rPr>
      </w:pPr>
      <w:r>
        <w:rPr>
          <w:sz w:val="28"/>
          <w:szCs w:val="28"/>
        </w:rPr>
      </w:r>
      <m:oMath xmlns:m="http://schemas.openxmlformats.org/officeDocument/2006/math">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at</m:t>
        </m:r>
      </m:oMath>
    </w:p>
    <w:p>
      <w:pPr>
        <w:pStyle w:val="Normal"/>
        <w:rPr>
          <w:sz w:val="28"/>
          <w:szCs w:val="28"/>
        </w:rPr>
      </w:pPr>
      <w:r>
        <w:rPr>
          <w:sz w:val="28"/>
          <w:szCs w:val="28"/>
        </w:rPr>
      </w:r>
    </w:p>
    <w:p>
      <w:pPr>
        <w:pStyle w:val="ListParagraph"/>
        <w:numPr>
          <w:ilvl w:val="0"/>
          <w:numId w:val="1"/>
        </w:numPr>
        <w:rPr>
          <w:sz w:val="28"/>
          <w:szCs w:val="28"/>
        </w:rPr>
      </w:pPr>
      <w:r>
        <w:rPr>
          <w:sz w:val="28"/>
          <w:szCs w:val="28"/>
        </w:rPr>
        <w:t>What is the acceleration due to gravity on each of the planets or moons you conducted your experiment on? Does this agree with values that you can look up on the internet?</w:t>
      </w:r>
    </w:p>
    <w:tbl>
      <w:tblPr>
        <w:tblW w:w="9360" w:type="dxa"/>
        <w:jc w:val="left"/>
        <w:tblInd w:w="0" w:type="dxa"/>
        <w:tblCellMar>
          <w:top w:w="0" w:type="dxa"/>
          <w:left w:w="0" w:type="dxa"/>
          <w:bottom w:w="0" w:type="dxa"/>
          <w:right w:w="0" w:type="dxa"/>
        </w:tblCellMar>
      </w:tblPr>
      <w:tblGrid>
        <w:gridCol w:w="4080"/>
        <w:gridCol w:w="1020"/>
        <w:gridCol w:w="1140"/>
        <w:gridCol w:w="1020"/>
        <w:gridCol w:w="1080"/>
        <w:gridCol w:w="1020"/>
      </w:tblGrid>
      <w:tr>
        <w:trPr/>
        <w:tc>
          <w:tcPr>
            <w:tcW w:w="408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02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Earth</w:t>
            </w:r>
          </w:p>
        </w:tc>
        <w:tc>
          <w:tcPr>
            <w:tcW w:w="114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Jupiter</w:t>
            </w:r>
          </w:p>
        </w:tc>
        <w:tc>
          <w:tcPr>
            <w:tcW w:w="102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Mars</w:t>
            </w:r>
          </w:p>
        </w:tc>
        <w:tc>
          <w:tcPr>
            <w:tcW w:w="108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Moon</w:t>
            </w:r>
          </w:p>
        </w:tc>
        <w:tc>
          <w:tcPr>
            <w:tcW w:w="102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Saturn</w:t>
            </w:r>
          </w:p>
        </w:tc>
      </w:tr>
      <w:tr>
        <w:trPr/>
        <w:tc>
          <w:tcPr>
            <w:tcW w:w="4080" w:type="dxa"/>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Experimental</w:t>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gravitational acceleration (m/s</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9.807</w:t>
            </w:r>
          </w:p>
        </w:tc>
        <w:tc>
          <w:tcPr>
            <w:tcW w:w="114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24.792</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3.728</w:t>
            </w:r>
          </w:p>
        </w:tc>
        <w:tc>
          <w:tcPr>
            <w:tcW w:w="108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1.625</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10.445</w:t>
            </w:r>
          </w:p>
        </w:tc>
      </w:tr>
      <w:tr>
        <w:trPr/>
        <w:tc>
          <w:tcPr>
            <w:tcW w:w="4080" w:type="dxa"/>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Expected</w:t>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gravitational acceleration (m/s</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14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08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08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Agrees?</w:t>
            </w:r>
          </w:p>
        </w:tc>
        <w:tc>
          <w:tcPr>
            <w:tcW w:w="102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14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02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08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02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r>
    </w:tbl>
    <w:p>
      <w:pPr>
        <w:pStyle w:val="ListParagraph"/>
        <w:numPr>
          <w:ilvl w:val="0"/>
          <w:numId w:val="0"/>
        </w:numPr>
        <w:spacing w:before="0" w:after="160"/>
        <w:ind w:left="720" w:hanging="0"/>
        <w:contextualSpacing/>
        <w:rPr/>
      </w:pPr>
      <w:r>
        <w:rPr/>
      </w:r>
    </w:p>
    <w:sectPr>
      <w:headerReference w:type="default" r:id="rId1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8</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126e"/>
    <w:rPr/>
  </w:style>
  <w:style w:type="character" w:styleId="FooterChar" w:customStyle="1">
    <w:name w:val="Footer Char"/>
    <w:basedOn w:val="DefaultParagraphFont"/>
    <w:link w:val="Footer"/>
    <w:uiPriority w:val="99"/>
    <w:qFormat/>
    <w:rsid w:val="006a126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a126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26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a126e"/>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Earth</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4"/>
                <c:pt idx="0">
                  <c:v>0</c:v>
                </c:pt>
                <c:pt idx="1">
                  <c:v>0.121</c:v>
                </c:pt>
                <c:pt idx="2">
                  <c:v>0.246</c:v>
                </c:pt>
                <c:pt idx="3">
                  <c:v>0.371</c:v>
                </c:pt>
                <c:pt idx="4">
                  <c:v>0.511</c:v>
                </c:pt>
                <c:pt idx="5">
                  <c:v>0.622</c:v>
                </c:pt>
                <c:pt idx="6">
                  <c:v>0.761</c:v>
                </c:pt>
                <c:pt idx="7">
                  <c:v>0.87</c:v>
                </c:pt>
                <c:pt idx="8">
                  <c:v>0.995</c:v>
                </c:pt>
                <c:pt idx="9">
                  <c:v>1.12</c:v>
                </c:pt>
                <c:pt idx="10">
                  <c:v>1.245</c:v>
                </c:pt>
                <c:pt idx="11">
                  <c:v>1.386</c:v>
                </c:pt>
                <c:pt idx="12">
                  <c:v>1.496</c:v>
                </c:pt>
                <c:pt idx="13">
                  <c:v>1.623</c:v>
                </c:pt>
                <c:pt idx="14">
                  <c:v>1.748</c:v>
                </c:pt>
                <c:pt idx="15">
                  <c:v>1.87</c:v>
                </c:pt>
                <c:pt idx="16">
                  <c:v>1.998</c:v>
                </c:pt>
                <c:pt idx="17">
                  <c:v>2.122</c:v>
                </c:pt>
                <c:pt idx="18">
                  <c:v>2.263</c:v>
                </c:pt>
                <c:pt idx="19">
                  <c:v>2.386</c:v>
                </c:pt>
                <c:pt idx="20">
                  <c:v>2.496</c:v>
                </c:pt>
                <c:pt idx="21">
                  <c:v>2.62</c:v>
                </c:pt>
                <c:pt idx="22">
                  <c:v>2.761</c:v>
                </c:pt>
                <c:pt idx="23">
                  <c:v>2.87</c:v>
                </c:pt>
              </c:numCache>
            </c:numRef>
          </c:xVal>
          <c:yVal>
            <c:numRef>
              <c:f>1</c:f>
              <c:numCache>
                <c:formatCode>General</c:formatCode>
                <c:ptCount val="24"/>
                <c:pt idx="0">
                  <c:v>0</c:v>
                </c:pt>
                <c:pt idx="1">
                  <c:v>1.1866</c:v>
                </c:pt>
                <c:pt idx="2">
                  <c:v>2.4124</c:v>
                </c:pt>
                <c:pt idx="3">
                  <c:v>3.6383</c:v>
                </c:pt>
                <c:pt idx="4">
                  <c:v>5.0112</c:v>
                </c:pt>
                <c:pt idx="5">
                  <c:v>6.0997</c:v>
                </c:pt>
                <c:pt idx="6">
                  <c:v>7.4629</c:v>
                </c:pt>
                <c:pt idx="7">
                  <c:v>8.5318</c:v>
                </c:pt>
                <c:pt idx="8">
                  <c:v>9.7576</c:v>
                </c:pt>
                <c:pt idx="9">
                  <c:v>10.9834</c:v>
                </c:pt>
                <c:pt idx="10">
                  <c:v>12.2093</c:v>
                </c:pt>
                <c:pt idx="11">
                  <c:v>13.592</c:v>
                </c:pt>
                <c:pt idx="12">
                  <c:v>14.6707</c:v>
                </c:pt>
                <c:pt idx="13">
                  <c:v>15.9162</c:v>
                </c:pt>
                <c:pt idx="14">
                  <c:v>17.142</c:v>
                </c:pt>
                <c:pt idx="15">
                  <c:v>18.3384</c:v>
                </c:pt>
                <c:pt idx="16">
                  <c:v>19.5937</c:v>
                </c:pt>
                <c:pt idx="17">
                  <c:v>20.8097</c:v>
                </c:pt>
                <c:pt idx="18">
                  <c:v>22.1924</c:v>
                </c:pt>
                <c:pt idx="19">
                  <c:v>23.3987</c:v>
                </c:pt>
                <c:pt idx="20">
                  <c:v>24.4774</c:v>
                </c:pt>
                <c:pt idx="21">
                  <c:v>25.6934</c:v>
                </c:pt>
                <c:pt idx="22">
                  <c:v>27.0762</c:v>
                </c:pt>
                <c:pt idx="23">
                  <c:v>28.1451</c:v>
                </c:pt>
              </c:numCache>
            </c:numRef>
          </c:yVal>
          <c:smooth val="0"/>
        </c:ser>
        <c:axId val="19843224"/>
        <c:axId val="83654845"/>
      </c:scatterChart>
      <c:valAx>
        <c:axId val="19843224"/>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3654845"/>
        <c:crosses val="autoZero"/>
        <c:crossBetween val="midCat"/>
      </c:valAx>
      <c:valAx>
        <c:axId val="8365484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9843224"/>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Saturn</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3"/>
                <c:pt idx="0">
                  <c:v>0</c:v>
                </c:pt>
                <c:pt idx="1">
                  <c:v>0.14</c:v>
                </c:pt>
                <c:pt idx="2">
                  <c:v>0.265</c:v>
                </c:pt>
                <c:pt idx="3">
                  <c:v>0.391</c:v>
                </c:pt>
                <c:pt idx="4">
                  <c:v>0.515</c:v>
                </c:pt>
                <c:pt idx="5">
                  <c:v>0.656</c:v>
                </c:pt>
                <c:pt idx="6">
                  <c:v>0.765</c:v>
                </c:pt>
                <c:pt idx="7">
                  <c:v>0.906</c:v>
                </c:pt>
                <c:pt idx="8">
                  <c:v>1.017</c:v>
                </c:pt>
                <c:pt idx="9">
                  <c:v>1.143</c:v>
                </c:pt>
                <c:pt idx="10">
                  <c:v>1.265</c:v>
                </c:pt>
                <c:pt idx="11">
                  <c:v>1.39</c:v>
                </c:pt>
                <c:pt idx="12">
                  <c:v>1.517</c:v>
                </c:pt>
                <c:pt idx="13">
                  <c:v>1.642</c:v>
                </c:pt>
                <c:pt idx="14">
                  <c:v>1.781</c:v>
                </c:pt>
                <c:pt idx="15">
                  <c:v>1.89</c:v>
                </c:pt>
                <c:pt idx="16">
                  <c:v>2.034</c:v>
                </c:pt>
                <c:pt idx="17">
                  <c:v>2.141</c:v>
                </c:pt>
                <c:pt idx="18">
                  <c:v>2.265</c:v>
                </c:pt>
                <c:pt idx="19">
                  <c:v>2.392</c:v>
                </c:pt>
                <c:pt idx="20">
                  <c:v>2.516</c:v>
                </c:pt>
                <c:pt idx="21">
                  <c:v>2.641</c:v>
                </c:pt>
                <c:pt idx="22">
                  <c:v>2.766</c:v>
                </c:pt>
              </c:numCache>
            </c:numRef>
          </c:xVal>
          <c:yVal>
            <c:numRef>
              <c:f>1</c:f>
              <c:numCache>
                <c:formatCode>General</c:formatCode>
                <c:ptCount val="23"/>
                <c:pt idx="0">
                  <c:v>0</c:v>
                </c:pt>
                <c:pt idx="1">
                  <c:v>1.4624</c:v>
                </c:pt>
                <c:pt idx="2">
                  <c:v>2.768</c:v>
                </c:pt>
                <c:pt idx="3">
                  <c:v>4.0842</c:v>
                </c:pt>
                <c:pt idx="4">
                  <c:v>5.3794</c:v>
                </c:pt>
                <c:pt idx="5">
                  <c:v>6.8522</c:v>
                </c:pt>
                <c:pt idx="6">
                  <c:v>7.9907</c:v>
                </c:pt>
                <c:pt idx="7">
                  <c:v>9.4635</c:v>
                </c:pt>
                <c:pt idx="8">
                  <c:v>10.623</c:v>
                </c:pt>
                <c:pt idx="9">
                  <c:v>11.9391</c:v>
                </c:pt>
                <c:pt idx="10">
                  <c:v>13.2134</c:v>
                </c:pt>
                <c:pt idx="11">
                  <c:v>14.5191</c:v>
                </c:pt>
                <c:pt idx="12">
                  <c:v>15.8457</c:v>
                </c:pt>
                <c:pt idx="13">
                  <c:v>17.1513</c:v>
                </c:pt>
                <c:pt idx="14">
                  <c:v>18.6033</c:v>
                </c:pt>
                <c:pt idx="15">
                  <c:v>19.7418</c:v>
                </c:pt>
                <c:pt idx="16">
                  <c:v>21.2459</c:v>
                </c:pt>
                <c:pt idx="17">
                  <c:v>22.3636</c:v>
                </c:pt>
                <c:pt idx="18">
                  <c:v>23.6588</c:v>
                </c:pt>
                <c:pt idx="19">
                  <c:v>24.9854</c:v>
                </c:pt>
                <c:pt idx="20">
                  <c:v>26.2806</c:v>
                </c:pt>
                <c:pt idx="21">
                  <c:v>27.5863</c:v>
                </c:pt>
                <c:pt idx="22">
                  <c:v>28.892</c:v>
                </c:pt>
              </c:numCache>
            </c:numRef>
          </c:yVal>
          <c:smooth val="0"/>
        </c:ser>
        <c:axId val="82004998"/>
        <c:axId val="51677945"/>
      </c:scatterChart>
      <c:valAx>
        <c:axId val="82004998"/>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1677945"/>
        <c:crosses val="autoZero"/>
        <c:crossBetween val="midCat"/>
      </c:valAx>
      <c:valAx>
        <c:axId val="5167794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2004998"/>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Jupiter</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5"/>
                <c:pt idx="0">
                  <c:v>0</c:v>
                </c:pt>
                <c:pt idx="1">
                  <c:v>0.125</c:v>
                </c:pt>
                <c:pt idx="2">
                  <c:v>0.25</c:v>
                </c:pt>
                <c:pt idx="3">
                  <c:v>0.375</c:v>
                </c:pt>
                <c:pt idx="4">
                  <c:v>0.485</c:v>
                </c:pt>
                <c:pt idx="5">
                  <c:v>0.611</c:v>
                </c:pt>
                <c:pt idx="6">
                  <c:v>0.737</c:v>
                </c:pt>
                <c:pt idx="7">
                  <c:v>0.875</c:v>
                </c:pt>
                <c:pt idx="8">
                  <c:v>1</c:v>
                </c:pt>
                <c:pt idx="9">
                  <c:v>1.112</c:v>
                </c:pt>
                <c:pt idx="10">
                  <c:v>1.235</c:v>
                </c:pt>
                <c:pt idx="11">
                  <c:v>1.361</c:v>
                </c:pt>
                <c:pt idx="12">
                  <c:v>1.486</c:v>
                </c:pt>
                <c:pt idx="13">
                  <c:v>1.625</c:v>
                </c:pt>
                <c:pt idx="14">
                  <c:v>1.75</c:v>
                </c:pt>
              </c:numCache>
            </c:numRef>
          </c:xVal>
          <c:yVal>
            <c:numRef>
              <c:f>1</c:f>
              <c:numCache>
                <c:formatCode>General</c:formatCode>
                <c:ptCount val="15"/>
                <c:pt idx="0">
                  <c:v>0</c:v>
                </c:pt>
                <c:pt idx="1">
                  <c:v>3.0991</c:v>
                </c:pt>
                <c:pt idx="2">
                  <c:v>6.1981</c:v>
                </c:pt>
                <c:pt idx="3">
                  <c:v>9.2972</c:v>
                </c:pt>
                <c:pt idx="4">
                  <c:v>12.0243</c:v>
                </c:pt>
                <c:pt idx="5">
                  <c:v>15.1482</c:v>
                </c:pt>
                <c:pt idx="6">
                  <c:v>18.272</c:v>
                </c:pt>
                <c:pt idx="7">
                  <c:v>21.6933</c:v>
                </c:pt>
                <c:pt idx="8">
                  <c:v>24.7924</c:v>
                </c:pt>
                <c:pt idx="9">
                  <c:v>27.5691</c:v>
                </c:pt>
                <c:pt idx="10">
                  <c:v>30.6186</c:v>
                </c:pt>
                <c:pt idx="11">
                  <c:v>33.7425</c:v>
                </c:pt>
                <c:pt idx="12">
                  <c:v>36.8415</c:v>
                </c:pt>
                <c:pt idx="13">
                  <c:v>40.2876</c:v>
                </c:pt>
                <c:pt idx="14">
                  <c:v>43.3867</c:v>
                </c:pt>
              </c:numCache>
            </c:numRef>
          </c:yVal>
          <c:smooth val="0"/>
        </c:ser>
        <c:axId val="84245330"/>
        <c:axId val="66901198"/>
      </c:scatterChart>
      <c:valAx>
        <c:axId val="84245330"/>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6901198"/>
        <c:crosses val="autoZero"/>
        <c:crossBetween val="midCat"/>
      </c:valAx>
      <c:valAx>
        <c:axId val="6690119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4245330"/>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Mars</a:t>
            </a:r>
          </a:p>
        </c:rich>
      </c:tx>
      <c:overlay val="0"/>
      <c:spPr>
        <a:noFill/>
        <a:ln>
          <a:noFill/>
        </a:ln>
      </c:spPr>
    </c:title>
    <c:autoTitleDeleted val="0"/>
    <c:plotArea>
      <c:scatterChart>
        <c:scatterStyle val="lineMarker"/>
        <c:varyColors val="0"/>
        <c:ser>
          <c:idx val="0"/>
          <c:order val="0"/>
          <c:tx>
            <c:strRef>
              <c:f>label 1</c:f>
              <c:strCache>
                <c:ptCount val="1"/>
                <c:pt idx="0">
                  <c:v>0</c:v>
                </c:pt>
              </c:strCache>
            </c:strRef>
          </c:tx>
          <c:spPr>
            <a:solidFill>
              <a:srgbClr val="004586"/>
            </a:solidFill>
            <a:ln w="28800">
              <a:noFill/>
            </a:ln>
          </c:spPr>
          <c:marker>
            <c:symbol val="square"/>
            <c:size val="8"/>
            <c:spPr>
              <a:solidFill>
                <a:srgbClr val="004586"/>
              </a:solidFill>
            </c:spPr>
          </c:marker>
          <c:dPt>
            <c:idx val="8"/>
            <c:marker>
              <c:symbol val="square"/>
              <c:size val="8"/>
              <c:spPr>
                <a:solidFill>
                  <a:srgbClr val="004586"/>
                </a:solidFill>
              </c:spPr>
            </c:marker>
          </c:dPt>
          <c:dLbls>
            <c:dLbl>
              <c:idx val="8"/>
              <c:txPr>
                <a:bodyPr/>
                <a:lstStyle/>
                <a:p>
                  <a:pPr>
                    <a:defRPr b="0" sz="1000" spc="-1" strike="noStrike">
                      <a:latin typeface="Arial"/>
                    </a:defRPr>
                  </a:pPr>
                </a:p>
              </c:txPr>
              <c:showLegendKey val="0"/>
              <c:showVal val="0"/>
              <c:showCatName val="0"/>
              <c:showSerName val="0"/>
              <c:showPercent val="0"/>
              <c:separator> </c:separator>
            </c:dLbl>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8"/>
                <c:pt idx="0">
                  <c:v>0</c:v>
                </c:pt>
                <c:pt idx="1">
                  <c:v>0.108</c:v>
                </c:pt>
                <c:pt idx="2">
                  <c:v>0.248</c:v>
                </c:pt>
                <c:pt idx="3">
                  <c:v>0.358</c:v>
                </c:pt>
                <c:pt idx="4">
                  <c:v>0.499</c:v>
                </c:pt>
                <c:pt idx="5">
                  <c:v>0.61</c:v>
                </c:pt>
                <c:pt idx="6">
                  <c:v>0.764</c:v>
                </c:pt>
                <c:pt idx="7">
                  <c:v>0.908</c:v>
                </c:pt>
                <c:pt idx="8">
                  <c:v>1.029</c:v>
                </c:pt>
                <c:pt idx="9">
                  <c:v>1.156</c:v>
                </c:pt>
                <c:pt idx="10">
                  <c:v>1.279</c:v>
                </c:pt>
                <c:pt idx="11">
                  <c:v>1.407</c:v>
                </c:pt>
                <c:pt idx="12">
                  <c:v>1.531</c:v>
                </c:pt>
                <c:pt idx="13">
                  <c:v>1.654</c:v>
                </c:pt>
                <c:pt idx="14">
                  <c:v>1.779</c:v>
                </c:pt>
                <c:pt idx="15">
                  <c:v>1.905</c:v>
                </c:pt>
                <c:pt idx="16">
                  <c:v>2.03</c:v>
                </c:pt>
                <c:pt idx="17">
                  <c:v>2.154</c:v>
                </c:pt>
                <c:pt idx="18">
                  <c:v>2.295</c:v>
                </c:pt>
                <c:pt idx="19">
                  <c:v>2.407</c:v>
                </c:pt>
                <c:pt idx="20">
                  <c:v>2.529</c:v>
                </c:pt>
                <c:pt idx="21">
                  <c:v>2.655</c:v>
                </c:pt>
                <c:pt idx="22">
                  <c:v>2.779</c:v>
                </c:pt>
                <c:pt idx="23">
                  <c:v>2.904</c:v>
                </c:pt>
                <c:pt idx="24">
                  <c:v>3.045</c:v>
                </c:pt>
                <c:pt idx="25">
                  <c:v>3.155</c:v>
                </c:pt>
                <c:pt idx="26">
                  <c:v>3.279</c:v>
                </c:pt>
                <c:pt idx="27">
                  <c:v>3.404</c:v>
                </c:pt>
                <c:pt idx="28">
                  <c:v>3.529</c:v>
                </c:pt>
                <c:pt idx="29">
                  <c:v>3.656</c:v>
                </c:pt>
                <c:pt idx="30">
                  <c:v>3.78</c:v>
                </c:pt>
                <c:pt idx="31">
                  <c:v>3.904</c:v>
                </c:pt>
                <c:pt idx="32">
                  <c:v>4.045</c:v>
                </c:pt>
                <c:pt idx="33">
                  <c:v>4.17</c:v>
                </c:pt>
                <c:pt idx="34">
                  <c:v>4.282</c:v>
                </c:pt>
                <c:pt idx="35">
                  <c:v>4.375</c:v>
                </c:pt>
                <c:pt idx="36">
                  <c:v>4.532</c:v>
                </c:pt>
                <c:pt idx="37">
                  <c:v>4.654</c:v>
                </c:pt>
              </c:numCache>
            </c:numRef>
          </c:xVal>
          <c:yVal>
            <c:numRef>
              <c:f>1</c:f>
              <c:numCache>
                <c:formatCode>General</c:formatCode>
                <c:ptCount val="38"/>
                <c:pt idx="0">
                  <c:v>0</c:v>
                </c:pt>
                <c:pt idx="1">
                  <c:v>0.4026</c:v>
                </c:pt>
                <c:pt idx="2">
                  <c:v>0.9245</c:v>
                </c:pt>
                <c:pt idx="3">
                  <c:v>1.3346</c:v>
                </c:pt>
                <c:pt idx="4">
                  <c:v>1.8602</c:v>
                </c:pt>
                <c:pt idx="5">
                  <c:v>2.274</c:v>
                </c:pt>
                <c:pt idx="6">
                  <c:v>2.8481</c:v>
                </c:pt>
                <c:pt idx="7">
                  <c:v>3.3849</c:v>
                </c:pt>
                <c:pt idx="8">
                  <c:v>3.836</c:v>
                </c:pt>
                <c:pt idx="9">
                  <c:v>4.3095</c:v>
                </c:pt>
                <c:pt idx="10">
                  <c:v>4.768</c:v>
                </c:pt>
                <c:pt idx="11">
                  <c:v>5.2452</c:v>
                </c:pt>
                <c:pt idx="12">
                  <c:v>5.7074</c:v>
                </c:pt>
                <c:pt idx="13">
                  <c:v>6.1659</c:v>
                </c:pt>
                <c:pt idx="14">
                  <c:v>6.6319</c:v>
                </c:pt>
                <c:pt idx="15">
                  <c:v>7.1016</c:v>
                </c:pt>
                <c:pt idx="16">
                  <c:v>7.5676</c:v>
                </c:pt>
                <c:pt idx="17">
                  <c:v>8.0299</c:v>
                </c:pt>
                <c:pt idx="18">
                  <c:v>8.5555</c:v>
                </c:pt>
                <c:pt idx="19">
                  <c:v>8.9731</c:v>
                </c:pt>
                <c:pt idx="20">
                  <c:v>9.4279</c:v>
                </c:pt>
                <c:pt idx="21">
                  <c:v>9.8976</c:v>
                </c:pt>
                <c:pt idx="22">
                  <c:v>10.3598</c:v>
                </c:pt>
                <c:pt idx="23">
                  <c:v>10.8258</c:v>
                </c:pt>
                <c:pt idx="24">
                  <c:v>11.3515</c:v>
                </c:pt>
                <c:pt idx="25">
                  <c:v>11.7615</c:v>
                </c:pt>
                <c:pt idx="26">
                  <c:v>12.2238</c:v>
                </c:pt>
                <c:pt idx="27">
                  <c:v>12.6898</c:v>
                </c:pt>
                <c:pt idx="28">
                  <c:v>13.1558</c:v>
                </c:pt>
                <c:pt idx="29">
                  <c:v>13.6292</c:v>
                </c:pt>
                <c:pt idx="30">
                  <c:v>14.0915</c:v>
                </c:pt>
                <c:pt idx="31">
                  <c:v>14.5537</c:v>
                </c:pt>
                <c:pt idx="32">
                  <c:v>15.0794</c:v>
                </c:pt>
                <c:pt idx="33">
                  <c:v>15.5453</c:v>
                </c:pt>
                <c:pt idx="34">
                  <c:v>15.9629</c:v>
                </c:pt>
                <c:pt idx="35">
                  <c:v>16.3096</c:v>
                </c:pt>
                <c:pt idx="36">
                  <c:v>16.8948</c:v>
                </c:pt>
                <c:pt idx="37">
                  <c:v>17.3496</c:v>
                </c:pt>
              </c:numCache>
            </c:numRef>
          </c:yVal>
          <c:smooth val="0"/>
        </c:ser>
        <c:axId val="17668545"/>
        <c:axId val="2700483"/>
      </c:scatterChart>
      <c:valAx>
        <c:axId val="17668545"/>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700483"/>
        <c:crosses val="autoZero"/>
        <c:crossBetween val="midCat"/>
      </c:valAx>
      <c:valAx>
        <c:axId val="270048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7668545"/>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Moon</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58"/>
                <c:pt idx="0">
                  <c:v>0</c:v>
                </c:pt>
                <c:pt idx="1">
                  <c:v>0.125</c:v>
                </c:pt>
                <c:pt idx="2">
                  <c:v>0.267</c:v>
                </c:pt>
                <c:pt idx="3">
                  <c:v>0.375</c:v>
                </c:pt>
                <c:pt idx="4">
                  <c:v>0.5</c:v>
                </c:pt>
                <c:pt idx="5">
                  <c:v>0.625</c:v>
                </c:pt>
                <c:pt idx="6">
                  <c:v>0.75</c:v>
                </c:pt>
                <c:pt idx="7">
                  <c:v>0.875</c:v>
                </c:pt>
                <c:pt idx="8">
                  <c:v>1.016</c:v>
                </c:pt>
                <c:pt idx="9">
                  <c:v>1.125</c:v>
                </c:pt>
                <c:pt idx="10">
                  <c:v>1.25</c:v>
                </c:pt>
                <c:pt idx="11">
                  <c:v>1.375</c:v>
                </c:pt>
                <c:pt idx="12">
                  <c:v>1.501</c:v>
                </c:pt>
                <c:pt idx="13">
                  <c:v>1.643</c:v>
                </c:pt>
                <c:pt idx="14">
                  <c:v>1.751</c:v>
                </c:pt>
                <c:pt idx="15">
                  <c:v>1.877</c:v>
                </c:pt>
                <c:pt idx="16">
                  <c:v>2.018</c:v>
                </c:pt>
                <c:pt idx="17">
                  <c:v>2.127</c:v>
                </c:pt>
                <c:pt idx="18">
                  <c:v>2.266</c:v>
                </c:pt>
                <c:pt idx="19">
                  <c:v>2.393</c:v>
                </c:pt>
                <c:pt idx="20">
                  <c:v>2.501</c:v>
                </c:pt>
                <c:pt idx="21">
                  <c:v>2.641</c:v>
                </c:pt>
                <c:pt idx="22">
                  <c:v>2.75</c:v>
                </c:pt>
                <c:pt idx="23">
                  <c:v>2.875</c:v>
                </c:pt>
                <c:pt idx="24">
                  <c:v>3.016</c:v>
                </c:pt>
                <c:pt idx="25">
                  <c:v>3.125</c:v>
                </c:pt>
                <c:pt idx="26">
                  <c:v>3.266</c:v>
                </c:pt>
                <c:pt idx="27">
                  <c:v>3.391</c:v>
                </c:pt>
                <c:pt idx="28">
                  <c:v>3.502</c:v>
                </c:pt>
                <c:pt idx="29">
                  <c:v>3.641</c:v>
                </c:pt>
                <c:pt idx="30">
                  <c:v>3.75</c:v>
                </c:pt>
                <c:pt idx="31">
                  <c:v>3.875</c:v>
                </c:pt>
                <c:pt idx="32">
                  <c:v>4.016</c:v>
                </c:pt>
                <c:pt idx="33">
                  <c:v>4.141</c:v>
                </c:pt>
                <c:pt idx="34">
                  <c:v>4.25</c:v>
                </c:pt>
                <c:pt idx="35">
                  <c:v>4.375</c:v>
                </c:pt>
                <c:pt idx="36">
                  <c:v>4.5</c:v>
                </c:pt>
                <c:pt idx="37">
                  <c:v>4.625</c:v>
                </c:pt>
                <c:pt idx="38">
                  <c:v>4.75</c:v>
                </c:pt>
                <c:pt idx="39">
                  <c:v>4.875</c:v>
                </c:pt>
                <c:pt idx="40">
                  <c:v>5</c:v>
                </c:pt>
                <c:pt idx="41">
                  <c:v>5.142</c:v>
                </c:pt>
                <c:pt idx="42">
                  <c:v>5.25</c:v>
                </c:pt>
                <c:pt idx="43">
                  <c:v>5.377</c:v>
                </c:pt>
                <c:pt idx="44">
                  <c:v>5.5</c:v>
                </c:pt>
                <c:pt idx="45">
                  <c:v>5.625</c:v>
                </c:pt>
                <c:pt idx="46">
                  <c:v>5.752</c:v>
                </c:pt>
                <c:pt idx="47">
                  <c:v>5.875</c:v>
                </c:pt>
                <c:pt idx="48">
                  <c:v>6</c:v>
                </c:pt>
                <c:pt idx="49">
                  <c:v>6.125</c:v>
                </c:pt>
                <c:pt idx="50">
                  <c:v>6.253</c:v>
                </c:pt>
                <c:pt idx="51">
                  <c:v>6.391</c:v>
                </c:pt>
                <c:pt idx="52">
                  <c:v>6.501</c:v>
                </c:pt>
                <c:pt idx="53">
                  <c:v>6.641</c:v>
                </c:pt>
                <c:pt idx="54">
                  <c:v>6.75</c:v>
                </c:pt>
                <c:pt idx="55">
                  <c:v>6.875</c:v>
                </c:pt>
                <c:pt idx="56">
                  <c:v>7</c:v>
                </c:pt>
                <c:pt idx="57">
                  <c:v>7.125</c:v>
                </c:pt>
              </c:numCache>
            </c:numRef>
          </c:xVal>
          <c:yVal>
            <c:numRef>
              <c:f>1</c:f>
              <c:numCache>
                <c:formatCode>General</c:formatCode>
                <c:ptCount val="58"/>
                <c:pt idx="0">
                  <c:v>0</c:v>
                </c:pt>
                <c:pt idx="1">
                  <c:v>0.2031</c:v>
                </c:pt>
                <c:pt idx="2">
                  <c:v>0.4338</c:v>
                </c:pt>
                <c:pt idx="3">
                  <c:v>0.6093</c:v>
                </c:pt>
                <c:pt idx="4">
                  <c:v>0.8124</c:v>
                </c:pt>
                <c:pt idx="5">
                  <c:v>1.0154</c:v>
                </c:pt>
                <c:pt idx="6">
                  <c:v>1.2185</c:v>
                </c:pt>
                <c:pt idx="7">
                  <c:v>1.4216</c:v>
                </c:pt>
                <c:pt idx="8">
                  <c:v>1.6507</c:v>
                </c:pt>
                <c:pt idx="9">
                  <c:v>1.8278</c:v>
                </c:pt>
                <c:pt idx="10">
                  <c:v>2.0309</c:v>
                </c:pt>
                <c:pt idx="11">
                  <c:v>2.234</c:v>
                </c:pt>
                <c:pt idx="12">
                  <c:v>2.4387</c:v>
                </c:pt>
                <c:pt idx="13">
                  <c:v>2.6694</c:v>
                </c:pt>
                <c:pt idx="14">
                  <c:v>2.8448</c:v>
                </c:pt>
                <c:pt idx="15">
                  <c:v>3.0496</c:v>
                </c:pt>
                <c:pt idx="16">
                  <c:v>3.2786</c:v>
                </c:pt>
                <c:pt idx="17">
                  <c:v>3.4557</c:v>
                </c:pt>
                <c:pt idx="18">
                  <c:v>3.6816</c:v>
                </c:pt>
                <c:pt idx="19">
                  <c:v>3.8879</c:v>
                </c:pt>
                <c:pt idx="20">
                  <c:v>4.0634</c:v>
                </c:pt>
                <c:pt idx="21">
                  <c:v>4.2908</c:v>
                </c:pt>
                <c:pt idx="22">
                  <c:v>4.4679</c:v>
                </c:pt>
                <c:pt idx="23">
                  <c:v>4.671</c:v>
                </c:pt>
                <c:pt idx="24">
                  <c:v>4.9001</c:v>
                </c:pt>
                <c:pt idx="25">
                  <c:v>5.0772</c:v>
                </c:pt>
                <c:pt idx="26">
                  <c:v>5.3063</c:v>
                </c:pt>
                <c:pt idx="27">
                  <c:v>5.5094</c:v>
                </c:pt>
                <c:pt idx="28">
                  <c:v>5.6897</c:v>
                </c:pt>
                <c:pt idx="29">
                  <c:v>5.9155</c:v>
                </c:pt>
                <c:pt idx="30">
                  <c:v>6.0926</c:v>
                </c:pt>
                <c:pt idx="31">
                  <c:v>6.2957</c:v>
                </c:pt>
                <c:pt idx="32">
                  <c:v>6.5248</c:v>
                </c:pt>
                <c:pt idx="33">
                  <c:v>6.7279</c:v>
                </c:pt>
                <c:pt idx="34">
                  <c:v>6.905</c:v>
                </c:pt>
                <c:pt idx="35">
                  <c:v>7.1081</c:v>
                </c:pt>
                <c:pt idx="36">
                  <c:v>7.3112</c:v>
                </c:pt>
                <c:pt idx="37">
                  <c:v>7.5142</c:v>
                </c:pt>
                <c:pt idx="38">
                  <c:v>7.7173</c:v>
                </c:pt>
                <c:pt idx="39">
                  <c:v>7.9204</c:v>
                </c:pt>
                <c:pt idx="40">
                  <c:v>8.1235</c:v>
                </c:pt>
                <c:pt idx="41">
                  <c:v>8.3542</c:v>
                </c:pt>
                <c:pt idx="42">
                  <c:v>8.5297</c:v>
                </c:pt>
                <c:pt idx="43">
                  <c:v>8.736</c:v>
                </c:pt>
                <c:pt idx="44">
                  <c:v>8.9359</c:v>
                </c:pt>
                <c:pt idx="45">
                  <c:v>9.1389</c:v>
                </c:pt>
                <c:pt idx="46">
                  <c:v>9.3453</c:v>
                </c:pt>
                <c:pt idx="47">
                  <c:v>9.5451</c:v>
                </c:pt>
                <c:pt idx="48">
                  <c:v>9.7482</c:v>
                </c:pt>
                <c:pt idx="49">
                  <c:v>9.9513</c:v>
                </c:pt>
                <c:pt idx="50">
                  <c:v>10.1592</c:v>
                </c:pt>
                <c:pt idx="51">
                  <c:v>10.3835</c:v>
                </c:pt>
                <c:pt idx="52">
                  <c:v>10.5622</c:v>
                </c:pt>
                <c:pt idx="53">
                  <c:v>10.7896</c:v>
                </c:pt>
                <c:pt idx="54">
                  <c:v>10.9667</c:v>
                </c:pt>
                <c:pt idx="55">
                  <c:v>11.1698</c:v>
                </c:pt>
                <c:pt idx="56">
                  <c:v>11.3729</c:v>
                </c:pt>
                <c:pt idx="57">
                  <c:v>11.576</c:v>
                </c:pt>
              </c:numCache>
            </c:numRef>
          </c:yVal>
          <c:smooth val="0"/>
        </c:ser>
        <c:axId val="23538115"/>
        <c:axId val="13740722"/>
      </c:scatterChart>
      <c:valAx>
        <c:axId val="23538115"/>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3740722"/>
        <c:crosses val="autoZero"/>
        <c:crossBetween val="midCat"/>
      </c:valAx>
      <c:valAx>
        <c:axId val="1374072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3538115"/>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Saturn</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3"/>
                <c:pt idx="0">
                  <c:v>0</c:v>
                </c:pt>
                <c:pt idx="1">
                  <c:v>0.14</c:v>
                </c:pt>
                <c:pt idx="2">
                  <c:v>0.265</c:v>
                </c:pt>
                <c:pt idx="3">
                  <c:v>0.391</c:v>
                </c:pt>
                <c:pt idx="4">
                  <c:v>0.515</c:v>
                </c:pt>
                <c:pt idx="5">
                  <c:v>0.656</c:v>
                </c:pt>
                <c:pt idx="6">
                  <c:v>0.765</c:v>
                </c:pt>
                <c:pt idx="7">
                  <c:v>0.906</c:v>
                </c:pt>
                <c:pt idx="8">
                  <c:v>1.017</c:v>
                </c:pt>
                <c:pt idx="9">
                  <c:v>1.143</c:v>
                </c:pt>
                <c:pt idx="10">
                  <c:v>1.265</c:v>
                </c:pt>
                <c:pt idx="11">
                  <c:v>1.39</c:v>
                </c:pt>
                <c:pt idx="12">
                  <c:v>1.517</c:v>
                </c:pt>
                <c:pt idx="13">
                  <c:v>1.642</c:v>
                </c:pt>
                <c:pt idx="14">
                  <c:v>1.781</c:v>
                </c:pt>
                <c:pt idx="15">
                  <c:v>1.89</c:v>
                </c:pt>
                <c:pt idx="16">
                  <c:v>2.034</c:v>
                </c:pt>
                <c:pt idx="17">
                  <c:v>2.141</c:v>
                </c:pt>
                <c:pt idx="18">
                  <c:v>2.265</c:v>
                </c:pt>
                <c:pt idx="19">
                  <c:v>2.392</c:v>
                </c:pt>
                <c:pt idx="20">
                  <c:v>2.516</c:v>
                </c:pt>
                <c:pt idx="21">
                  <c:v>2.641</c:v>
                </c:pt>
                <c:pt idx="22">
                  <c:v>2.766</c:v>
                </c:pt>
              </c:numCache>
            </c:numRef>
          </c:xVal>
          <c:yVal>
            <c:numRef>
              <c:f>1</c:f>
              <c:numCache>
                <c:formatCode>General</c:formatCode>
                <c:ptCount val="23"/>
                <c:pt idx="0">
                  <c:v>0</c:v>
                </c:pt>
                <c:pt idx="1">
                  <c:v>1.4624</c:v>
                </c:pt>
                <c:pt idx="2">
                  <c:v>2.768</c:v>
                </c:pt>
                <c:pt idx="3">
                  <c:v>4.0842</c:v>
                </c:pt>
                <c:pt idx="4">
                  <c:v>5.3794</c:v>
                </c:pt>
                <c:pt idx="5">
                  <c:v>6.8522</c:v>
                </c:pt>
                <c:pt idx="6">
                  <c:v>7.9907</c:v>
                </c:pt>
                <c:pt idx="7">
                  <c:v>9.4635</c:v>
                </c:pt>
                <c:pt idx="8">
                  <c:v>10.623</c:v>
                </c:pt>
                <c:pt idx="9">
                  <c:v>11.9391</c:v>
                </c:pt>
                <c:pt idx="10">
                  <c:v>13.2134</c:v>
                </c:pt>
                <c:pt idx="11">
                  <c:v>14.5191</c:v>
                </c:pt>
                <c:pt idx="12">
                  <c:v>15.8457</c:v>
                </c:pt>
                <c:pt idx="13">
                  <c:v>17.1513</c:v>
                </c:pt>
                <c:pt idx="14">
                  <c:v>18.6033</c:v>
                </c:pt>
                <c:pt idx="15">
                  <c:v>19.7418</c:v>
                </c:pt>
                <c:pt idx="16">
                  <c:v>21.2459</c:v>
                </c:pt>
                <c:pt idx="17">
                  <c:v>22.3636</c:v>
                </c:pt>
                <c:pt idx="18">
                  <c:v>23.6588</c:v>
                </c:pt>
                <c:pt idx="19">
                  <c:v>24.9854</c:v>
                </c:pt>
                <c:pt idx="20">
                  <c:v>26.2806</c:v>
                </c:pt>
                <c:pt idx="21">
                  <c:v>27.5863</c:v>
                </c:pt>
                <c:pt idx="22">
                  <c:v>28.892</c:v>
                </c:pt>
              </c:numCache>
            </c:numRef>
          </c:yVal>
          <c:smooth val="0"/>
        </c:ser>
        <c:axId val="59844349"/>
        <c:axId val="64162895"/>
      </c:scatterChart>
      <c:valAx>
        <c:axId val="59844349"/>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4162895"/>
        <c:crosses val="autoZero"/>
        <c:crossBetween val="midCat"/>
      </c:valAx>
      <c:valAx>
        <c:axId val="6416289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84434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Earth</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4"/>
                <c:pt idx="0">
                  <c:v>0</c:v>
                </c:pt>
                <c:pt idx="1">
                  <c:v>0.121</c:v>
                </c:pt>
                <c:pt idx="2">
                  <c:v>0.246</c:v>
                </c:pt>
                <c:pt idx="3">
                  <c:v>0.371</c:v>
                </c:pt>
                <c:pt idx="4">
                  <c:v>0.511</c:v>
                </c:pt>
                <c:pt idx="5">
                  <c:v>0.622</c:v>
                </c:pt>
                <c:pt idx="6">
                  <c:v>0.761</c:v>
                </c:pt>
                <c:pt idx="7">
                  <c:v>0.87</c:v>
                </c:pt>
                <c:pt idx="8">
                  <c:v>0.995</c:v>
                </c:pt>
                <c:pt idx="9">
                  <c:v>1.12</c:v>
                </c:pt>
                <c:pt idx="10">
                  <c:v>1.245</c:v>
                </c:pt>
                <c:pt idx="11">
                  <c:v>1.386</c:v>
                </c:pt>
                <c:pt idx="12">
                  <c:v>1.496</c:v>
                </c:pt>
                <c:pt idx="13">
                  <c:v>1.623</c:v>
                </c:pt>
                <c:pt idx="14">
                  <c:v>1.748</c:v>
                </c:pt>
                <c:pt idx="15">
                  <c:v>1.87</c:v>
                </c:pt>
                <c:pt idx="16">
                  <c:v>1.998</c:v>
                </c:pt>
                <c:pt idx="17">
                  <c:v>2.122</c:v>
                </c:pt>
                <c:pt idx="18">
                  <c:v>2.263</c:v>
                </c:pt>
                <c:pt idx="19">
                  <c:v>2.386</c:v>
                </c:pt>
                <c:pt idx="20">
                  <c:v>2.496</c:v>
                </c:pt>
                <c:pt idx="21">
                  <c:v>2.62</c:v>
                </c:pt>
                <c:pt idx="22">
                  <c:v>2.761</c:v>
                </c:pt>
                <c:pt idx="23">
                  <c:v>2.87</c:v>
                </c:pt>
              </c:numCache>
            </c:numRef>
          </c:xVal>
          <c:yVal>
            <c:numRef>
              <c:f>1</c:f>
              <c:numCache>
                <c:formatCode>General</c:formatCode>
                <c:ptCount val="24"/>
                <c:pt idx="0">
                  <c:v>0</c:v>
                </c:pt>
                <c:pt idx="1">
                  <c:v>1.1866</c:v>
                </c:pt>
                <c:pt idx="2">
                  <c:v>2.4124</c:v>
                </c:pt>
                <c:pt idx="3">
                  <c:v>3.6383</c:v>
                </c:pt>
                <c:pt idx="4">
                  <c:v>5.0112</c:v>
                </c:pt>
                <c:pt idx="5">
                  <c:v>6.0997</c:v>
                </c:pt>
                <c:pt idx="6">
                  <c:v>7.4629</c:v>
                </c:pt>
                <c:pt idx="7">
                  <c:v>8.5318</c:v>
                </c:pt>
                <c:pt idx="8">
                  <c:v>9.7576</c:v>
                </c:pt>
                <c:pt idx="9">
                  <c:v>10.9834</c:v>
                </c:pt>
                <c:pt idx="10">
                  <c:v>12.2093</c:v>
                </c:pt>
                <c:pt idx="11">
                  <c:v>13.592</c:v>
                </c:pt>
                <c:pt idx="12">
                  <c:v>14.6707</c:v>
                </c:pt>
                <c:pt idx="13">
                  <c:v>15.9162</c:v>
                </c:pt>
                <c:pt idx="14">
                  <c:v>17.142</c:v>
                </c:pt>
                <c:pt idx="15">
                  <c:v>18.3384</c:v>
                </c:pt>
                <c:pt idx="16">
                  <c:v>19.5937</c:v>
                </c:pt>
                <c:pt idx="17">
                  <c:v>20.8097</c:v>
                </c:pt>
                <c:pt idx="18">
                  <c:v>22.1924</c:v>
                </c:pt>
                <c:pt idx="19">
                  <c:v>23.3987</c:v>
                </c:pt>
                <c:pt idx="20">
                  <c:v>24.4774</c:v>
                </c:pt>
                <c:pt idx="21">
                  <c:v>25.6934</c:v>
                </c:pt>
                <c:pt idx="22">
                  <c:v>27.0762</c:v>
                </c:pt>
                <c:pt idx="23">
                  <c:v>28.1451</c:v>
                </c:pt>
              </c:numCache>
            </c:numRef>
          </c:yVal>
          <c:smooth val="0"/>
        </c:ser>
        <c:axId val="30689263"/>
        <c:axId val="56199878"/>
      </c:scatterChart>
      <c:valAx>
        <c:axId val="30689263"/>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6199878"/>
        <c:crosses val="autoZero"/>
        <c:crossBetween val="midCat"/>
      </c:valAx>
      <c:valAx>
        <c:axId val="5619987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068926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Jupiter</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15"/>
                <c:pt idx="0">
                  <c:v>0</c:v>
                </c:pt>
                <c:pt idx="1">
                  <c:v>0.125</c:v>
                </c:pt>
                <c:pt idx="2">
                  <c:v>0.25</c:v>
                </c:pt>
                <c:pt idx="3">
                  <c:v>0.375</c:v>
                </c:pt>
                <c:pt idx="4">
                  <c:v>0.485</c:v>
                </c:pt>
                <c:pt idx="5">
                  <c:v>0.611</c:v>
                </c:pt>
                <c:pt idx="6">
                  <c:v>0.737</c:v>
                </c:pt>
                <c:pt idx="7">
                  <c:v>0.875</c:v>
                </c:pt>
                <c:pt idx="8">
                  <c:v>1</c:v>
                </c:pt>
                <c:pt idx="9">
                  <c:v>1.112</c:v>
                </c:pt>
                <c:pt idx="10">
                  <c:v>1.235</c:v>
                </c:pt>
                <c:pt idx="11">
                  <c:v>1.361</c:v>
                </c:pt>
                <c:pt idx="12">
                  <c:v>1.486</c:v>
                </c:pt>
                <c:pt idx="13">
                  <c:v>1.625</c:v>
                </c:pt>
                <c:pt idx="14">
                  <c:v>1.75</c:v>
                </c:pt>
              </c:numCache>
            </c:numRef>
          </c:xVal>
          <c:yVal>
            <c:numRef>
              <c:f>1</c:f>
              <c:numCache>
                <c:formatCode>General</c:formatCode>
                <c:ptCount val="15"/>
                <c:pt idx="0">
                  <c:v>0</c:v>
                </c:pt>
                <c:pt idx="1">
                  <c:v>3.0991</c:v>
                </c:pt>
                <c:pt idx="2">
                  <c:v>6.1981</c:v>
                </c:pt>
                <c:pt idx="3">
                  <c:v>9.2972</c:v>
                </c:pt>
                <c:pt idx="4">
                  <c:v>12.0243</c:v>
                </c:pt>
                <c:pt idx="5">
                  <c:v>15.1482</c:v>
                </c:pt>
                <c:pt idx="6">
                  <c:v>18.272</c:v>
                </c:pt>
                <c:pt idx="7">
                  <c:v>21.6933</c:v>
                </c:pt>
                <c:pt idx="8">
                  <c:v>24.7924</c:v>
                </c:pt>
                <c:pt idx="9">
                  <c:v>27.5691</c:v>
                </c:pt>
                <c:pt idx="10">
                  <c:v>30.6186</c:v>
                </c:pt>
                <c:pt idx="11">
                  <c:v>33.7425</c:v>
                </c:pt>
                <c:pt idx="12">
                  <c:v>36.8415</c:v>
                </c:pt>
                <c:pt idx="13">
                  <c:v>40.2876</c:v>
                </c:pt>
                <c:pt idx="14">
                  <c:v>43.3867</c:v>
                </c:pt>
              </c:numCache>
            </c:numRef>
          </c:yVal>
          <c:smooth val="0"/>
        </c:ser>
        <c:axId val="24997076"/>
        <c:axId val="8809327"/>
      </c:scatterChart>
      <c:valAx>
        <c:axId val="24997076"/>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809327"/>
        <c:crosses val="autoZero"/>
        <c:crossBetween val="midCat"/>
      </c:valAx>
      <c:valAx>
        <c:axId val="880932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499707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Mars</a:t>
            </a:r>
          </a:p>
        </c:rich>
      </c:tx>
      <c:overlay val="0"/>
      <c:spPr>
        <a:noFill/>
        <a:ln>
          <a:noFill/>
        </a:ln>
      </c:spPr>
    </c:title>
    <c:autoTitleDeleted val="0"/>
    <c:plotArea>
      <c:scatterChart>
        <c:scatterStyle val="lineMarker"/>
        <c:varyColors val="0"/>
        <c:ser>
          <c:idx val="0"/>
          <c:order val="0"/>
          <c:tx>
            <c:strRef>
              <c:f>label 1</c:f>
              <c:strCache>
                <c:ptCount val="1"/>
                <c:pt idx="0">
                  <c:v>0</c:v>
                </c:pt>
              </c:strCache>
            </c:strRef>
          </c:tx>
          <c:spPr>
            <a:solidFill>
              <a:srgbClr val="004586"/>
            </a:solidFill>
            <a:ln w="28800">
              <a:noFill/>
            </a:ln>
          </c:spPr>
          <c:marker>
            <c:symbol val="square"/>
            <c:size val="8"/>
            <c:spPr>
              <a:solidFill>
                <a:srgbClr val="004586"/>
              </a:solidFill>
            </c:spPr>
          </c:marker>
          <c:dPt>
            <c:idx val="8"/>
            <c:marker>
              <c:symbol val="square"/>
              <c:size val="8"/>
              <c:spPr>
                <a:solidFill>
                  <a:srgbClr val="004586"/>
                </a:solidFill>
              </c:spPr>
            </c:marker>
          </c:dPt>
          <c:dLbls>
            <c:dLbl>
              <c:idx val="8"/>
              <c:txPr>
                <a:bodyPr/>
                <a:lstStyle/>
                <a:p>
                  <a:pPr>
                    <a:defRPr b="0" sz="1000" spc="-1" strike="noStrike">
                      <a:latin typeface="Arial"/>
                    </a:defRPr>
                  </a:pPr>
                </a:p>
              </c:txPr>
              <c:showLegendKey val="0"/>
              <c:showVal val="0"/>
              <c:showCatName val="0"/>
              <c:showSerName val="0"/>
              <c:showPercent val="0"/>
              <c:separator> </c:separator>
            </c:dLbl>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38"/>
                <c:pt idx="0">
                  <c:v>0</c:v>
                </c:pt>
                <c:pt idx="1">
                  <c:v>0.108</c:v>
                </c:pt>
                <c:pt idx="2">
                  <c:v>0.248</c:v>
                </c:pt>
                <c:pt idx="3">
                  <c:v>0.358</c:v>
                </c:pt>
                <c:pt idx="4">
                  <c:v>0.499</c:v>
                </c:pt>
                <c:pt idx="5">
                  <c:v>0.61</c:v>
                </c:pt>
                <c:pt idx="6">
                  <c:v>0.764</c:v>
                </c:pt>
                <c:pt idx="7">
                  <c:v>0.908</c:v>
                </c:pt>
                <c:pt idx="8">
                  <c:v>1.029</c:v>
                </c:pt>
                <c:pt idx="9">
                  <c:v>1.156</c:v>
                </c:pt>
                <c:pt idx="10">
                  <c:v>1.279</c:v>
                </c:pt>
                <c:pt idx="11">
                  <c:v>1.407</c:v>
                </c:pt>
                <c:pt idx="12">
                  <c:v>1.531</c:v>
                </c:pt>
                <c:pt idx="13">
                  <c:v>1.654</c:v>
                </c:pt>
                <c:pt idx="14">
                  <c:v>1.779</c:v>
                </c:pt>
                <c:pt idx="15">
                  <c:v>1.905</c:v>
                </c:pt>
                <c:pt idx="16">
                  <c:v>2.03</c:v>
                </c:pt>
                <c:pt idx="17">
                  <c:v>2.154</c:v>
                </c:pt>
                <c:pt idx="18">
                  <c:v>2.295</c:v>
                </c:pt>
                <c:pt idx="19">
                  <c:v>2.407</c:v>
                </c:pt>
                <c:pt idx="20">
                  <c:v>2.529</c:v>
                </c:pt>
                <c:pt idx="21">
                  <c:v>2.655</c:v>
                </c:pt>
                <c:pt idx="22">
                  <c:v>2.779</c:v>
                </c:pt>
                <c:pt idx="23">
                  <c:v>2.904</c:v>
                </c:pt>
                <c:pt idx="24">
                  <c:v>3.045</c:v>
                </c:pt>
                <c:pt idx="25">
                  <c:v>3.155</c:v>
                </c:pt>
                <c:pt idx="26">
                  <c:v>3.279</c:v>
                </c:pt>
                <c:pt idx="27">
                  <c:v>3.404</c:v>
                </c:pt>
                <c:pt idx="28">
                  <c:v>3.529</c:v>
                </c:pt>
                <c:pt idx="29">
                  <c:v>3.656</c:v>
                </c:pt>
                <c:pt idx="30">
                  <c:v>3.78</c:v>
                </c:pt>
                <c:pt idx="31">
                  <c:v>3.904</c:v>
                </c:pt>
                <c:pt idx="32">
                  <c:v>4.045</c:v>
                </c:pt>
                <c:pt idx="33">
                  <c:v>4.17</c:v>
                </c:pt>
                <c:pt idx="34">
                  <c:v>4.282</c:v>
                </c:pt>
                <c:pt idx="35">
                  <c:v>4.375</c:v>
                </c:pt>
                <c:pt idx="36">
                  <c:v>4.532</c:v>
                </c:pt>
                <c:pt idx="37">
                  <c:v>4.654</c:v>
                </c:pt>
              </c:numCache>
            </c:numRef>
          </c:xVal>
          <c:yVal>
            <c:numRef>
              <c:f>1</c:f>
              <c:numCache>
                <c:formatCode>General</c:formatCode>
                <c:ptCount val="38"/>
                <c:pt idx="0">
                  <c:v>0</c:v>
                </c:pt>
                <c:pt idx="1">
                  <c:v>0.4026</c:v>
                </c:pt>
                <c:pt idx="2">
                  <c:v>0.9245</c:v>
                </c:pt>
                <c:pt idx="3">
                  <c:v>1.3346</c:v>
                </c:pt>
                <c:pt idx="4">
                  <c:v>1.8602</c:v>
                </c:pt>
                <c:pt idx="5">
                  <c:v>2.274</c:v>
                </c:pt>
                <c:pt idx="6">
                  <c:v>2.8481</c:v>
                </c:pt>
                <c:pt idx="7">
                  <c:v>3.3849</c:v>
                </c:pt>
                <c:pt idx="8">
                  <c:v>3.836</c:v>
                </c:pt>
                <c:pt idx="9">
                  <c:v>4.3095</c:v>
                </c:pt>
                <c:pt idx="10">
                  <c:v>4.768</c:v>
                </c:pt>
                <c:pt idx="11">
                  <c:v>5.2452</c:v>
                </c:pt>
                <c:pt idx="12">
                  <c:v>5.7074</c:v>
                </c:pt>
                <c:pt idx="13">
                  <c:v>6.1659</c:v>
                </c:pt>
                <c:pt idx="14">
                  <c:v>6.6319</c:v>
                </c:pt>
                <c:pt idx="15">
                  <c:v>7.1016</c:v>
                </c:pt>
                <c:pt idx="16">
                  <c:v>7.5676</c:v>
                </c:pt>
                <c:pt idx="17">
                  <c:v>8.0299</c:v>
                </c:pt>
                <c:pt idx="18">
                  <c:v>8.5555</c:v>
                </c:pt>
                <c:pt idx="19">
                  <c:v>8.9731</c:v>
                </c:pt>
                <c:pt idx="20">
                  <c:v>9.4279</c:v>
                </c:pt>
                <c:pt idx="21">
                  <c:v>9.8976</c:v>
                </c:pt>
                <c:pt idx="22">
                  <c:v>10.3598</c:v>
                </c:pt>
                <c:pt idx="23">
                  <c:v>10.8258</c:v>
                </c:pt>
                <c:pt idx="24">
                  <c:v>11.3515</c:v>
                </c:pt>
                <c:pt idx="25">
                  <c:v>11.7615</c:v>
                </c:pt>
                <c:pt idx="26">
                  <c:v>12.2238</c:v>
                </c:pt>
                <c:pt idx="27">
                  <c:v>12.6898</c:v>
                </c:pt>
                <c:pt idx="28">
                  <c:v>13.1558</c:v>
                </c:pt>
                <c:pt idx="29">
                  <c:v>13.6292</c:v>
                </c:pt>
                <c:pt idx="30">
                  <c:v>14.0915</c:v>
                </c:pt>
                <c:pt idx="31">
                  <c:v>14.5537</c:v>
                </c:pt>
                <c:pt idx="32">
                  <c:v>15.0794</c:v>
                </c:pt>
                <c:pt idx="33">
                  <c:v>15.5453</c:v>
                </c:pt>
                <c:pt idx="34">
                  <c:v>15.9629</c:v>
                </c:pt>
                <c:pt idx="35">
                  <c:v>16.3096</c:v>
                </c:pt>
                <c:pt idx="36">
                  <c:v>16.8948</c:v>
                </c:pt>
                <c:pt idx="37">
                  <c:v>17.3496</c:v>
                </c:pt>
              </c:numCache>
            </c:numRef>
          </c:yVal>
          <c:smooth val="0"/>
        </c:ser>
        <c:axId val="95485819"/>
        <c:axId val="35251655"/>
      </c:scatterChart>
      <c:valAx>
        <c:axId val="95485819"/>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5251655"/>
        <c:crosses val="autoZero"/>
        <c:crossBetween val="midCat"/>
      </c:valAx>
      <c:valAx>
        <c:axId val="3525165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548581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Free fall
Moon</a:t>
            </a:r>
          </a:p>
        </c:rich>
      </c:tx>
      <c:overlay val="0"/>
      <c:spPr>
        <a:noFill/>
        <a:ln>
          <a:noFill/>
        </a:ln>
      </c:spPr>
    </c:title>
    <c:autoTitleDeleted val="0"/>
    <c:plotArea>
      <c:scatterChart>
        <c:scatterStyle val="lineMarker"/>
        <c:varyColors val="0"/>
        <c:ser>
          <c:idx val="0"/>
          <c:order val="0"/>
          <c:tx>
            <c:strRef>
              <c:f>categories</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58"/>
                <c:pt idx="0">
                  <c:v>0</c:v>
                </c:pt>
                <c:pt idx="1">
                  <c:v>0.125</c:v>
                </c:pt>
                <c:pt idx="2">
                  <c:v>0.267</c:v>
                </c:pt>
                <c:pt idx="3">
                  <c:v>0.375</c:v>
                </c:pt>
                <c:pt idx="4">
                  <c:v>0.5</c:v>
                </c:pt>
                <c:pt idx="5">
                  <c:v>0.625</c:v>
                </c:pt>
                <c:pt idx="6">
                  <c:v>0.75</c:v>
                </c:pt>
                <c:pt idx="7">
                  <c:v>0.875</c:v>
                </c:pt>
                <c:pt idx="8">
                  <c:v>1.016</c:v>
                </c:pt>
                <c:pt idx="9">
                  <c:v>1.125</c:v>
                </c:pt>
                <c:pt idx="10">
                  <c:v>1.25</c:v>
                </c:pt>
                <c:pt idx="11">
                  <c:v>1.375</c:v>
                </c:pt>
                <c:pt idx="12">
                  <c:v>1.501</c:v>
                </c:pt>
                <c:pt idx="13">
                  <c:v>1.643</c:v>
                </c:pt>
                <c:pt idx="14">
                  <c:v>1.751</c:v>
                </c:pt>
                <c:pt idx="15">
                  <c:v>1.877</c:v>
                </c:pt>
                <c:pt idx="16">
                  <c:v>2.018</c:v>
                </c:pt>
                <c:pt idx="17">
                  <c:v>2.127</c:v>
                </c:pt>
                <c:pt idx="18">
                  <c:v>2.266</c:v>
                </c:pt>
                <c:pt idx="19">
                  <c:v>2.393</c:v>
                </c:pt>
                <c:pt idx="20">
                  <c:v>2.501</c:v>
                </c:pt>
                <c:pt idx="21">
                  <c:v>2.641</c:v>
                </c:pt>
                <c:pt idx="22">
                  <c:v>2.75</c:v>
                </c:pt>
                <c:pt idx="23">
                  <c:v>2.875</c:v>
                </c:pt>
                <c:pt idx="24">
                  <c:v>3.016</c:v>
                </c:pt>
                <c:pt idx="25">
                  <c:v>3.125</c:v>
                </c:pt>
                <c:pt idx="26">
                  <c:v>3.266</c:v>
                </c:pt>
                <c:pt idx="27">
                  <c:v>3.391</c:v>
                </c:pt>
                <c:pt idx="28">
                  <c:v>3.502</c:v>
                </c:pt>
                <c:pt idx="29">
                  <c:v>3.641</c:v>
                </c:pt>
                <c:pt idx="30">
                  <c:v>3.75</c:v>
                </c:pt>
                <c:pt idx="31">
                  <c:v>3.875</c:v>
                </c:pt>
                <c:pt idx="32">
                  <c:v>4.016</c:v>
                </c:pt>
                <c:pt idx="33">
                  <c:v>4.141</c:v>
                </c:pt>
                <c:pt idx="34">
                  <c:v>4.25</c:v>
                </c:pt>
                <c:pt idx="35">
                  <c:v>4.375</c:v>
                </c:pt>
                <c:pt idx="36">
                  <c:v>4.5</c:v>
                </c:pt>
                <c:pt idx="37">
                  <c:v>4.625</c:v>
                </c:pt>
                <c:pt idx="38">
                  <c:v>4.75</c:v>
                </c:pt>
                <c:pt idx="39">
                  <c:v>4.875</c:v>
                </c:pt>
                <c:pt idx="40">
                  <c:v>5</c:v>
                </c:pt>
                <c:pt idx="41">
                  <c:v>5.142</c:v>
                </c:pt>
                <c:pt idx="42">
                  <c:v>5.25</c:v>
                </c:pt>
                <c:pt idx="43">
                  <c:v>5.377</c:v>
                </c:pt>
                <c:pt idx="44">
                  <c:v>5.5</c:v>
                </c:pt>
                <c:pt idx="45">
                  <c:v>5.625</c:v>
                </c:pt>
                <c:pt idx="46">
                  <c:v>5.752</c:v>
                </c:pt>
                <c:pt idx="47">
                  <c:v>5.875</c:v>
                </c:pt>
                <c:pt idx="48">
                  <c:v>6</c:v>
                </c:pt>
                <c:pt idx="49">
                  <c:v>6.125</c:v>
                </c:pt>
                <c:pt idx="50">
                  <c:v>6.253</c:v>
                </c:pt>
                <c:pt idx="51">
                  <c:v>6.391</c:v>
                </c:pt>
                <c:pt idx="52">
                  <c:v>6.501</c:v>
                </c:pt>
                <c:pt idx="53">
                  <c:v>6.641</c:v>
                </c:pt>
                <c:pt idx="54">
                  <c:v>6.75</c:v>
                </c:pt>
                <c:pt idx="55">
                  <c:v>6.875</c:v>
                </c:pt>
                <c:pt idx="56">
                  <c:v>7</c:v>
                </c:pt>
                <c:pt idx="57">
                  <c:v>7.125</c:v>
                </c:pt>
              </c:numCache>
            </c:numRef>
          </c:xVal>
          <c:yVal>
            <c:numRef>
              <c:f>1</c:f>
              <c:numCache>
                <c:formatCode>General</c:formatCode>
                <c:ptCount val="58"/>
                <c:pt idx="0">
                  <c:v>0</c:v>
                </c:pt>
                <c:pt idx="1">
                  <c:v>0.2031</c:v>
                </c:pt>
                <c:pt idx="2">
                  <c:v>0.4338</c:v>
                </c:pt>
                <c:pt idx="3">
                  <c:v>0.6093</c:v>
                </c:pt>
                <c:pt idx="4">
                  <c:v>0.8124</c:v>
                </c:pt>
                <c:pt idx="5">
                  <c:v>1.0154</c:v>
                </c:pt>
                <c:pt idx="6">
                  <c:v>1.2185</c:v>
                </c:pt>
                <c:pt idx="7">
                  <c:v>1.4216</c:v>
                </c:pt>
                <c:pt idx="8">
                  <c:v>1.6507</c:v>
                </c:pt>
                <c:pt idx="9">
                  <c:v>1.8278</c:v>
                </c:pt>
                <c:pt idx="10">
                  <c:v>2.0309</c:v>
                </c:pt>
                <c:pt idx="11">
                  <c:v>2.234</c:v>
                </c:pt>
                <c:pt idx="12">
                  <c:v>2.4387</c:v>
                </c:pt>
                <c:pt idx="13">
                  <c:v>2.6694</c:v>
                </c:pt>
                <c:pt idx="14">
                  <c:v>2.8448</c:v>
                </c:pt>
                <c:pt idx="15">
                  <c:v>3.0496</c:v>
                </c:pt>
                <c:pt idx="16">
                  <c:v>3.2786</c:v>
                </c:pt>
                <c:pt idx="17">
                  <c:v>3.4557</c:v>
                </c:pt>
                <c:pt idx="18">
                  <c:v>3.6816</c:v>
                </c:pt>
                <c:pt idx="19">
                  <c:v>3.8879</c:v>
                </c:pt>
                <c:pt idx="20">
                  <c:v>4.0634</c:v>
                </c:pt>
                <c:pt idx="21">
                  <c:v>4.2908</c:v>
                </c:pt>
                <c:pt idx="22">
                  <c:v>4.4679</c:v>
                </c:pt>
                <c:pt idx="23">
                  <c:v>4.671</c:v>
                </c:pt>
                <c:pt idx="24">
                  <c:v>4.9001</c:v>
                </c:pt>
                <c:pt idx="25">
                  <c:v>5.0772</c:v>
                </c:pt>
                <c:pt idx="26">
                  <c:v>5.3063</c:v>
                </c:pt>
                <c:pt idx="27">
                  <c:v>5.5094</c:v>
                </c:pt>
                <c:pt idx="28">
                  <c:v>5.6897</c:v>
                </c:pt>
                <c:pt idx="29">
                  <c:v>5.9155</c:v>
                </c:pt>
                <c:pt idx="30">
                  <c:v>6.0926</c:v>
                </c:pt>
                <c:pt idx="31">
                  <c:v>6.2957</c:v>
                </c:pt>
                <c:pt idx="32">
                  <c:v>6.5248</c:v>
                </c:pt>
                <c:pt idx="33">
                  <c:v>6.7279</c:v>
                </c:pt>
                <c:pt idx="34">
                  <c:v>6.905</c:v>
                </c:pt>
                <c:pt idx="35">
                  <c:v>7.1081</c:v>
                </c:pt>
                <c:pt idx="36">
                  <c:v>7.3112</c:v>
                </c:pt>
                <c:pt idx="37">
                  <c:v>7.5142</c:v>
                </c:pt>
                <c:pt idx="38">
                  <c:v>7.7173</c:v>
                </c:pt>
                <c:pt idx="39">
                  <c:v>7.9204</c:v>
                </c:pt>
                <c:pt idx="40">
                  <c:v>8.1235</c:v>
                </c:pt>
                <c:pt idx="41">
                  <c:v>8.3542</c:v>
                </c:pt>
                <c:pt idx="42">
                  <c:v>8.5297</c:v>
                </c:pt>
                <c:pt idx="43">
                  <c:v>8.736</c:v>
                </c:pt>
                <c:pt idx="44">
                  <c:v>8.9359</c:v>
                </c:pt>
                <c:pt idx="45">
                  <c:v>9.1389</c:v>
                </c:pt>
                <c:pt idx="46">
                  <c:v>9.3453</c:v>
                </c:pt>
                <c:pt idx="47">
                  <c:v>9.5451</c:v>
                </c:pt>
                <c:pt idx="48">
                  <c:v>9.7482</c:v>
                </c:pt>
                <c:pt idx="49">
                  <c:v>9.9513</c:v>
                </c:pt>
                <c:pt idx="50">
                  <c:v>10.1592</c:v>
                </c:pt>
                <c:pt idx="51">
                  <c:v>10.3835</c:v>
                </c:pt>
                <c:pt idx="52">
                  <c:v>10.5622</c:v>
                </c:pt>
                <c:pt idx="53">
                  <c:v>10.7896</c:v>
                </c:pt>
                <c:pt idx="54">
                  <c:v>10.9667</c:v>
                </c:pt>
                <c:pt idx="55">
                  <c:v>11.1698</c:v>
                </c:pt>
                <c:pt idx="56">
                  <c:v>11.3729</c:v>
                </c:pt>
                <c:pt idx="57">
                  <c:v>11.576</c:v>
                </c:pt>
              </c:numCache>
            </c:numRef>
          </c:yVal>
          <c:smooth val="0"/>
        </c:ser>
        <c:axId val="23801763"/>
        <c:axId val="31801639"/>
      </c:scatterChart>
      <c:valAx>
        <c:axId val="23801763"/>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1801639"/>
        <c:crosses val="autoZero"/>
        <c:crossBetween val="midCat"/>
      </c:valAx>
      <c:valAx>
        <c:axId val="3180163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3801763"/>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LibreOffice/6.4.4.2$Linux_X86_64 LibreOffice_project/40$Build-2</Application>
  <Pages>7</Pages>
  <Words>507</Words>
  <Characters>2440</Characters>
  <CharactersWithSpaces>2911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2020-07-03T18:41:00Z</dcterms:created>
  <dc:creator>cory trout</dc:creator>
  <dc:description/>
  <dc:language>en-GB</dc:language>
  <cp:lastModifiedBy/>
  <dcterms:modified xsi:type="dcterms:W3CDTF">2020-07-16T22:55:30Z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