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2C66C" w14:textId="77777777" w:rsidR="00C87F08" w:rsidRDefault="00C87F08" w:rsidP="00C87F08"/>
    <w:p w14:paraId="1952C4F3" w14:textId="77777777" w:rsidR="00C87F08" w:rsidRDefault="00C87F08" w:rsidP="00C87F08">
      <w:pPr>
        <w:jc w:val="center"/>
      </w:pPr>
      <w:r>
        <w:rPr>
          <w:noProof/>
          <w:lang w:val="en-US"/>
        </w:rPr>
        <w:drawing>
          <wp:inline distT="0" distB="0" distL="0" distR="0" wp14:anchorId="00B62F00" wp14:editId="6835CC65">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175A5C19" w14:textId="77777777" w:rsidR="00C87F08" w:rsidRDefault="00C87F08"/>
    <w:p w14:paraId="008BD8F1" w14:textId="77777777" w:rsidR="00C87F08" w:rsidRDefault="00C87F08"/>
    <w:p w14:paraId="100E4F53" w14:textId="77777777" w:rsidR="00C87F08" w:rsidRDefault="00C87F08"/>
    <w:p w14:paraId="1005D85B" w14:textId="77777777" w:rsidR="00C87F08" w:rsidRDefault="00C87F08"/>
    <w:p w14:paraId="4B49D8B0" w14:textId="77777777" w:rsidR="00C87F08" w:rsidRDefault="00C87F08"/>
    <w:p w14:paraId="6B0AADEA" w14:textId="77777777" w:rsidR="00C87F08" w:rsidRDefault="00C87F08"/>
    <w:p w14:paraId="13BEE797" w14:textId="77777777" w:rsidR="00C87F08" w:rsidRDefault="00C87F08"/>
    <w:p w14:paraId="1DC74FD1" w14:textId="77777777" w:rsidR="00C87F08" w:rsidRPr="002E0C5F" w:rsidRDefault="00C87F08" w:rsidP="00C87F08">
      <w:pPr>
        <w:jc w:val="center"/>
        <w:rPr>
          <w:b/>
          <w:caps/>
          <w:color w:val="C00000"/>
          <w:sz w:val="56"/>
        </w:rPr>
      </w:pPr>
      <w:r w:rsidRPr="002E0C5F">
        <w:rPr>
          <w:b/>
          <w:caps/>
          <w:color w:val="C00000"/>
          <w:sz w:val="56"/>
        </w:rPr>
        <w:t>Capstone Project Report</w:t>
      </w:r>
    </w:p>
    <w:p w14:paraId="024DD51A" w14:textId="77777777" w:rsidR="00C87F08" w:rsidRPr="002E0C5F" w:rsidRDefault="00C87F08" w:rsidP="00C87F08">
      <w:pPr>
        <w:jc w:val="center"/>
        <w:rPr>
          <w:b/>
          <w:color w:val="C00000"/>
          <w:sz w:val="44"/>
        </w:rPr>
      </w:pPr>
      <w:r w:rsidRPr="002E0C5F">
        <w:rPr>
          <w:b/>
          <w:color w:val="C00000"/>
          <w:sz w:val="44"/>
        </w:rPr>
        <w:t xml:space="preserve">Report </w:t>
      </w:r>
      <w:r w:rsidR="00AC7B82">
        <w:rPr>
          <w:b/>
          <w:color w:val="C00000"/>
          <w:sz w:val="44"/>
        </w:rPr>
        <w:t>6</w:t>
      </w:r>
      <w:r w:rsidRPr="002E0C5F">
        <w:rPr>
          <w:b/>
          <w:color w:val="C00000"/>
          <w:sz w:val="44"/>
        </w:rPr>
        <w:t xml:space="preserve"> – </w:t>
      </w:r>
      <w:r w:rsidR="00A95B3E">
        <w:rPr>
          <w:b/>
          <w:color w:val="C00000"/>
          <w:sz w:val="44"/>
        </w:rPr>
        <w:t xml:space="preserve">Software </w:t>
      </w:r>
      <w:r w:rsidR="00AC7B82">
        <w:rPr>
          <w:b/>
          <w:color w:val="C00000"/>
          <w:sz w:val="44"/>
        </w:rPr>
        <w:t>User Guides</w:t>
      </w:r>
    </w:p>
    <w:p w14:paraId="7EF5078E" w14:textId="77777777" w:rsidR="00C87F08" w:rsidRDefault="00C87F08" w:rsidP="00C87F08">
      <w:pPr>
        <w:jc w:val="center"/>
        <w:rPr>
          <w:b/>
          <w:sz w:val="44"/>
        </w:rPr>
      </w:pPr>
    </w:p>
    <w:p w14:paraId="192FCCE0" w14:textId="77777777" w:rsidR="00C87F08" w:rsidRDefault="00C87F08" w:rsidP="00C87F08">
      <w:pPr>
        <w:jc w:val="center"/>
        <w:rPr>
          <w:b/>
          <w:sz w:val="44"/>
        </w:rPr>
      </w:pPr>
    </w:p>
    <w:p w14:paraId="59D36259" w14:textId="77777777" w:rsidR="00C87F08" w:rsidRDefault="00C87F08" w:rsidP="00C87F08">
      <w:pPr>
        <w:jc w:val="center"/>
        <w:rPr>
          <w:b/>
          <w:sz w:val="44"/>
        </w:rPr>
      </w:pPr>
    </w:p>
    <w:p w14:paraId="1D70DA48" w14:textId="77777777" w:rsidR="00C87F08" w:rsidRDefault="00C87F08" w:rsidP="00C87F08">
      <w:pPr>
        <w:jc w:val="center"/>
        <w:rPr>
          <w:b/>
          <w:sz w:val="44"/>
        </w:rPr>
      </w:pPr>
    </w:p>
    <w:p w14:paraId="0D72CFDB" w14:textId="77777777" w:rsidR="00C87F08" w:rsidRDefault="00C87F08" w:rsidP="00C87F08">
      <w:pPr>
        <w:jc w:val="center"/>
        <w:rPr>
          <w:b/>
          <w:sz w:val="44"/>
        </w:rPr>
      </w:pPr>
    </w:p>
    <w:p w14:paraId="089CB3EB" w14:textId="77777777" w:rsidR="00C87F08" w:rsidRDefault="00C87F08" w:rsidP="00C87F08">
      <w:pPr>
        <w:jc w:val="center"/>
        <w:rPr>
          <w:b/>
          <w:sz w:val="44"/>
        </w:rPr>
      </w:pPr>
    </w:p>
    <w:p w14:paraId="7EAEEA0D" w14:textId="77777777" w:rsidR="00C87F08" w:rsidRDefault="00C87F08" w:rsidP="00C87F08">
      <w:pPr>
        <w:jc w:val="center"/>
        <w:rPr>
          <w:b/>
          <w:sz w:val="44"/>
        </w:rPr>
      </w:pPr>
    </w:p>
    <w:p w14:paraId="1755F0F5" w14:textId="77777777" w:rsidR="00C87F08" w:rsidRDefault="00C87F08" w:rsidP="00C87F08">
      <w:pPr>
        <w:jc w:val="center"/>
        <w:rPr>
          <w:b/>
          <w:sz w:val="44"/>
        </w:rPr>
      </w:pPr>
    </w:p>
    <w:p w14:paraId="5709A0C6" w14:textId="77777777" w:rsidR="00C87F08" w:rsidRDefault="00C87F08" w:rsidP="00C87F08">
      <w:pPr>
        <w:jc w:val="center"/>
        <w:rPr>
          <w:b/>
          <w:sz w:val="44"/>
        </w:rPr>
      </w:pPr>
    </w:p>
    <w:p w14:paraId="2769A77E" w14:textId="77777777" w:rsidR="00C87F08" w:rsidRPr="002E0C5F" w:rsidRDefault="00C87F08" w:rsidP="00C87F08">
      <w:pPr>
        <w:spacing w:before="89"/>
        <w:ind w:left="2526" w:right="2171"/>
        <w:jc w:val="center"/>
        <w:rPr>
          <w:rFonts w:cstheme="minorHAnsi"/>
          <w:sz w:val="28"/>
          <w:szCs w:val="28"/>
        </w:rPr>
      </w:pPr>
      <w:r>
        <w:t>– Hanoi, August 2026 –</w:t>
      </w:r>
    </w:p>
    <w:sdt>
      <w:sdtPr>
        <w:rPr>
          <w:rFonts w:asciiTheme="minorHAnsi" w:eastAsiaTheme="minorHAnsi" w:hAnsiTheme="minorHAnsi" w:cstheme="minorBidi"/>
          <w:color w:val="auto"/>
          <w:sz w:val="22"/>
          <w:szCs w:val="22"/>
          <w:lang w:val="en-GB"/>
        </w:rPr>
        <w:id w:val="144013842"/>
        <w:docPartObj>
          <w:docPartGallery w:val="Table of Contents"/>
          <w:docPartUnique/>
        </w:docPartObj>
      </w:sdtPr>
      <w:sdtEndPr>
        <w:rPr>
          <w:b/>
          <w:bCs/>
          <w:noProof/>
        </w:rPr>
      </w:sdtEndPr>
      <w:sdtContent>
        <w:p w14:paraId="1B4B6544" w14:textId="77777777" w:rsidR="00907D64" w:rsidRPr="00907D64" w:rsidRDefault="00907D64">
          <w:pPr>
            <w:pStyle w:val="TOCHeading"/>
            <w:rPr>
              <w:b/>
            </w:rPr>
          </w:pPr>
          <w:r w:rsidRPr="00907D64">
            <w:rPr>
              <w:b/>
            </w:rPr>
            <w:t>Table of Contents</w:t>
          </w:r>
        </w:p>
        <w:p w14:paraId="4FC9B0E0" w14:textId="211532A1" w:rsidR="007061E6" w:rsidRDefault="00907D64">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49259" w:history="1">
            <w:r w:rsidR="007061E6" w:rsidRPr="0000575E">
              <w:rPr>
                <w:rStyle w:val="Hyperlink"/>
                <w:noProof/>
              </w:rPr>
              <w:t>I. Record of Changes</w:t>
            </w:r>
            <w:r w:rsidR="007061E6">
              <w:rPr>
                <w:noProof/>
                <w:webHidden/>
              </w:rPr>
              <w:tab/>
            </w:r>
            <w:r w:rsidR="007061E6">
              <w:rPr>
                <w:noProof/>
                <w:webHidden/>
              </w:rPr>
              <w:fldChar w:fldCharType="begin"/>
            </w:r>
            <w:r w:rsidR="007061E6">
              <w:rPr>
                <w:noProof/>
                <w:webHidden/>
              </w:rPr>
              <w:instrText xml:space="preserve"> PAGEREF _Toc83349259 \h </w:instrText>
            </w:r>
            <w:r w:rsidR="007061E6">
              <w:rPr>
                <w:noProof/>
                <w:webHidden/>
              </w:rPr>
            </w:r>
            <w:r w:rsidR="007061E6">
              <w:rPr>
                <w:noProof/>
                <w:webHidden/>
              </w:rPr>
              <w:fldChar w:fldCharType="separate"/>
            </w:r>
            <w:r w:rsidR="007061E6">
              <w:rPr>
                <w:noProof/>
                <w:webHidden/>
              </w:rPr>
              <w:t>3</w:t>
            </w:r>
            <w:r w:rsidR="007061E6">
              <w:rPr>
                <w:noProof/>
                <w:webHidden/>
              </w:rPr>
              <w:fldChar w:fldCharType="end"/>
            </w:r>
          </w:hyperlink>
        </w:p>
        <w:p w14:paraId="079367A8" w14:textId="2EE1690D" w:rsidR="007061E6" w:rsidRDefault="000C287A">
          <w:pPr>
            <w:pStyle w:val="TOC1"/>
            <w:tabs>
              <w:tab w:val="right" w:leader="dot" w:pos="9040"/>
            </w:tabs>
            <w:rPr>
              <w:rFonts w:eastAsiaTheme="minorEastAsia"/>
              <w:noProof/>
              <w:sz w:val="24"/>
              <w:szCs w:val="24"/>
              <w:lang w:eastAsia="en-GB"/>
            </w:rPr>
          </w:pPr>
          <w:hyperlink w:anchor="_Toc83349260" w:history="1">
            <w:r w:rsidR="007061E6" w:rsidRPr="0000575E">
              <w:rPr>
                <w:rStyle w:val="Hyperlink"/>
                <w:noProof/>
              </w:rPr>
              <w:t>II. Release Package &amp; User Guides</w:t>
            </w:r>
            <w:r w:rsidR="007061E6">
              <w:rPr>
                <w:noProof/>
                <w:webHidden/>
              </w:rPr>
              <w:tab/>
            </w:r>
            <w:r w:rsidR="007061E6">
              <w:rPr>
                <w:noProof/>
                <w:webHidden/>
              </w:rPr>
              <w:fldChar w:fldCharType="begin"/>
            </w:r>
            <w:r w:rsidR="007061E6">
              <w:rPr>
                <w:noProof/>
                <w:webHidden/>
              </w:rPr>
              <w:instrText xml:space="preserve"> PAGEREF _Toc83349260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3CFC492F" w14:textId="468C9CE8" w:rsidR="007061E6" w:rsidRDefault="000C287A">
          <w:pPr>
            <w:pStyle w:val="TOC2"/>
            <w:tabs>
              <w:tab w:val="right" w:leader="dot" w:pos="9040"/>
            </w:tabs>
            <w:rPr>
              <w:rFonts w:eastAsiaTheme="minorEastAsia"/>
              <w:noProof/>
              <w:sz w:val="24"/>
              <w:szCs w:val="24"/>
              <w:lang w:eastAsia="en-GB"/>
            </w:rPr>
          </w:pPr>
          <w:hyperlink w:anchor="_Toc83349261" w:history="1">
            <w:r w:rsidR="007061E6" w:rsidRPr="0000575E">
              <w:rPr>
                <w:rStyle w:val="Hyperlink"/>
                <w:noProof/>
              </w:rPr>
              <w:t>1. Deliverable Package</w:t>
            </w:r>
            <w:r w:rsidR="007061E6">
              <w:rPr>
                <w:noProof/>
                <w:webHidden/>
              </w:rPr>
              <w:tab/>
            </w:r>
            <w:r w:rsidR="007061E6">
              <w:rPr>
                <w:noProof/>
                <w:webHidden/>
              </w:rPr>
              <w:fldChar w:fldCharType="begin"/>
            </w:r>
            <w:r w:rsidR="007061E6">
              <w:rPr>
                <w:noProof/>
                <w:webHidden/>
              </w:rPr>
              <w:instrText xml:space="preserve"> PAGEREF _Toc83349261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35906FE9" w14:textId="0CE3B3DD" w:rsidR="007061E6" w:rsidRDefault="000C287A">
          <w:pPr>
            <w:pStyle w:val="TOC2"/>
            <w:tabs>
              <w:tab w:val="right" w:leader="dot" w:pos="9040"/>
            </w:tabs>
            <w:rPr>
              <w:rFonts w:eastAsiaTheme="minorEastAsia"/>
              <w:noProof/>
              <w:sz w:val="24"/>
              <w:szCs w:val="24"/>
              <w:lang w:eastAsia="en-GB"/>
            </w:rPr>
          </w:pPr>
          <w:hyperlink w:anchor="_Toc83349262" w:history="1">
            <w:r w:rsidR="007061E6" w:rsidRPr="0000575E">
              <w:rPr>
                <w:rStyle w:val="Hyperlink"/>
                <w:noProof/>
              </w:rPr>
              <w:t>2. Installation Guides</w:t>
            </w:r>
            <w:r w:rsidR="007061E6">
              <w:rPr>
                <w:noProof/>
                <w:webHidden/>
              </w:rPr>
              <w:tab/>
            </w:r>
            <w:r w:rsidR="007061E6">
              <w:rPr>
                <w:noProof/>
                <w:webHidden/>
              </w:rPr>
              <w:fldChar w:fldCharType="begin"/>
            </w:r>
            <w:r w:rsidR="007061E6">
              <w:rPr>
                <w:noProof/>
                <w:webHidden/>
              </w:rPr>
              <w:instrText xml:space="preserve"> PAGEREF _Toc83349262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0121FD56" w14:textId="369B2894" w:rsidR="007061E6" w:rsidRDefault="000C287A">
          <w:pPr>
            <w:pStyle w:val="TOC3"/>
            <w:tabs>
              <w:tab w:val="right" w:leader="dot" w:pos="9040"/>
            </w:tabs>
            <w:rPr>
              <w:rFonts w:eastAsiaTheme="minorEastAsia"/>
              <w:noProof/>
              <w:sz w:val="24"/>
              <w:szCs w:val="24"/>
              <w:lang w:eastAsia="en-GB"/>
            </w:rPr>
          </w:pPr>
          <w:hyperlink w:anchor="_Toc83349263" w:history="1">
            <w:r w:rsidR="007061E6" w:rsidRPr="0000575E">
              <w:rPr>
                <w:rStyle w:val="Hyperlink"/>
                <w:noProof/>
              </w:rPr>
              <w:t>2.1 System Requirements</w:t>
            </w:r>
            <w:r w:rsidR="007061E6">
              <w:rPr>
                <w:noProof/>
                <w:webHidden/>
              </w:rPr>
              <w:tab/>
            </w:r>
            <w:r w:rsidR="007061E6">
              <w:rPr>
                <w:noProof/>
                <w:webHidden/>
              </w:rPr>
              <w:fldChar w:fldCharType="begin"/>
            </w:r>
            <w:r w:rsidR="007061E6">
              <w:rPr>
                <w:noProof/>
                <w:webHidden/>
              </w:rPr>
              <w:instrText xml:space="preserve"> PAGEREF _Toc83349263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10008EDB" w14:textId="5A40A37B" w:rsidR="007061E6" w:rsidRDefault="000C287A">
          <w:pPr>
            <w:pStyle w:val="TOC3"/>
            <w:tabs>
              <w:tab w:val="right" w:leader="dot" w:pos="9040"/>
            </w:tabs>
            <w:rPr>
              <w:rFonts w:eastAsiaTheme="minorEastAsia"/>
              <w:noProof/>
              <w:sz w:val="24"/>
              <w:szCs w:val="24"/>
              <w:lang w:eastAsia="en-GB"/>
            </w:rPr>
          </w:pPr>
          <w:hyperlink w:anchor="_Toc83349264" w:history="1">
            <w:r w:rsidR="007061E6" w:rsidRPr="0000575E">
              <w:rPr>
                <w:rStyle w:val="Hyperlink"/>
                <w:noProof/>
              </w:rPr>
              <w:t>2.2 Installation Instruction</w:t>
            </w:r>
            <w:r w:rsidR="007061E6">
              <w:rPr>
                <w:noProof/>
                <w:webHidden/>
              </w:rPr>
              <w:tab/>
            </w:r>
            <w:r w:rsidR="007061E6">
              <w:rPr>
                <w:noProof/>
                <w:webHidden/>
              </w:rPr>
              <w:fldChar w:fldCharType="begin"/>
            </w:r>
            <w:r w:rsidR="007061E6">
              <w:rPr>
                <w:noProof/>
                <w:webHidden/>
              </w:rPr>
              <w:instrText xml:space="preserve"> PAGEREF _Toc83349264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00752D66" w14:textId="5B849327" w:rsidR="007061E6" w:rsidRDefault="000C287A">
          <w:pPr>
            <w:pStyle w:val="TOC2"/>
            <w:tabs>
              <w:tab w:val="right" w:leader="dot" w:pos="9040"/>
            </w:tabs>
            <w:rPr>
              <w:rFonts w:eastAsiaTheme="minorEastAsia"/>
              <w:noProof/>
              <w:sz w:val="24"/>
              <w:szCs w:val="24"/>
              <w:lang w:eastAsia="en-GB"/>
            </w:rPr>
          </w:pPr>
          <w:hyperlink w:anchor="_Toc83349265" w:history="1">
            <w:r w:rsidR="007061E6" w:rsidRPr="0000575E">
              <w:rPr>
                <w:rStyle w:val="Hyperlink"/>
                <w:noProof/>
              </w:rPr>
              <w:t>3. User Manual</w:t>
            </w:r>
            <w:r w:rsidR="007061E6">
              <w:rPr>
                <w:noProof/>
                <w:webHidden/>
              </w:rPr>
              <w:tab/>
            </w:r>
            <w:r w:rsidR="007061E6">
              <w:rPr>
                <w:noProof/>
                <w:webHidden/>
              </w:rPr>
              <w:fldChar w:fldCharType="begin"/>
            </w:r>
            <w:r w:rsidR="007061E6">
              <w:rPr>
                <w:noProof/>
                <w:webHidden/>
              </w:rPr>
              <w:instrText xml:space="preserve"> PAGEREF _Toc83349265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2A5B45C2" w14:textId="7F11672B" w:rsidR="007061E6" w:rsidRDefault="000C287A">
          <w:pPr>
            <w:pStyle w:val="TOC3"/>
            <w:tabs>
              <w:tab w:val="right" w:leader="dot" w:pos="9040"/>
            </w:tabs>
            <w:rPr>
              <w:rFonts w:eastAsiaTheme="minorEastAsia"/>
              <w:noProof/>
              <w:sz w:val="24"/>
              <w:szCs w:val="24"/>
              <w:lang w:eastAsia="en-GB"/>
            </w:rPr>
          </w:pPr>
          <w:hyperlink w:anchor="_Toc83349266" w:history="1">
            <w:r w:rsidR="007061E6" w:rsidRPr="0000575E">
              <w:rPr>
                <w:rStyle w:val="Hyperlink"/>
                <w:noProof/>
              </w:rPr>
              <w:t>3.1 Overview</w:t>
            </w:r>
            <w:r w:rsidR="007061E6">
              <w:rPr>
                <w:noProof/>
                <w:webHidden/>
              </w:rPr>
              <w:tab/>
            </w:r>
            <w:r w:rsidR="007061E6">
              <w:rPr>
                <w:noProof/>
                <w:webHidden/>
              </w:rPr>
              <w:fldChar w:fldCharType="begin"/>
            </w:r>
            <w:r w:rsidR="007061E6">
              <w:rPr>
                <w:noProof/>
                <w:webHidden/>
              </w:rPr>
              <w:instrText xml:space="preserve"> PAGEREF _Toc83349266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0A8FFF4E" w14:textId="3D26212B" w:rsidR="007061E6" w:rsidRDefault="000C287A">
          <w:pPr>
            <w:pStyle w:val="TOC3"/>
            <w:tabs>
              <w:tab w:val="right" w:leader="dot" w:pos="9040"/>
            </w:tabs>
            <w:rPr>
              <w:rFonts w:eastAsiaTheme="minorEastAsia"/>
              <w:noProof/>
              <w:sz w:val="24"/>
              <w:szCs w:val="24"/>
              <w:lang w:eastAsia="en-GB"/>
            </w:rPr>
          </w:pPr>
          <w:hyperlink w:anchor="_Toc83349267" w:history="1">
            <w:r w:rsidR="007061E6" w:rsidRPr="0000575E">
              <w:rPr>
                <w:rStyle w:val="Hyperlink"/>
                <w:noProof/>
              </w:rPr>
              <w:t>3.2 Workflow 1</w:t>
            </w:r>
            <w:r w:rsidR="007061E6">
              <w:rPr>
                <w:noProof/>
                <w:webHidden/>
              </w:rPr>
              <w:tab/>
            </w:r>
            <w:r w:rsidR="007061E6">
              <w:rPr>
                <w:noProof/>
                <w:webHidden/>
              </w:rPr>
              <w:fldChar w:fldCharType="begin"/>
            </w:r>
            <w:r w:rsidR="007061E6">
              <w:rPr>
                <w:noProof/>
                <w:webHidden/>
              </w:rPr>
              <w:instrText xml:space="preserve"> PAGEREF _Toc83349267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5142162C" w14:textId="2B361159" w:rsidR="007061E6" w:rsidRDefault="000C287A">
          <w:pPr>
            <w:pStyle w:val="TOC3"/>
            <w:tabs>
              <w:tab w:val="right" w:leader="dot" w:pos="9040"/>
            </w:tabs>
            <w:rPr>
              <w:rFonts w:eastAsiaTheme="minorEastAsia"/>
              <w:noProof/>
              <w:sz w:val="24"/>
              <w:szCs w:val="24"/>
              <w:lang w:eastAsia="en-GB"/>
            </w:rPr>
          </w:pPr>
          <w:hyperlink w:anchor="_Toc83349268" w:history="1">
            <w:r w:rsidR="007061E6" w:rsidRPr="0000575E">
              <w:rPr>
                <w:rStyle w:val="Hyperlink"/>
                <w:noProof/>
              </w:rPr>
              <w:t>3.3 Workflow 2</w:t>
            </w:r>
            <w:r w:rsidR="007061E6">
              <w:rPr>
                <w:noProof/>
                <w:webHidden/>
              </w:rPr>
              <w:tab/>
            </w:r>
            <w:r w:rsidR="007061E6">
              <w:rPr>
                <w:noProof/>
                <w:webHidden/>
              </w:rPr>
              <w:fldChar w:fldCharType="begin"/>
            </w:r>
            <w:r w:rsidR="007061E6">
              <w:rPr>
                <w:noProof/>
                <w:webHidden/>
              </w:rPr>
              <w:instrText xml:space="preserve"> PAGEREF _Toc83349268 \h </w:instrText>
            </w:r>
            <w:r w:rsidR="007061E6">
              <w:rPr>
                <w:noProof/>
                <w:webHidden/>
              </w:rPr>
            </w:r>
            <w:r w:rsidR="007061E6">
              <w:rPr>
                <w:noProof/>
                <w:webHidden/>
              </w:rPr>
              <w:fldChar w:fldCharType="separate"/>
            </w:r>
            <w:r w:rsidR="007061E6">
              <w:rPr>
                <w:noProof/>
                <w:webHidden/>
              </w:rPr>
              <w:t>4</w:t>
            </w:r>
            <w:r w:rsidR="007061E6">
              <w:rPr>
                <w:noProof/>
                <w:webHidden/>
              </w:rPr>
              <w:fldChar w:fldCharType="end"/>
            </w:r>
          </w:hyperlink>
        </w:p>
        <w:p w14:paraId="0527D379" w14:textId="6F5970B8" w:rsidR="00907D64" w:rsidRDefault="00907D64">
          <w:r>
            <w:rPr>
              <w:b/>
              <w:bCs/>
              <w:noProof/>
            </w:rPr>
            <w:fldChar w:fldCharType="end"/>
          </w:r>
        </w:p>
      </w:sdtContent>
    </w:sdt>
    <w:p w14:paraId="63E88173" w14:textId="77777777" w:rsidR="007B7BC4" w:rsidRDefault="007B7BC4">
      <w:pPr>
        <w:rPr>
          <w:rFonts w:asciiTheme="majorHAnsi" w:eastAsiaTheme="majorEastAsia" w:hAnsiTheme="majorHAnsi" w:cstheme="majorBidi"/>
          <w:b/>
          <w:color w:val="C00000"/>
          <w:sz w:val="32"/>
          <w:szCs w:val="32"/>
        </w:rPr>
      </w:pPr>
      <w:r>
        <w:br w:type="page"/>
      </w:r>
    </w:p>
    <w:p w14:paraId="3D5DB27F" w14:textId="77777777" w:rsidR="007061E6" w:rsidRPr="002500C5" w:rsidRDefault="007061E6" w:rsidP="007061E6">
      <w:pPr>
        <w:pStyle w:val="Heading1"/>
      </w:pPr>
      <w:bookmarkStart w:id="0" w:name="_Toc83330272"/>
      <w:bookmarkStart w:id="1" w:name="_Toc83330363"/>
      <w:bookmarkStart w:id="2" w:name="_Toc83349259"/>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061E6" w14:paraId="34D5B964" w14:textId="77777777" w:rsidTr="00B60A64">
        <w:tc>
          <w:tcPr>
            <w:tcW w:w="990" w:type="dxa"/>
            <w:shd w:val="clear" w:color="auto" w:fill="FFE8E1"/>
          </w:tcPr>
          <w:p w14:paraId="4E957FE9" w14:textId="77777777" w:rsidR="007061E6" w:rsidRDefault="007061E6" w:rsidP="00B60A64">
            <w:pPr>
              <w:pStyle w:val="HeadingLv1"/>
            </w:pPr>
            <w:r>
              <w:t>Date</w:t>
            </w:r>
          </w:p>
        </w:tc>
        <w:tc>
          <w:tcPr>
            <w:tcW w:w="810" w:type="dxa"/>
            <w:shd w:val="clear" w:color="auto" w:fill="FFE8E1"/>
          </w:tcPr>
          <w:p w14:paraId="5858FC50" w14:textId="77777777" w:rsidR="007061E6" w:rsidRDefault="007061E6" w:rsidP="00B60A64">
            <w:pPr>
              <w:pStyle w:val="HeadingLv1"/>
            </w:pPr>
            <w:r>
              <w:t>A*</w:t>
            </w:r>
            <w:r>
              <w:br/>
              <w:t>M, D</w:t>
            </w:r>
          </w:p>
        </w:tc>
        <w:tc>
          <w:tcPr>
            <w:tcW w:w="1234" w:type="dxa"/>
            <w:shd w:val="clear" w:color="auto" w:fill="FFE8E1"/>
          </w:tcPr>
          <w:p w14:paraId="68D46DC4" w14:textId="77777777" w:rsidR="007061E6" w:rsidRDefault="007061E6" w:rsidP="00B60A64">
            <w:pPr>
              <w:pStyle w:val="HeadingLv1"/>
            </w:pPr>
            <w:r>
              <w:t>In charge</w:t>
            </w:r>
          </w:p>
        </w:tc>
        <w:tc>
          <w:tcPr>
            <w:tcW w:w="5770" w:type="dxa"/>
            <w:shd w:val="clear" w:color="auto" w:fill="FFE8E1"/>
          </w:tcPr>
          <w:p w14:paraId="3883D6D7" w14:textId="77777777" w:rsidR="007061E6" w:rsidRDefault="007061E6" w:rsidP="00B60A64">
            <w:pPr>
              <w:pStyle w:val="HeadingLv1"/>
            </w:pPr>
            <w:r>
              <w:t>Change Description</w:t>
            </w:r>
          </w:p>
        </w:tc>
      </w:tr>
      <w:tr w:rsidR="007061E6" w14:paraId="74428534" w14:textId="77777777" w:rsidTr="00B60A64">
        <w:tc>
          <w:tcPr>
            <w:tcW w:w="990" w:type="dxa"/>
          </w:tcPr>
          <w:p>
            <w:r/>
            <w:r>
              <w:rPr>
                <w:b w:val="0"/>
                <w:sz w:val="17"/>
              </w:rPr>
              <w:t>14/08/2026</w:t>
            </w:r>
          </w:p>
        </w:tc>
        <w:tc>
          <w:tcPr>
            <w:tcW w:w="810" w:type="dxa"/>
          </w:tcPr>
          <w:p>
            <w:r/>
            <w:r>
              <w:rPr>
                <w:b w:val="0"/>
                <w:sz w:val="17"/>
              </w:rPr>
              <w:t>A</w:t>
            </w:r>
          </w:p>
        </w:tc>
        <w:tc>
          <w:tcPr>
            <w:tcW w:w="1234" w:type="dxa"/>
          </w:tcPr>
          <w:p>
            <w:r/>
            <w:r>
              <w:rPr>
                <w:b w:val="0"/>
                <w:sz w:val="17"/>
              </w:rPr>
              <w:t>BE Team</w:t>
            </w:r>
          </w:p>
        </w:tc>
        <w:tc>
          <w:tcPr>
            <w:tcW w:w="5770" w:type="dxa"/>
          </w:tcPr>
          <w:p>
            <w:r/>
            <w:r>
              <w:rPr>
                <w:b w:val="0"/>
                <w:sz w:val="17"/>
              </w:rPr>
              <w:t>Initial User Guides authored from the project's own verified README-SETUP.md (already used successfully to onboard the front-end team) — installation steps and the 3 workflows below are real, tested endpoint calls, not illustrative examples.</w:t>
            </w:r>
          </w:p>
        </w:tc>
      </w:tr>
      <w:tr w:rsidR="007061E6" w14:paraId="5B08A43F" w14:textId="77777777" w:rsidTr="00B60A64">
        <w:tc>
          <w:tcPr>
            <w:tcW w:w="990" w:type="dxa"/>
          </w:tcPr>
          <w:p w14:paraId="36FD0863" w14:textId="77777777" w:rsidR="007061E6" w:rsidRDefault="007061E6" w:rsidP="00B60A64">
            <w:pPr>
              <w:pStyle w:val="Bang0"/>
            </w:pPr>
            <w:r>
              <w:rPr>
                <w:b w:val="0"/>
              </w:rPr>
              <w:t>15/08/2026</w:t>
            </w:r>
          </w:p>
        </w:tc>
        <w:tc>
          <w:tcPr>
            <w:tcW w:w="810" w:type="dxa"/>
          </w:tcPr>
          <w:p w14:paraId="24379868" w14:textId="77777777" w:rsidR="007061E6" w:rsidRDefault="007061E6" w:rsidP="00B60A64">
            <w:pPr>
              <w:pStyle w:val="Bang0"/>
            </w:pPr>
            <w:r>
              <w:rPr>
                <w:b w:val="0"/>
              </w:rPr>
              <w:t>M</w:t>
            </w:r>
          </w:p>
        </w:tc>
        <w:tc>
          <w:tcPr>
            <w:tcW w:w="1234" w:type="dxa"/>
          </w:tcPr>
          <w:p w14:paraId="03DE8A7A" w14:textId="77777777" w:rsidR="007061E6" w:rsidRDefault="007061E6" w:rsidP="00B60A64">
            <w:pPr>
              <w:pStyle w:val="Bang0"/>
            </w:pPr>
            <w:r>
              <w:rPr>
                <w:b w:val="0"/>
              </w:rPr>
              <w:t>Hà Đông Hải</w:t>
            </w:r>
          </w:p>
        </w:tc>
        <w:tc>
          <w:tcPr>
            <w:tcW w:w="5770" w:type="dxa"/>
          </w:tcPr>
          <w:p w14:paraId="0B7322BF" w14:textId="77777777" w:rsidR="007061E6" w:rsidRDefault="007061E6" w:rsidP="00B60A64">
            <w:pPr>
              <w:pStyle w:val="Bang0"/>
            </w:pPr>
            <w:r>
              <w:rPr>
                <w:b w:val="0"/>
              </w:rPr>
              <w:t>Rewritten as a user guide for the complete platform: deliverables now list all five client applications, the microservice and the deployed environment; installation covers using the deployed system, deploying to Azure, and running every tier locally; the user manual replaces the Swagger/API walkthrough with screen-by-screen workflows for Owner, Admin, Audience and Staff.</w:t>
            </w:r>
          </w:p>
        </w:tc>
      </w:tr>
      <w:tr w:rsidR="007061E6" w14:paraId="752BEF03" w14:textId="77777777" w:rsidTr="00B60A64">
        <w:tc>
          <w:tcPr>
            <w:tcW w:w="990" w:type="dxa"/>
          </w:tcPr>
          <w:p w14:paraId="7591DAD4" w14:textId="77777777" w:rsidR="007061E6" w:rsidRDefault="007061E6" w:rsidP="00B60A64">
            <w:pPr>
              <w:pStyle w:val="Bang0"/>
            </w:pPr>
          </w:p>
        </w:tc>
        <w:tc>
          <w:tcPr>
            <w:tcW w:w="810" w:type="dxa"/>
          </w:tcPr>
          <w:p w14:paraId="7784DDF7" w14:textId="77777777" w:rsidR="007061E6" w:rsidRDefault="007061E6" w:rsidP="00B60A64">
            <w:pPr>
              <w:pStyle w:val="Bang0"/>
            </w:pPr>
          </w:p>
        </w:tc>
        <w:tc>
          <w:tcPr>
            <w:tcW w:w="1234" w:type="dxa"/>
          </w:tcPr>
          <w:p w14:paraId="3F443CC0" w14:textId="77777777" w:rsidR="007061E6" w:rsidRDefault="007061E6" w:rsidP="00B60A64">
            <w:pPr>
              <w:pStyle w:val="Bang0"/>
            </w:pPr>
          </w:p>
        </w:tc>
        <w:tc>
          <w:tcPr>
            <w:tcW w:w="5770" w:type="dxa"/>
          </w:tcPr>
          <w:p w14:paraId="37DB5A82" w14:textId="77777777" w:rsidR="007061E6" w:rsidRDefault="007061E6" w:rsidP="00B60A64">
            <w:pPr>
              <w:pStyle w:val="Bang0"/>
            </w:pPr>
          </w:p>
        </w:tc>
      </w:tr>
      <w:tr w:rsidR="007061E6" w14:paraId="05EF66FC" w14:textId="77777777" w:rsidTr="00B60A64">
        <w:tc>
          <w:tcPr>
            <w:tcW w:w="990" w:type="dxa"/>
          </w:tcPr>
          <w:p w14:paraId="317D325D" w14:textId="77777777" w:rsidR="007061E6" w:rsidRDefault="007061E6" w:rsidP="00B60A64">
            <w:pPr>
              <w:pStyle w:val="Bang0"/>
            </w:pPr>
          </w:p>
        </w:tc>
        <w:tc>
          <w:tcPr>
            <w:tcW w:w="810" w:type="dxa"/>
          </w:tcPr>
          <w:p w14:paraId="2B01DF65" w14:textId="77777777" w:rsidR="007061E6" w:rsidRDefault="007061E6" w:rsidP="00B60A64">
            <w:pPr>
              <w:pStyle w:val="Bang0"/>
            </w:pPr>
          </w:p>
        </w:tc>
        <w:tc>
          <w:tcPr>
            <w:tcW w:w="1234" w:type="dxa"/>
          </w:tcPr>
          <w:p w14:paraId="01E3F5B8" w14:textId="77777777" w:rsidR="007061E6" w:rsidRDefault="007061E6" w:rsidP="00B60A64">
            <w:pPr>
              <w:pStyle w:val="Bang0"/>
            </w:pPr>
          </w:p>
        </w:tc>
        <w:tc>
          <w:tcPr>
            <w:tcW w:w="5770" w:type="dxa"/>
          </w:tcPr>
          <w:p w14:paraId="21564706" w14:textId="77777777" w:rsidR="007061E6" w:rsidRDefault="007061E6" w:rsidP="00B60A64">
            <w:pPr>
              <w:pStyle w:val="Bang0"/>
            </w:pPr>
          </w:p>
        </w:tc>
      </w:tr>
      <w:tr w:rsidR="007061E6" w14:paraId="7361A4BB" w14:textId="77777777" w:rsidTr="00B60A64">
        <w:tc>
          <w:tcPr>
            <w:tcW w:w="990" w:type="dxa"/>
          </w:tcPr>
          <w:p w14:paraId="4C4E85B2" w14:textId="77777777" w:rsidR="007061E6" w:rsidRDefault="007061E6" w:rsidP="00B60A64">
            <w:pPr>
              <w:pStyle w:val="Bang0"/>
            </w:pPr>
          </w:p>
        </w:tc>
        <w:tc>
          <w:tcPr>
            <w:tcW w:w="810" w:type="dxa"/>
          </w:tcPr>
          <w:p w14:paraId="7B6BE7AF" w14:textId="77777777" w:rsidR="007061E6" w:rsidRDefault="007061E6" w:rsidP="00B60A64">
            <w:pPr>
              <w:pStyle w:val="Bang0"/>
            </w:pPr>
          </w:p>
        </w:tc>
        <w:tc>
          <w:tcPr>
            <w:tcW w:w="1234" w:type="dxa"/>
          </w:tcPr>
          <w:p w14:paraId="75A42599" w14:textId="77777777" w:rsidR="007061E6" w:rsidRDefault="007061E6" w:rsidP="00B60A64">
            <w:pPr>
              <w:pStyle w:val="Bang0"/>
            </w:pPr>
          </w:p>
        </w:tc>
        <w:tc>
          <w:tcPr>
            <w:tcW w:w="5770" w:type="dxa"/>
          </w:tcPr>
          <w:p w14:paraId="354356B1" w14:textId="77777777" w:rsidR="007061E6" w:rsidRDefault="007061E6" w:rsidP="00B60A64">
            <w:pPr>
              <w:pStyle w:val="Bang0"/>
            </w:pPr>
          </w:p>
        </w:tc>
      </w:tr>
      <w:tr w:rsidR="007061E6" w14:paraId="69156C81" w14:textId="77777777" w:rsidTr="00B60A64">
        <w:tc>
          <w:tcPr>
            <w:tcW w:w="990" w:type="dxa"/>
          </w:tcPr>
          <w:p w14:paraId="03F99160" w14:textId="77777777" w:rsidR="007061E6" w:rsidRDefault="007061E6" w:rsidP="00B60A64">
            <w:pPr>
              <w:pStyle w:val="Bang0"/>
            </w:pPr>
          </w:p>
        </w:tc>
        <w:tc>
          <w:tcPr>
            <w:tcW w:w="810" w:type="dxa"/>
          </w:tcPr>
          <w:p w14:paraId="184AB1AC" w14:textId="77777777" w:rsidR="007061E6" w:rsidRDefault="007061E6" w:rsidP="00B60A64">
            <w:pPr>
              <w:pStyle w:val="Bang0"/>
            </w:pPr>
          </w:p>
        </w:tc>
        <w:tc>
          <w:tcPr>
            <w:tcW w:w="1234" w:type="dxa"/>
          </w:tcPr>
          <w:p w14:paraId="048EC3E4" w14:textId="77777777" w:rsidR="007061E6" w:rsidRDefault="007061E6" w:rsidP="00B60A64">
            <w:pPr>
              <w:pStyle w:val="Bang0"/>
            </w:pPr>
          </w:p>
        </w:tc>
        <w:tc>
          <w:tcPr>
            <w:tcW w:w="5770" w:type="dxa"/>
          </w:tcPr>
          <w:p w14:paraId="73FDC257" w14:textId="77777777" w:rsidR="007061E6" w:rsidRDefault="007061E6" w:rsidP="00B60A64">
            <w:pPr>
              <w:pStyle w:val="Bang0"/>
            </w:pPr>
          </w:p>
        </w:tc>
      </w:tr>
      <w:tr w:rsidR="007061E6" w14:paraId="01168B86" w14:textId="77777777" w:rsidTr="00B60A64">
        <w:tc>
          <w:tcPr>
            <w:tcW w:w="990" w:type="dxa"/>
          </w:tcPr>
          <w:p w14:paraId="75F07617" w14:textId="77777777" w:rsidR="007061E6" w:rsidRDefault="007061E6" w:rsidP="00B60A64">
            <w:pPr>
              <w:pStyle w:val="Bang0"/>
            </w:pPr>
          </w:p>
        </w:tc>
        <w:tc>
          <w:tcPr>
            <w:tcW w:w="810" w:type="dxa"/>
          </w:tcPr>
          <w:p w14:paraId="24EF3968" w14:textId="77777777" w:rsidR="007061E6" w:rsidRDefault="007061E6" w:rsidP="00B60A64">
            <w:pPr>
              <w:pStyle w:val="Bang0"/>
            </w:pPr>
          </w:p>
        </w:tc>
        <w:tc>
          <w:tcPr>
            <w:tcW w:w="1234" w:type="dxa"/>
          </w:tcPr>
          <w:p w14:paraId="087A17BC" w14:textId="77777777" w:rsidR="007061E6" w:rsidRDefault="007061E6" w:rsidP="00B60A64">
            <w:pPr>
              <w:pStyle w:val="Bang0"/>
            </w:pPr>
          </w:p>
        </w:tc>
        <w:tc>
          <w:tcPr>
            <w:tcW w:w="5770" w:type="dxa"/>
          </w:tcPr>
          <w:p w14:paraId="4EED4FAD" w14:textId="77777777" w:rsidR="007061E6" w:rsidRDefault="007061E6" w:rsidP="00B60A64">
            <w:pPr>
              <w:pStyle w:val="Bang0"/>
            </w:pPr>
          </w:p>
        </w:tc>
      </w:tr>
      <w:tr w:rsidR="007061E6" w14:paraId="7D4F59F1" w14:textId="77777777" w:rsidTr="00B60A64">
        <w:tc>
          <w:tcPr>
            <w:tcW w:w="990" w:type="dxa"/>
          </w:tcPr>
          <w:p w14:paraId="58F347D4" w14:textId="77777777" w:rsidR="007061E6" w:rsidRDefault="007061E6" w:rsidP="00B60A64">
            <w:pPr>
              <w:pStyle w:val="Bang0"/>
            </w:pPr>
          </w:p>
        </w:tc>
        <w:tc>
          <w:tcPr>
            <w:tcW w:w="810" w:type="dxa"/>
          </w:tcPr>
          <w:p w14:paraId="08177A0B" w14:textId="77777777" w:rsidR="007061E6" w:rsidRDefault="007061E6" w:rsidP="00B60A64">
            <w:pPr>
              <w:pStyle w:val="Bang0"/>
            </w:pPr>
          </w:p>
        </w:tc>
        <w:tc>
          <w:tcPr>
            <w:tcW w:w="1234" w:type="dxa"/>
          </w:tcPr>
          <w:p w14:paraId="07B1B7C4" w14:textId="77777777" w:rsidR="007061E6" w:rsidRDefault="007061E6" w:rsidP="00B60A64">
            <w:pPr>
              <w:pStyle w:val="Bang0"/>
            </w:pPr>
          </w:p>
        </w:tc>
        <w:tc>
          <w:tcPr>
            <w:tcW w:w="5770" w:type="dxa"/>
          </w:tcPr>
          <w:p w14:paraId="47E37D6B" w14:textId="77777777" w:rsidR="007061E6" w:rsidRDefault="007061E6" w:rsidP="00B60A64">
            <w:pPr>
              <w:pStyle w:val="Bang0"/>
            </w:pPr>
          </w:p>
        </w:tc>
      </w:tr>
      <w:tr w:rsidR="007061E6" w14:paraId="02F85CBA" w14:textId="77777777" w:rsidTr="00B60A64">
        <w:tc>
          <w:tcPr>
            <w:tcW w:w="990" w:type="dxa"/>
          </w:tcPr>
          <w:p w14:paraId="683A7E37" w14:textId="77777777" w:rsidR="007061E6" w:rsidRDefault="007061E6" w:rsidP="00B60A64">
            <w:pPr>
              <w:pStyle w:val="Bang0"/>
            </w:pPr>
          </w:p>
        </w:tc>
        <w:tc>
          <w:tcPr>
            <w:tcW w:w="810" w:type="dxa"/>
          </w:tcPr>
          <w:p w14:paraId="2708F400" w14:textId="77777777" w:rsidR="007061E6" w:rsidRDefault="007061E6" w:rsidP="00B60A64">
            <w:pPr>
              <w:pStyle w:val="Bang0"/>
            </w:pPr>
          </w:p>
        </w:tc>
        <w:tc>
          <w:tcPr>
            <w:tcW w:w="1234" w:type="dxa"/>
          </w:tcPr>
          <w:p w14:paraId="1D856CAF" w14:textId="77777777" w:rsidR="007061E6" w:rsidRDefault="007061E6" w:rsidP="00B60A64">
            <w:pPr>
              <w:pStyle w:val="Bang0"/>
            </w:pPr>
          </w:p>
        </w:tc>
        <w:tc>
          <w:tcPr>
            <w:tcW w:w="5770" w:type="dxa"/>
          </w:tcPr>
          <w:p w14:paraId="22A73065" w14:textId="77777777" w:rsidR="007061E6" w:rsidRDefault="007061E6" w:rsidP="00B60A64">
            <w:pPr>
              <w:pStyle w:val="Bang0"/>
            </w:pPr>
          </w:p>
        </w:tc>
      </w:tr>
      <w:tr w:rsidR="007061E6" w14:paraId="5DDA44E5" w14:textId="77777777" w:rsidTr="00B60A64">
        <w:tc>
          <w:tcPr>
            <w:tcW w:w="990" w:type="dxa"/>
          </w:tcPr>
          <w:p w14:paraId="0D09EA5F" w14:textId="77777777" w:rsidR="007061E6" w:rsidRDefault="007061E6" w:rsidP="00B60A64">
            <w:pPr>
              <w:pStyle w:val="Bang0"/>
            </w:pPr>
          </w:p>
        </w:tc>
        <w:tc>
          <w:tcPr>
            <w:tcW w:w="810" w:type="dxa"/>
          </w:tcPr>
          <w:p w14:paraId="5070E4BA" w14:textId="77777777" w:rsidR="007061E6" w:rsidRDefault="007061E6" w:rsidP="00B60A64">
            <w:pPr>
              <w:pStyle w:val="Bang0"/>
            </w:pPr>
          </w:p>
        </w:tc>
        <w:tc>
          <w:tcPr>
            <w:tcW w:w="1234" w:type="dxa"/>
          </w:tcPr>
          <w:p w14:paraId="16039678" w14:textId="77777777" w:rsidR="007061E6" w:rsidRDefault="007061E6" w:rsidP="00B60A64">
            <w:pPr>
              <w:pStyle w:val="Bang0"/>
            </w:pPr>
          </w:p>
        </w:tc>
        <w:tc>
          <w:tcPr>
            <w:tcW w:w="5770" w:type="dxa"/>
          </w:tcPr>
          <w:p w14:paraId="22B03B28" w14:textId="77777777" w:rsidR="007061E6" w:rsidRDefault="007061E6" w:rsidP="00B60A64">
            <w:pPr>
              <w:pStyle w:val="Bang0"/>
            </w:pPr>
          </w:p>
        </w:tc>
      </w:tr>
      <w:tr w:rsidR="007061E6" w14:paraId="593D2C0A" w14:textId="77777777" w:rsidTr="00B60A64">
        <w:tc>
          <w:tcPr>
            <w:tcW w:w="990" w:type="dxa"/>
          </w:tcPr>
          <w:p w14:paraId="1991FD74" w14:textId="77777777" w:rsidR="007061E6" w:rsidRDefault="007061E6" w:rsidP="00B60A64">
            <w:pPr>
              <w:pStyle w:val="Bang0"/>
            </w:pPr>
          </w:p>
        </w:tc>
        <w:tc>
          <w:tcPr>
            <w:tcW w:w="810" w:type="dxa"/>
          </w:tcPr>
          <w:p w14:paraId="10B51313" w14:textId="77777777" w:rsidR="007061E6" w:rsidRDefault="007061E6" w:rsidP="00B60A64">
            <w:pPr>
              <w:pStyle w:val="Bang0"/>
            </w:pPr>
          </w:p>
        </w:tc>
        <w:tc>
          <w:tcPr>
            <w:tcW w:w="1234" w:type="dxa"/>
          </w:tcPr>
          <w:p w14:paraId="0DA981C5" w14:textId="77777777" w:rsidR="007061E6" w:rsidRDefault="007061E6" w:rsidP="00B60A64">
            <w:pPr>
              <w:pStyle w:val="Bang0"/>
            </w:pPr>
          </w:p>
        </w:tc>
        <w:tc>
          <w:tcPr>
            <w:tcW w:w="5770" w:type="dxa"/>
          </w:tcPr>
          <w:p w14:paraId="3AE40915" w14:textId="77777777" w:rsidR="007061E6" w:rsidRDefault="007061E6" w:rsidP="00B60A64">
            <w:pPr>
              <w:pStyle w:val="Bang0"/>
            </w:pPr>
          </w:p>
        </w:tc>
      </w:tr>
      <w:tr w:rsidR="007061E6" w14:paraId="48B34499" w14:textId="77777777" w:rsidTr="00B60A64">
        <w:tc>
          <w:tcPr>
            <w:tcW w:w="990" w:type="dxa"/>
          </w:tcPr>
          <w:p w14:paraId="1ACF6B6E" w14:textId="77777777" w:rsidR="007061E6" w:rsidRDefault="007061E6" w:rsidP="00B60A64">
            <w:pPr>
              <w:pStyle w:val="Bang0"/>
            </w:pPr>
          </w:p>
        </w:tc>
        <w:tc>
          <w:tcPr>
            <w:tcW w:w="810" w:type="dxa"/>
          </w:tcPr>
          <w:p w14:paraId="22590EBD" w14:textId="77777777" w:rsidR="007061E6" w:rsidRDefault="007061E6" w:rsidP="00B60A64">
            <w:pPr>
              <w:pStyle w:val="Bang0"/>
            </w:pPr>
          </w:p>
        </w:tc>
        <w:tc>
          <w:tcPr>
            <w:tcW w:w="1234" w:type="dxa"/>
          </w:tcPr>
          <w:p w14:paraId="4D972FD7" w14:textId="77777777" w:rsidR="007061E6" w:rsidRDefault="007061E6" w:rsidP="00B60A64">
            <w:pPr>
              <w:pStyle w:val="Bang0"/>
            </w:pPr>
          </w:p>
        </w:tc>
        <w:tc>
          <w:tcPr>
            <w:tcW w:w="5770" w:type="dxa"/>
          </w:tcPr>
          <w:p w14:paraId="3C133A60" w14:textId="77777777" w:rsidR="007061E6" w:rsidRDefault="007061E6" w:rsidP="00B60A64">
            <w:pPr>
              <w:pStyle w:val="Bang0"/>
            </w:pPr>
          </w:p>
        </w:tc>
      </w:tr>
      <w:tr w:rsidR="007061E6" w14:paraId="22A1CFED" w14:textId="77777777" w:rsidTr="00B60A64">
        <w:tc>
          <w:tcPr>
            <w:tcW w:w="990" w:type="dxa"/>
          </w:tcPr>
          <w:p w14:paraId="205B859D" w14:textId="77777777" w:rsidR="007061E6" w:rsidRDefault="007061E6" w:rsidP="00B60A64">
            <w:pPr>
              <w:pStyle w:val="Bang0"/>
            </w:pPr>
          </w:p>
        </w:tc>
        <w:tc>
          <w:tcPr>
            <w:tcW w:w="810" w:type="dxa"/>
          </w:tcPr>
          <w:p w14:paraId="72219E51" w14:textId="77777777" w:rsidR="007061E6" w:rsidRDefault="007061E6" w:rsidP="00B60A64">
            <w:pPr>
              <w:pStyle w:val="Bang0"/>
            </w:pPr>
          </w:p>
        </w:tc>
        <w:tc>
          <w:tcPr>
            <w:tcW w:w="1234" w:type="dxa"/>
          </w:tcPr>
          <w:p w14:paraId="0EC371CE" w14:textId="77777777" w:rsidR="007061E6" w:rsidRDefault="007061E6" w:rsidP="00B60A64">
            <w:pPr>
              <w:pStyle w:val="Bang0"/>
            </w:pPr>
          </w:p>
        </w:tc>
        <w:tc>
          <w:tcPr>
            <w:tcW w:w="5770" w:type="dxa"/>
          </w:tcPr>
          <w:p w14:paraId="7AF1A05B" w14:textId="77777777" w:rsidR="007061E6" w:rsidRDefault="007061E6" w:rsidP="00B60A64">
            <w:pPr>
              <w:pStyle w:val="Bang0"/>
            </w:pPr>
          </w:p>
        </w:tc>
      </w:tr>
    </w:tbl>
    <w:p w14:paraId="34B27D28" w14:textId="77777777" w:rsidR="007061E6" w:rsidRDefault="007061E6" w:rsidP="007061E6">
      <w:pPr>
        <w:rPr>
          <w:rFonts w:cstheme="minorHAnsi"/>
          <w:sz w:val="28"/>
          <w:szCs w:val="28"/>
        </w:rPr>
      </w:pPr>
      <w:r>
        <w:t>*A - Added M - Modified D - Deleted</w:t>
      </w:r>
    </w:p>
    <w:p w14:paraId="5D0352AE" w14:textId="77777777" w:rsidR="00FC4EE6" w:rsidRDefault="00FC4EE6">
      <w:r>
        <w:br w:type="page"/>
      </w:r>
    </w:p>
    <w:p w14:paraId="6387B7A6" w14:textId="77777777" w:rsidR="005F490F" w:rsidRDefault="005F490F" w:rsidP="005F490F">
      <w:pPr>
        <w:pStyle w:val="Heading1"/>
      </w:pPr>
      <w:bookmarkStart w:id="3" w:name="_Toc44939192"/>
      <w:bookmarkStart w:id="4" w:name="_Toc83349260"/>
      <w:r>
        <w:lastRenderedPageBreak/>
        <w:t>II. Release Package &amp; User Guides</w:t>
      </w:r>
      <w:bookmarkEnd w:id="3"/>
      <w:bookmarkEnd w:id="4"/>
    </w:p>
    <w:p w14:paraId="689D3E5C" w14:textId="77777777" w:rsidR="005F490F" w:rsidRPr="00E12E28" w:rsidRDefault="005F490F" w:rsidP="005F490F">
      <w:pPr>
        <w:pStyle w:val="Heading2"/>
      </w:pPr>
      <w:bookmarkStart w:id="5" w:name="_Toc44939193"/>
      <w:bookmarkStart w:id="6" w:name="_Toc83349261"/>
      <w:r w:rsidRPr="00E12E28">
        <w:t>1. Deliverable Package</w:t>
      </w:r>
      <w:bookmarkEnd w:id="5"/>
      <w:bookmarkEnd w:id="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2618"/>
        <w:gridCol w:w="5529"/>
      </w:tblGrid>
      <w:tr w:rsidR="00CB5C1D" w:rsidRPr="00794A14" w14:paraId="073FD1D5" w14:textId="77777777" w:rsidTr="001D0411">
        <w:trPr>
          <w:trHeight w:val="291"/>
          <w:tblHeader/>
        </w:trPr>
        <w:tc>
          <w:tcPr>
            <w:tcW w:w="671" w:type="dxa"/>
            <w:shd w:val="clear" w:color="auto" w:fill="FFE8E1"/>
          </w:tcPr>
          <w:p w14:paraId="51EDB643" w14:textId="77777777" w:rsidR="00CB5C1D" w:rsidRPr="00794A14" w:rsidRDefault="00CB5C1D" w:rsidP="003B5DB2">
            <w:pPr>
              <w:spacing w:after="0" w:line="240" w:lineRule="auto"/>
              <w:rPr>
                <w:rFonts w:ascii="Calibri" w:eastAsia="Times New Roman" w:hAnsi="Calibri" w:cs="Calibri"/>
                <w:b/>
                <w:bCs/>
                <w:iCs/>
                <w:color w:val="000000"/>
                <w:lang w:eastAsia="en-GB"/>
              </w:rPr>
            </w:pPr>
            <w:r w:rsidRPr="00794A14">
              <w:rPr>
                <w:rFonts w:ascii="Calibri" w:eastAsia="Times New Roman" w:hAnsi="Calibri" w:cs="Calibri"/>
                <w:b/>
                <w:bCs/>
                <w:iCs/>
                <w:color w:val="000000"/>
                <w:lang w:eastAsia="en-GB"/>
              </w:rPr>
              <w:t>No.</w:t>
            </w:r>
          </w:p>
        </w:tc>
        <w:tc>
          <w:tcPr>
            <w:tcW w:w="2618" w:type="dxa"/>
            <w:shd w:val="clear" w:color="auto" w:fill="FFE8E1"/>
          </w:tcPr>
          <w:p w14:paraId="27760F4B" w14:textId="6C724B5B" w:rsidR="00CB5C1D" w:rsidRPr="00794A14" w:rsidRDefault="001D0411" w:rsidP="003B5DB2">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Deliverable Item</w:t>
            </w:r>
          </w:p>
        </w:tc>
        <w:tc>
          <w:tcPr>
            <w:tcW w:w="5529" w:type="dxa"/>
            <w:shd w:val="clear" w:color="auto" w:fill="FFE8E1"/>
          </w:tcPr>
          <w:p w14:paraId="773579BF" w14:textId="3F479455" w:rsidR="00CB5C1D" w:rsidRPr="00794A14" w:rsidRDefault="001D0411" w:rsidP="003B5DB2">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Description</w:t>
            </w:r>
          </w:p>
        </w:tc>
      </w:tr>
      <w:tr>
        <w:tc>
          <w:tcPr>
            <w:tcW w:type="dxa" w:w="671"/>
          </w:tcPr>
          <w:p>
            <w:r>
              <w:rPr>
                <w:b w:val="0"/>
              </w:rPr>
              <w:t>1</w:t>
            </w:r>
          </w:p>
        </w:tc>
        <w:tc>
          <w:tcPr>
            <w:tcW w:type="dxa" w:w="2618"/>
          </w:tcPr>
          <w:p>
            <w:r>
              <w:rPr>
                <w:b w:val="0"/>
              </w:rPr>
              <w:t>Backend API — source code</w:t>
            </w:r>
          </w:p>
        </w:tc>
        <w:tc>
          <w:tcPr>
            <w:tcW w:type="dxa" w:w="5529"/>
          </w:tcPr>
          <w:p>
            <w:r>
              <w:rPr>
                <w:b w:val="0"/>
              </w:rPr>
              <w:t>MusicLounge backend repository: a four-project Clean Architecture solution (Domain, Application, Infrastructure, Api) exposing the REST + SignalR API that every client surface consumes.</w:t>
            </w:r>
          </w:p>
        </w:tc>
      </w:tr>
      <w:tr>
        <w:tc>
          <w:tcPr>
            <w:tcW w:type="dxa" w:w="671"/>
          </w:tcPr>
          <w:p>
            <w:r>
              <w:rPr>
                <w:b w:val="0"/>
              </w:rPr>
              <w:t>2</w:t>
            </w:r>
          </w:p>
        </w:tc>
        <w:tc>
          <w:tcPr>
            <w:tcW w:type="dxa" w:w="2618"/>
          </w:tcPr>
          <w:p>
            <w:r>
              <w:rPr>
                <w:b w:val="0"/>
              </w:rPr>
              <w:t>Audience Website — source code</w:t>
            </w:r>
          </w:p>
        </w:tc>
        <w:tc>
          <w:tcPr>
            <w:tcW w:type="dxa" w:w="5529"/>
          </w:tcPr>
          <w:p>
            <w:r>
              <w:rPr>
                <w:b w:val="0"/>
              </w:rPr>
              <w:t>React 18 + TypeScript + Vite web application covering discovery, ticket purchase, livestream viewing, donations, ratings and complaints (30 screens).</w:t>
            </w:r>
          </w:p>
        </w:tc>
      </w:tr>
      <w:tr>
        <w:tc>
          <w:tcPr>
            <w:tcW w:type="dxa" w:w="671"/>
          </w:tcPr>
          <w:p>
            <w:r>
              <w:rPr>
                <w:b w:val="0"/>
              </w:rPr>
              <w:t>3</w:t>
            </w:r>
          </w:p>
        </w:tc>
        <w:tc>
          <w:tcPr>
            <w:tcW w:type="dxa" w:w="2618"/>
          </w:tcPr>
          <w:p>
            <w:r>
              <w:rPr>
                <w:b w:val="0"/>
              </w:rPr>
              <w:t>Owner Web Dashboard — source code</w:t>
            </w:r>
          </w:p>
        </w:tc>
        <w:tc>
          <w:tcPr>
            <w:tcW w:type="dxa" w:w="5529"/>
          </w:tcPr>
          <w:p>
            <w:r>
              <w:rPr>
                <w:b w:val="0"/>
              </w:rPr>
              <w:t>React 18 + TypeScript + Vite web application covering venue setup, the seating-zone editor, the 360° tour builder, show management, donation handling and finance (27 screens).</w:t>
            </w:r>
          </w:p>
        </w:tc>
      </w:tr>
      <w:tr>
        <w:tc>
          <w:tcPr>
            <w:tcW w:type="dxa" w:w="671"/>
          </w:tcPr>
          <w:p>
            <w:r>
              <w:rPr>
                <w:b w:val="0"/>
              </w:rPr>
              <w:t>4</w:t>
            </w:r>
          </w:p>
        </w:tc>
        <w:tc>
          <w:tcPr>
            <w:tcW w:type="dxa" w:w="2618"/>
          </w:tcPr>
          <w:p>
            <w:r>
              <w:rPr>
                <w:b w:val="0"/>
              </w:rPr>
              <w:t>Admin Web Console — source code</w:t>
            </w:r>
          </w:p>
        </w:tc>
        <w:tc>
          <w:tcPr>
            <w:tcW w:type="dxa" w:w="5529"/>
          </w:tcPr>
          <w:p>
            <w:r>
              <w:rPr>
                <w:b w:val="0"/>
              </w:rPr>
              <w:t>React 18 + TypeScript + Vite web application covering venue approval, content moderation, refunds, penalties, complaints, users, taxonomy and platform analytics (16 screens).</w:t>
            </w:r>
          </w:p>
        </w:tc>
      </w:tr>
      <w:tr>
        <w:tc>
          <w:tcPr>
            <w:tcW w:type="dxa" w:w="671"/>
          </w:tcPr>
          <w:p>
            <w:r>
              <w:rPr>
                <w:b w:val="0"/>
              </w:rPr>
              <w:t>5</w:t>
            </w:r>
          </w:p>
        </w:tc>
        <w:tc>
          <w:tcPr>
            <w:tcW w:type="dxa" w:w="2618"/>
          </w:tcPr>
          <w:p>
            <w:r>
              <w:rPr>
                <w:b w:val="0"/>
              </w:rPr>
              <w:t>Staff Mobile application — source code</w:t>
            </w:r>
          </w:p>
        </w:tc>
        <w:tc>
          <w:tcPr>
            <w:tcW w:type="dxa" w:w="5529"/>
          </w:tcPr>
          <w:p>
            <w:r>
              <w:rPr>
                <w:b w:val="0"/>
              </w:rPr>
              <w:t>React Native application for on-floor venue operations: counter walk-in sales, door QR check-in and the F&amp;B order board (7 screens). Distributed as signed Android and iOS review builds.</w:t>
            </w:r>
          </w:p>
        </w:tc>
      </w:tr>
      <w:tr>
        <w:tc>
          <w:tcPr>
            <w:tcW w:type="dxa" w:w="671"/>
          </w:tcPr>
          <w:p>
            <w:r>
              <w:rPr>
                <w:b w:val="0"/>
              </w:rPr>
              <w:t>6</w:t>
            </w:r>
          </w:p>
        </w:tc>
        <w:tc>
          <w:tcPr>
            <w:tcW w:type="dxa" w:w="2618"/>
          </w:tcPr>
          <w:p>
            <w:r>
              <w:rPr>
                <w:b w:val="0"/>
              </w:rPr>
              <w:t>Audience Mobile F&amp;B application — source code</w:t>
            </w:r>
          </w:p>
        </w:tc>
        <w:tc>
          <w:tcPr>
            <w:tcW w:type="dxa" w:w="5529"/>
          </w:tcPr>
          <w:p>
            <w:r>
              <w:rPr>
                <w:b w:val="0"/>
              </w:rPr>
              <w:t>React Native application for in-venue food and drink ordering (2 screens). Distributed as signed Android and iOS review builds.</w:t>
            </w:r>
          </w:p>
        </w:tc>
      </w:tr>
      <w:tr>
        <w:tc>
          <w:tcPr>
            <w:tcW w:type="dxa" w:w="671"/>
          </w:tcPr>
          <w:p>
            <w:r>
              <w:rPr>
                <w:b w:val="0"/>
              </w:rPr>
              <w:t>7</w:t>
            </w:r>
          </w:p>
        </w:tc>
        <w:tc>
          <w:tcPr>
            <w:tcW w:type="dxa" w:w="2618"/>
          </w:tcPr>
          <w:p>
            <w:r>
              <w:rPr>
                <w:b w:val="0"/>
              </w:rPr>
              <w:t>Panorama-stitching microservice — source code</w:t>
            </w:r>
          </w:p>
        </w:tc>
        <w:tc>
          <w:tcPr>
            <w:tcW w:type="dxa" w:w="5529"/>
          </w:tcPr>
          <w:p>
            <w:r>
              <w:rPr>
                <w:b w:val="0"/>
              </w:rPr>
              <w:t>Containerised Python service using OpenCV and Hugin that assembles several venue photos into one 360° panorama for the virtual tour.</w:t>
            </w:r>
          </w:p>
        </w:tc>
      </w:tr>
      <w:tr>
        <w:tc>
          <w:tcPr>
            <w:tcW w:type="dxa" w:w="671"/>
          </w:tcPr>
          <w:p>
            <w:r>
              <w:rPr>
                <w:b w:val="0"/>
              </w:rPr>
              <w:t>8</w:t>
            </w:r>
          </w:p>
        </w:tc>
        <w:tc>
          <w:tcPr>
            <w:tcW w:type="dxa" w:w="2618"/>
          </w:tcPr>
          <w:p>
            <w:r>
              <w:rPr>
                <w:b w:val="0"/>
              </w:rPr>
              <w:t>Database migration scripts</w:t>
            </w:r>
          </w:p>
        </w:tc>
        <w:tc>
          <w:tcPr>
            <w:tcW w:type="dxa" w:w="5529"/>
          </w:tcPr>
          <w:p>
            <w:r>
              <w:rPr>
                <w:b w:val="0"/>
              </w:rPr>
              <w:t>EF Core Code-First migrations that create and version the entire schema — there is no hand-written DDL.</w:t>
            </w:r>
          </w:p>
        </w:tc>
      </w:tr>
      <w:tr>
        <w:tc>
          <w:tcPr>
            <w:tcW w:type="dxa" w:w="671"/>
          </w:tcPr>
          <w:p>
            <w:r>
              <w:rPr>
                <w:b w:val="0"/>
              </w:rPr>
              <w:t>9</w:t>
            </w:r>
          </w:p>
        </w:tc>
        <w:tc>
          <w:tcPr>
            <w:tcW w:type="dxa" w:w="2618"/>
          </w:tcPr>
          <w:p>
            <w:r>
              <w:rPr>
                <w:b w:val="0"/>
              </w:rPr>
              <w:t>Configuration templates</w:t>
            </w:r>
          </w:p>
        </w:tc>
        <w:tc>
          <w:tcPr>
            <w:tcW w:type="dxa" w:w="5529"/>
          </w:tcPr>
          <w:p>
            <w:r>
              <w:rPr>
                <w:b w:val="0"/>
              </w:rPr>
              <w:t>appsettings example files for the API and .env example files for each client application, listing every setting that must be supplied per environment.</w:t>
            </w:r>
          </w:p>
        </w:tc>
      </w:tr>
      <w:tr>
        <w:tc>
          <w:tcPr>
            <w:tcW w:type="dxa" w:w="671"/>
          </w:tcPr>
          <w:p>
            <w:r>
              <w:rPr>
                <w:b w:val="0"/>
              </w:rPr>
              <w:t>10</w:t>
            </w:r>
          </w:p>
        </w:tc>
        <w:tc>
          <w:tcPr>
            <w:tcW w:type="dxa" w:w="2618"/>
          </w:tcPr>
          <w:p>
            <w:r>
              <w:rPr>
                <w:b w:val="0"/>
              </w:rPr>
              <w:t>Deployment configuration</w:t>
            </w:r>
          </w:p>
        </w:tc>
        <w:tc>
          <w:tcPr>
            <w:tcW w:type="dxa" w:w="5529"/>
          </w:tcPr>
          <w:p>
            <w:r>
              <w:rPr>
                <w:b w:val="0"/>
              </w:rPr>
              <w:t>GitHub Actions workflow definitions that build, test and deploy each component to Azure, plus the Azure resource configuration each one expects.</w:t>
            </w:r>
          </w:p>
        </w:tc>
      </w:tr>
      <w:tr>
        <w:tc>
          <w:tcPr>
            <w:tcW w:type="dxa" w:w="671"/>
          </w:tcPr>
          <w:p>
            <w:r>
              <w:rPr>
                <w:b w:val="0"/>
              </w:rPr>
              <w:t>11</w:t>
            </w:r>
          </w:p>
        </w:tc>
        <w:tc>
          <w:tcPr>
            <w:tcW w:type="dxa" w:w="2618"/>
          </w:tcPr>
          <w:p>
            <w:r>
              <w:rPr>
                <w:b w:val="0"/>
              </w:rPr>
              <w:t>Deployed platform — live environment</w:t>
            </w:r>
          </w:p>
        </w:tc>
        <w:tc>
          <w:tcPr>
            <w:tcW w:type="dxa" w:w="5529"/>
          </w:tcPr>
          <w:p>
            <w:r>
              <w:rPr>
                <w:b w:val="0"/>
              </w:rPr>
              <w:t>The running system on Azure: Audience Website, Owner Dashboard and Admin Console URLs, the API base URL, and the installable mobile builds. Credentials for one demo account per role are supplied separately to the review committee.</w:t>
            </w:r>
          </w:p>
        </w:tc>
      </w:tr>
      <w:tr>
        <w:tc>
          <w:tcPr>
            <w:tcW w:type="dxa" w:w="671"/>
          </w:tcPr>
          <w:p>
            <w:r>
              <w:rPr>
                <w:b w:val="0"/>
              </w:rPr>
              <w:t>12</w:t>
            </w:r>
          </w:p>
        </w:tc>
        <w:tc>
          <w:tcPr>
            <w:tcW w:type="dxa" w:w="2618"/>
          </w:tcPr>
          <w:p>
            <w:r>
              <w:rPr>
                <w:b w:val="0"/>
              </w:rPr>
              <w:t>API reference</w:t>
            </w:r>
          </w:p>
        </w:tc>
        <w:tc>
          <w:tcPr>
            <w:tcW w:type="dxa" w:w="5529"/>
          </w:tcPr>
          <w:p>
            <w:r>
              <w:rPr>
                <w:b w:val="0"/>
              </w:rPr>
              <w:t>Interactive Swagger / OpenAPI documentation, served by the running API itself at /swagger.</w:t>
            </w:r>
          </w:p>
        </w:tc>
      </w:tr>
      <w:tr>
        <w:tc>
          <w:tcPr>
            <w:tcW w:type="dxa" w:w="671"/>
          </w:tcPr>
          <w:p>
            <w:r>
              <w:rPr>
                <w:b w:val="0"/>
              </w:rPr>
              <w:t>13</w:t>
            </w:r>
          </w:p>
        </w:tc>
        <w:tc>
          <w:tcPr>
            <w:tcW w:type="dxa" w:w="2618"/>
          </w:tcPr>
          <w:p>
            <w:r>
              <w:rPr>
                <w:b w:val="0"/>
              </w:rPr>
              <w:t>Reports 1–7</w:t>
            </w:r>
          </w:p>
        </w:tc>
        <w:tc>
          <w:tcPr>
            <w:tcW w:type="dxa" w:w="5529"/>
          </w:tcPr>
          <w:p>
            <w:r>
              <w:rPr>
                <w:b w:val="0"/>
              </w:rPr>
              <w:t>Project Introduction, Project Management Plan, SRS, SDD, Test Documentation (with the Test Report and Unit Test workbooks), this User Guide, and the Final Project Report.</w:t>
            </w:r>
          </w:p>
        </w:tc>
      </w:tr>
    </w:tbl>
    <w:p w14:paraId="4BF6CE37" w14:textId="461DDB92" w:rsidR="005F490F" w:rsidRDefault="005F490F" w:rsidP="005F490F">
      <w:pPr>
        <w:pStyle w:val="Heading2"/>
      </w:pPr>
      <w:bookmarkStart w:id="8" w:name="_Toc83349262"/>
      <w:r>
        <w:t>2. Installation Guides</w:t>
      </w:r>
      <w:bookmarkEnd w:id="7"/>
      <w:bookmarkEnd w:id="8"/>
    </w:p>
    <w:p w14:paraId="5651F90F" w14:textId="77777777" w:rsidR="005F490F" w:rsidRDefault="005F490F" w:rsidP="005F490F">
      <w:pPr>
        <w:pStyle w:val="Heading3"/>
      </w:pPr>
      <w:bookmarkStart w:id="9" w:name="_Toc44939197"/>
      <w:bookmarkStart w:id="10" w:name="_Toc83349263"/>
      <w:r>
        <w:t>2.1 System Requirements</w:t>
      </w:r>
      <w:bookmarkEnd w:id="9"/>
      <w:bookmarkEnd w:id="10"/>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Pr>
                <w:b/>
              </w:rPr>
              <w:t>Audience</w:t>
            </w:r>
          </w:p>
        </w:tc>
        <w:tc>
          <w:tcPr>
            <w:tcW w:type="dxa" w:w="4525"/>
          </w:tcPr>
          <w:p>
            <w:r>
              <w:rPr>
                <w:b/>
              </w:rPr>
              <w:t>Requirement</w:t>
            </w:r>
          </w:p>
        </w:tc>
      </w:tr>
      <w:tr>
        <w:tc>
          <w:tcPr>
            <w:tcW w:type="dxa" w:w="4525"/>
          </w:tcPr>
          <w:p>
            <w:r>
              <w:rPr>
                <w:b w:val="0"/>
              </w:rPr>
              <w:t>End user — web surfaces</w:t>
            </w:r>
          </w:p>
        </w:tc>
        <w:tc>
          <w:tcPr>
            <w:tcW w:type="dxa" w:w="4525"/>
          </w:tcPr>
          <w:p>
            <w:r>
              <w:rPr>
                <w:b w:val="0"/>
              </w:rPr>
              <w:t>Any current or previous major version of Chrome, Edge, Firefox or Safari, with JavaScript enabled. The Audience Website works from phone width upward; the Owner Dashboard and Admin Console are desktop-first and expect a screen at least 1024px wide.</w:t>
            </w:r>
          </w:p>
        </w:tc>
      </w:tr>
      <w:tr>
        <w:tc>
          <w:tcPr>
            <w:tcW w:type="dxa" w:w="4525"/>
          </w:tcPr>
          <w:p>
            <w:r>
              <w:rPr>
                <w:b w:val="0"/>
              </w:rPr>
              <w:t>End user — mobile applications</w:t>
            </w:r>
          </w:p>
        </w:tc>
        <w:tc>
          <w:tcPr>
            <w:tcW w:type="dxa" w:w="4525"/>
          </w:tcPr>
          <w:p>
            <w:r>
              <w:rPr>
                <w:b w:val="0"/>
              </w:rPr>
              <w:t>Android 10 or later, or iOS 15 or later. Camera permission is required for the Staff QR check-in scanner; notification permission is optional but needed for push alerts.</w:t>
            </w:r>
          </w:p>
        </w:tc>
      </w:tr>
      <w:tr>
        <w:tc>
          <w:tcPr>
            <w:tcW w:type="dxa" w:w="4525"/>
          </w:tcPr>
          <w:p>
            <w:r>
              <w:rPr>
                <w:b w:val="0"/>
              </w:rPr>
              <w:t>End user — network</w:t>
            </w:r>
          </w:p>
        </w:tc>
        <w:tc>
          <w:tcPr>
            <w:tcW w:type="dxa" w:w="4525"/>
          </w:tcPr>
          <w:p>
            <w:r>
              <w:rPr>
                <w:b w:val="0"/>
              </w:rPr>
              <w:t>A working internet connection. Door check-in and counter sales have no offline mode by design — a dropped connection blocks the action rather than silently queuing it.</w:t>
            </w:r>
          </w:p>
        </w:tc>
      </w:tr>
      <w:tr>
        <w:tc>
          <w:tcPr>
            <w:tcW w:type="dxa" w:w="4525"/>
          </w:tcPr>
          <w:p>
            <w:r>
              <w:rPr>
                <w:b w:val="0"/>
              </w:rPr>
              <w:t>Operator — cloud subscription</w:t>
            </w:r>
          </w:p>
        </w:tc>
        <w:tc>
          <w:tcPr>
            <w:tcW w:type="dxa" w:w="4525"/>
          </w:tcPr>
          <w:p>
            <w:r>
              <w:rPr>
                <w:b w:val="0"/>
              </w:rPr>
              <w:t>A Microsoft Azure subscription able to host: App Service (Linux, .NET 8), Azure SQL Database, Container Apps, Static Web Apps, Blob Storage with CDN, Key Vault, and Application Insights.</w:t>
            </w:r>
          </w:p>
        </w:tc>
      </w:tr>
      <w:tr>
        <w:tc>
          <w:tcPr>
            <w:tcW w:type="dxa" w:w="4525"/>
          </w:tcPr>
          <w:p>
            <w:r>
              <w:rPr>
                <w:b w:val="0"/>
              </w:rPr>
              <w:t>Operator — third-party accounts</w:t>
            </w:r>
          </w:p>
        </w:tc>
        <w:tc>
          <w:tcPr>
            <w:tcW w:type="dxa" w:w="4525"/>
          </w:tcPr>
          <w:p>
            <w:r>
              <w:rPr>
                <w:b w:val="0"/>
              </w:rPr>
              <w:t>VNPay merchant credentials (sandbox is sufficient for evaluation), Mux or Cloudflare Stream keys for livestreaming, a Google Cloud project for OAuth and Maps, a Firebase project for push notifications, a SpeedSMS account for Vietnamese SMS, and a Gemini API key for the AI features.</w:t>
            </w:r>
          </w:p>
        </w:tc>
      </w:tr>
      <w:tr>
        <w:tc>
          <w:tcPr>
            <w:tcW w:type="dxa" w:w="4525"/>
          </w:tcPr>
          <w:p>
            <w:r>
              <w:rPr>
                <w:b w:val="0"/>
              </w:rPr>
              <w:t>Developer — backend</w:t>
            </w:r>
          </w:p>
        </w:tc>
        <w:tc>
          <w:tcPr>
            <w:tcW w:type="dxa" w:w="4525"/>
          </w:tcPr>
          <w:p>
            <w:r>
              <w:rPr>
                <w:b w:val="0"/>
              </w:rPr>
              <w:t>.NET 8 SDK (the SDK, not the runtime alone), the dotnet-ef global tool for migrations, and a reachable SQL Server 2019+ instance (Developer or Express edition is fine locally).</w:t>
            </w:r>
          </w:p>
        </w:tc>
      </w:tr>
      <w:tr>
        <w:tc>
          <w:tcPr>
            <w:tcW w:type="dxa" w:w="4525"/>
          </w:tcPr>
          <w:p>
            <w:r>
              <w:rPr>
                <w:b w:val="0"/>
              </w:rPr>
              <w:t>Developer — frontend</w:t>
            </w:r>
          </w:p>
        </w:tc>
        <w:tc>
          <w:tcPr>
            <w:tcW w:type="dxa" w:w="4525"/>
          </w:tcPr>
          <w:p>
            <w:r>
              <w:rPr>
                <w:b w:val="0"/>
              </w:rPr>
              <w:t>Node.js 20 LTS with npm. The two mobile applications additionally need Android Studio (Android SDK 34) and, for iOS builds, Xcode 15 on macOS.</w:t>
            </w:r>
          </w:p>
        </w:tc>
      </w:tr>
      <w:tr>
        <w:tc>
          <w:tcPr>
            <w:tcW w:type="dxa" w:w="4525"/>
          </w:tcPr>
          <w:p>
            <w:r>
              <w:rPr>
                <w:b w:val="0"/>
              </w:rPr>
              <w:t>Developer — microservice</w:t>
            </w:r>
          </w:p>
        </w:tc>
        <w:tc>
          <w:tcPr>
            <w:tcW w:type="dxa" w:w="4525"/>
          </w:tcPr>
          <w:p>
            <w:r>
              <w:rPr>
                <w:b w:val="0"/>
              </w:rPr>
              <w:t>Docker, to build and run the panorama-stitching container without installing OpenCV and Hugin natively.</w:t>
            </w:r>
          </w:p>
        </w:tc>
      </w:tr>
    </w:tbl>
    <w:p w14:paraId="4565267E" w14:textId="4F39FEA4" w:rsidR="005F490F" w:rsidRDefault="005F490F" w:rsidP="005F490F">
      <w:pPr>
        <w:pStyle w:val="Heading3"/>
      </w:pPr>
      <w:bookmarkStart w:id="11" w:name="_Toc44939199"/>
      <w:bookmarkStart w:id="12" w:name="_Toc83349264"/>
      <w:r>
        <w:t>2.</w:t>
      </w:r>
      <w:r w:rsidR="00CB5C1D">
        <w:t>2</w:t>
      </w:r>
      <w:r>
        <w:t xml:space="preserve"> Installation Instruction</w:t>
      </w:r>
      <w:bookmarkEnd w:id="11"/>
      <w:bookmarkEnd w:id="12"/>
    </w:p>
    <w:p>
      <w:r>
        <w:rPr>
          <w:b/>
          <w:i w:val="0"/>
        </w:rPr>
        <w:t>Option A — Use the deployed platform (recommended for reviewers)</w:t>
      </w:r>
    </w:p>
    <w:p>
      <w:r>
        <w:rPr>
          <w:b/>
          <w:i w:val="0"/>
        </w:rPr>
        <w:t>Nothing needs to be installed. Open the Audience Website, Owner Dashboard or Admin Console URL supplied with this release in a supported browser and sign in with the demo account for the role you want to review. The two mobile applications are supplied as signed Android and iOS builds — install the build on a device or emulator meeting the requirements above and sign in with the same credentials. Every workflow in §3 can be walked end to end on this environment without any local setup.</w:t>
      </w:r>
    </w:p>
    <w:p>
      <w:r>
        <w:rPr>
          <w:b/>
          <w:i w:val="0"/>
        </w:rPr>
        <w:t>Option B — Deploy your own environment to Azure</w:t>
      </w:r>
    </w:p>
    <w:p>
      <w:r>
        <w:rPr>
          <w:b/>
          <w:i w:val="0"/>
        </w:rPr>
        <w:t>1. Provision the Azure resources listed in §2.1: an App Service plan with a Linux .NET 8 web app (with a staging slot), an Azure SQL Database, a Container Apps environment, three Static Web Apps, a storage account with a CDN endpoint, a Key Vault and an Application Insights resource.</w:t>
      </w:r>
    </w:p>
    <w:p>
      <w:r>
        <w:rPr>
          <w:b/>
          <w:i w:val="0"/>
        </w:rPr>
        <w:t>2. Put every secret into Key Vault — the database connection string, VNPay credentials, livestream provider keys, Google, Firebase, SpeedSMS and Gemini keys — and grant the App Service's managed identity read access. No secret belongs in source control or in a settings file that ships with a build.</w:t>
      </w:r>
    </w:p>
    <w:p>
      <w:r>
        <w:rPr>
          <w:b/>
          <w:i w:val="0"/>
        </w:rPr>
        <w:t>3. Set each repository's deployment secrets (Azure credentials and target resource names), then push to the main branch. The GitHub Actions workflow builds each component, runs its test suite, deploys the API to the staging slot, runs the end-to-end suite against staging, and swaps staging into production. Database migrations are applied automatically as part of the API deployment.</w:t>
      </w:r>
    </w:p>
    <w:p>
      <w:r>
        <w:rPr>
          <w:b/>
          <w:i w:val="0"/>
        </w:rPr>
        <w:t>4. Point each client application's environment configuration at the deployed API base URL, and register that same URL with VNPay as the payment return and IPN callback address, otherwise payment confirmations will never reach the platform.</w:t>
      </w:r>
    </w:p>
    <w:p>
      <w:r>
        <w:rPr>
          <w:b/>
          <w:i w:val="0"/>
        </w:rPr>
        <w:t>Option C — Run the platform locally for development</w:t>
      </w:r>
    </w:p>
    <w:p>
      <w:r>
        <w:rPr>
          <w:b/>
          <w:i w:val="0"/>
        </w:rPr>
        <w:t>1. Backend — in src/MusicLounge.Api/, copy appsettings.Development.Local.json.example to appsettings.Development.Local.json and set DefaultConnection to your SQL Server. Windows Authentication (Server=localhost;Database=SU26SE039;Trusted_Connection=True;TrustServerCertificate=True;) is the shipped default and usually needs no edit; for SQL Authentication supply User Id and Password instead, and for a named instance use Server=localhost\\SQLEXPRESS (escaped as shown, because it sits inside JSON). The VnPay and Mux sections may be left blank — that disables only the payment and livestream features; every other screen still works.</w:t>
      </w:r>
    </w:p>
    <w:p>
      <w:r>
        <w:rPr>
          <w:b/>
          <w:i w:val="0"/>
        </w:rPr>
        <w:t>2. Create the schema — from the repository root, run: dotnet ef database update --project src/MusicLounge.Infrastructure --startup-project src/MusicLounge.Api. This creates the database and every table at the current schema version; a final “Done.” with no error line means success.</w:t>
      </w:r>
    </w:p>
    <w:p>
      <w:r>
        <w:rPr>
          <w:b/>
          <w:i w:val="0"/>
        </w:rPr>
        <w:t>3. Start the API — dotnet run --project src/MusicLounge.Api. When it prints “Now listening on: http://localhost:5289” the API is up; leave that terminal open. Verify by opening http://localhost:5289/swagger, or from another terminal with curl http://localhost:5289/health.</w:t>
      </w:r>
    </w:p>
    <w:p>
      <w:r>
        <w:rPr>
          <w:b/>
          <w:i w:val="0"/>
        </w:rPr>
        <w:t>4. Start a client — in the chosen frontend project, copy .env.example to .env, set the API base URL to http://localhost:5289, then run npm install followed by npm run dev. The web applications start on port 5173 by default, which the backend already allows through CORS. For the mobile applications run npm install then npm run android or npm run ios.</w:t>
      </w:r>
    </w:p>
    <w:p>
      <w:r>
        <w:rPr>
          <w:b/>
          <w:i w:val="0"/>
        </w:rPr>
        <w:t>5. Start the stitching service (only needed to exercise the 360° auto-stitch feature) — from services/panorama-stitcher, run docker compose up, then set the PanoramaStitcher base URL in the API's local settings to the address it reports.</w:t>
      </w:r>
    </w:p>
    <w:p>
      <w:r>
        <w:rPr>
          <w:b/>
          <w:i w:val="0"/>
        </w:rPr>
        <w:t>Troubleshooting</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Pr>
                <w:b/>
              </w:rPr>
              <w:t>Symptom</w:t>
            </w:r>
          </w:p>
        </w:tc>
        <w:tc>
          <w:tcPr>
            <w:tcW w:type="dxa" w:w="4525"/>
          </w:tcPr>
          <w:p>
            <w:r>
              <w:rPr>
                <w:b/>
              </w:rPr>
              <w:t>Cause / Fix</w:t>
            </w:r>
          </w:p>
        </w:tc>
      </w:tr>
      <w:tr>
        <w:tc>
          <w:tcPr>
            <w:tcW w:type="dxa" w:w="4525"/>
          </w:tcPr>
          <w:p>
            <w:r>
              <w:rPr>
                <w:b w:val="0"/>
              </w:rPr>
              <w:t>A web page loads but every action fails with a network or CORS error</w:t>
            </w:r>
          </w:p>
        </w:tc>
        <w:tc>
          <w:tcPr>
            <w:tcW w:type="dxa" w:w="4525"/>
          </w:tcPr>
          <w:p>
            <w:r>
              <w:rPr>
                <w:b w:val="0"/>
              </w:rPr>
              <w:t>The client is pointed at the wrong API base URL, or the API is not running. Check the .env value, and confirm the API answers at /health.</w:t>
            </w:r>
          </w:p>
        </w:tc>
      </w:tr>
      <w:tr>
        <w:tc>
          <w:tcPr>
            <w:tcW w:type="dxa" w:w="4525"/>
          </w:tcPr>
          <w:p>
            <w:r>
              <w:rPr>
                <w:b w:val="0"/>
              </w:rPr>
              <w:t>“Port 5289 already in use” when starting the API</w:t>
            </w:r>
          </w:p>
        </w:tc>
        <w:tc>
          <w:tcPr>
            <w:tcW w:type="dxa" w:w="4525"/>
          </w:tcPr>
          <w:p>
            <w:r>
              <w:rPr>
                <w:b w:val="0"/>
              </w:rPr>
              <w:t>A previous run still holds the port. Close the other terminal, or stop the stray process, then start again.</w:t>
            </w:r>
          </w:p>
        </w:tc>
      </w:tr>
      <w:tr>
        <w:tc>
          <w:tcPr>
            <w:tcW w:type="dxa" w:w="4525"/>
          </w:tcPr>
          <w:p>
            <w:r>
              <w:rPr>
                <w:b w:val="0"/>
              </w:rPr>
              <w:t>Database update fails with “Login failed”</w:t>
            </w:r>
          </w:p>
        </w:tc>
        <w:tc>
          <w:tcPr>
            <w:tcW w:type="dxa" w:w="4525"/>
          </w:tcPr>
          <w:p>
            <w:r>
              <w:rPr>
                <w:b w:val="0"/>
              </w:rPr>
              <w:t>Wrong credentials or the wrong authentication mode. Re-check the connection string, and confirm the SQL Server service is actually running.</w:t>
            </w:r>
          </w:p>
        </w:tc>
      </w:tr>
      <w:tr>
        <w:tc>
          <w:tcPr>
            <w:tcW w:type="dxa" w:w="4525"/>
          </w:tcPr>
          <w:p>
            <w:r>
              <w:rPr>
                <w:b w:val="0"/>
              </w:rPr>
              <w:t>Signed up but never received the verification code</w:t>
            </w:r>
          </w:p>
        </w:tc>
        <w:tc>
          <w:tcPr>
            <w:tcW w:type="dxa" w:w="4525"/>
          </w:tcPr>
          <w:p>
            <w:r>
              <w:rPr>
                <w:b w:val="0"/>
              </w:rPr>
              <w:t>In a local development run no real email is sent — the six-digit code is printed in the API's terminal output. In a deployed environment, check the SMTP settings and the recipient's spam folder.</w:t>
            </w:r>
          </w:p>
        </w:tc>
      </w:tr>
      <w:tr>
        <w:tc>
          <w:tcPr>
            <w:tcW w:type="dxa" w:w="4525"/>
          </w:tcPr>
          <w:p>
            <w:r>
              <w:rPr>
                <w:b w:val="0"/>
              </w:rPr>
              <w:t>A newly created show does not appear in public search</w:t>
            </w:r>
          </w:p>
        </w:tc>
        <w:tc>
          <w:tcPr>
            <w:tcW w:type="dxa" w:w="4525"/>
          </w:tcPr>
          <w:p>
            <w:r>
              <w:rPr>
                <w:b w:val="0"/>
              </w:rPr>
              <w:t>Working as designed. A show must go Draft → Pending (Owner submits) → Published (Admin approves), and its venue must already be approved, before it is publicly visible.</w:t>
            </w:r>
          </w:p>
        </w:tc>
      </w:tr>
      <w:tr>
        <w:tc>
          <w:tcPr>
            <w:tcW w:type="dxa" w:w="4525"/>
          </w:tcPr>
          <w:p>
            <w:r>
              <w:rPr>
                <w:b w:val="0"/>
              </w:rPr>
              <w:t>The Owner cannot submit a show for review</w:t>
            </w:r>
          </w:p>
        </w:tc>
        <w:tc>
          <w:tcPr>
            <w:tcW w:type="dxa" w:w="4525"/>
          </w:tcPr>
          <w:p>
            <w:r>
              <w:rPr>
                <w:b w:val="0"/>
              </w:rPr>
              <w:t>The venue is not yet approved, the Owner has no active subscription, or the show has no ticket tier or legal-permit reference. The screen names which prerequisite is missing.</w:t>
            </w:r>
          </w:p>
        </w:tc>
      </w:tr>
      <w:tr>
        <w:tc>
          <w:tcPr>
            <w:tcW w:type="dxa" w:w="4525"/>
          </w:tcPr>
          <w:p>
            <w:r>
              <w:rPr>
                <w:b w:val="0"/>
              </w:rPr>
              <w:t>Payment completes at VNPay but the ticket stays unpaid</w:t>
            </w:r>
          </w:p>
        </w:tc>
        <w:tc>
          <w:tcPr>
            <w:tcW w:type="dxa" w:w="4525"/>
          </w:tcPr>
          <w:p>
            <w:r>
              <w:rPr>
                <w:b w:val="0"/>
              </w:rPr>
              <w:t>The IPN callback is not reaching the platform. Confirm the return and IPN URLs registered with VNPay match the deployed API address and are reachable from the internet.</w:t>
            </w:r>
          </w:p>
        </w:tc>
      </w:tr>
      <w:tr>
        <w:tc>
          <w:tcPr>
            <w:tcW w:type="dxa" w:w="4525"/>
          </w:tcPr>
          <w:p>
            <w:r>
              <w:rPr>
                <w:b w:val="0"/>
              </w:rPr>
              <w:t>Cannot sign in to the Admin Console</w:t>
            </w:r>
          </w:p>
        </w:tc>
        <w:tc>
          <w:tcPr>
            <w:tcW w:type="dxa" w:w="4525"/>
          </w:tcPr>
          <w:p>
            <w:r>
              <w:rPr>
                <w:b w:val="0"/>
              </w:rPr>
              <w:t>Correct — there is no self-service path to become an Admin. An Admin account is provisioned directly in the database by an operator; see §3.5.</w:t>
            </w:r>
          </w:p>
        </w:tc>
      </w:tr>
      <w:tr>
        <w:tc>
          <w:tcPr>
            <w:tcW w:type="dxa" w:w="4525"/>
          </w:tcPr>
          <w:p>
            <w:r>
              <w:rPr>
                <w:b w:val="0"/>
              </w:rPr>
              <w:t>The 360° auto-stitch always fails</w:t>
            </w:r>
          </w:p>
        </w:tc>
        <w:tc>
          <w:tcPr>
            <w:tcW w:type="dxa" w:w="4525"/>
          </w:tcPr>
          <w:p>
            <w:r>
              <w:rPr>
                <w:b w:val="0"/>
              </w:rPr>
              <w:t>The stitching microservice is unreachable. Confirm the container is running and that the API's PanoramaStitcher base URL points at it.</w:t>
            </w:r>
          </w:p>
        </w:tc>
      </w:tr>
    </w:tbl>
    <w:p w14:paraId="2F5078EC" w14:textId="77777777" w:rsidR="005F490F" w:rsidRDefault="005F490F" w:rsidP="005F490F">
      <w:pPr>
        <w:pStyle w:val="Heading2"/>
      </w:pPr>
      <w:bookmarkStart w:id="13" w:name="_Toc44939200"/>
      <w:bookmarkStart w:id="14" w:name="_Toc83349265"/>
      <w:r>
        <w:t>3. User Manual</w:t>
      </w:r>
      <w:bookmarkEnd w:id="13"/>
      <w:bookmarkEnd w:id="14"/>
    </w:p>
    <w:p w14:paraId="5DE0E870" w14:textId="144585E5" w:rsidR="005F490F" w:rsidRPr="00E12E28" w:rsidRDefault="001D0411" w:rsidP="001D0411">
      <w:pPr>
        <w:pStyle w:val="Heading3"/>
      </w:pPr>
      <w:bookmarkStart w:id="15" w:name="_Toc167708618"/>
      <w:bookmarkStart w:id="16" w:name="_Toc83349266"/>
      <w:r>
        <w:t>3.1</w:t>
      </w:r>
      <w:r w:rsidR="005F490F" w:rsidRPr="00E12E28">
        <w:t xml:space="preserve"> Overview</w:t>
      </w:r>
      <w:bookmarkEnd w:id="15"/>
      <w:bookmarkEnd w:id="16"/>
    </w:p>
    <w:p>
      <w:r>
        <w:rPr>
          <w:b w:val="0"/>
          <w:i w:val="0"/>
        </w:rPr>
        <w:t>MusicLounge is a ticketing, livestream and donation platform for small live-music venues in Vietnam — see Report 1 §5 for the product vision. It is used through five applications, each built for one job: the Audience Website (discover shows, buy tickets, watch a livestream, tip a performer), the Audience Mobile app (order food and drink while seated at a venue), the Owner Web Dashboard (set up a venue, run shows, handle money), the Staff Mobile app (sell at the counter, check tickets at the door, run the F&amp;B board) and the Admin Web Console (approve venues, moderate content, handle refunds and complaints). All five talk to one shared backend, so an action taken in one is immediately visible in the others.</w:t>
      </w:r>
    </w:p>
    <w:p>
      <w:r>
        <w:rPr>
          <w:b w:val="0"/>
          <w:i w:val="0"/>
        </w:rPr>
        <w:t>The four walkthroughs below follow the platform's natural order and chain into one continuous story: an Owner sets up a venue and submits a show, an Admin approves it, an Audience member buys a ticket and attends, and Staff sell and check tickets on the night. Walking them in order leaves a realistic, fully populated system. Each step names the screen you are on, what you do there, and what you should see if it worked — so a step that does not match is easy to spot.</w:t>
      </w:r>
    </w:p>
    <w:p>
      <w:r>
        <w:rPr>
          <w:b w:val="0"/>
          <w:i w:val="0"/>
        </w:rPr>
        <w:t>The 3 workflows below chain together into one continuous story — Workflow 1 gets a venue and a show into the system, Workflow 2 gets that show approved and public, Workflow 3 gets a real ticket sold and used — and are the fastest way to get a fully populated, realistic database for exercising or demoing any client app against this backend.</w:t>
      </w:r>
    </w:p>
    <w:p w14:paraId="36D44BED" w14:textId="69AF5C66" w:rsidR="005F490F" w:rsidRDefault="001D0411" w:rsidP="001D0411">
      <w:pPr>
        <w:pStyle w:val="Heading3"/>
      </w:pPr>
      <w:bookmarkStart w:id="17" w:name="_Toc167708619"/>
      <w:bookmarkStart w:id="18" w:name="_Toc83349267"/>
      <w:bookmarkEnd w:id="17"/>
      <w:bookmarkEnd w:id="18"/>
      <w:r>
        <w:t>3.2 Workflow 1 — Owner: set up a venue and get a show approved</w:t>
      </w:r>
    </w:p>
    <w:p>
      <w:r>
        <w:rPr>
          <w:b w:val="0"/>
          <w:i w:val="0"/>
        </w:rPr>
        <w:t>On the Owner Web Dashboard. This produces the state every other workflow depends on: an Owner account, an approved venue with seating zones, an active subscription, and one show submitted for review.</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Create the account</w:t>
            </w:r>
          </w:p>
        </w:tc>
        <w:tc>
          <w:tcPr>
            <w:tcW w:type="dxa" w:w="2262"/>
          </w:tcPr>
          <w:p>
            <w:r>
              <w:rPr>
                <w:b w:val="0"/>
              </w:rPr>
              <w:t>Sign Up</w:t>
            </w:r>
          </w:p>
        </w:tc>
        <w:tc>
          <w:tcPr>
            <w:tcW w:type="dxa" w:w="2262"/>
          </w:tcPr>
          <w:p>
            <w:r>
              <w:rPr>
                <w:b w:val="0"/>
              </w:rPr>
              <w:t>Enter your full name, email and password, choose the Owner role, and accept the terms.</w:t>
            </w:r>
          </w:p>
        </w:tc>
        <w:tc>
          <w:tcPr>
            <w:tcW w:type="dxa" w:w="2262"/>
          </w:tcPr>
          <w:p>
            <w:r>
              <w:rPr>
                <w:b w:val="0"/>
              </w:rPr>
              <w:t>A confirmation screen telling you a six-digit code has been emailed to you.</w:t>
            </w:r>
          </w:p>
        </w:tc>
      </w:tr>
      <w:tr>
        <w:tc>
          <w:tcPr>
            <w:tcW w:type="dxa" w:w="2262"/>
          </w:tcPr>
          <w:p>
            <w:r>
              <w:rPr>
                <w:b w:val="0"/>
              </w:rPr>
              <w:t>2. Verify the email</w:t>
            </w:r>
          </w:p>
        </w:tc>
        <w:tc>
          <w:tcPr>
            <w:tcW w:type="dxa" w:w="2262"/>
          </w:tcPr>
          <w:p>
            <w:r>
              <w:rPr>
                <w:b w:val="0"/>
              </w:rPr>
              <w:t>Verify Email</w:t>
            </w:r>
          </w:p>
        </w:tc>
        <w:tc>
          <w:tcPr>
            <w:tcW w:type="dxa" w:w="2262"/>
          </w:tcPr>
          <w:p>
            <w:r>
              <w:rPr>
                <w:b w:val="0"/>
              </w:rPr>
              <w:t>Enter the six-digit code. Use Resend if it has not arrived after a minute.</w:t>
            </w:r>
          </w:p>
        </w:tc>
        <w:tc>
          <w:tcPr>
            <w:tcW w:type="dxa" w:w="2262"/>
          </w:tcPr>
          <w:p>
            <w:r>
              <w:rPr>
                <w:b w:val="0"/>
              </w:rPr>
              <w:t>You are signed in and land on My Venues, which is empty because you have no venue yet.</w:t>
            </w:r>
          </w:p>
        </w:tc>
      </w:tr>
      <w:tr>
        <w:tc>
          <w:tcPr>
            <w:tcW w:type="dxa" w:w="2262"/>
          </w:tcPr>
          <w:p>
            <w:r>
              <w:rPr>
                <w:b w:val="0"/>
              </w:rPr>
              <w:t>3. Register the venue</w:t>
            </w:r>
          </w:p>
        </w:tc>
        <w:tc>
          <w:tcPr>
            <w:tcW w:type="dxa" w:w="2262"/>
          </w:tcPr>
          <w:p>
            <w:r>
              <w:rPr>
                <w:b w:val="0"/>
              </w:rPr>
              <w:t>Create / Edit Venue</w:t>
            </w:r>
          </w:p>
        </w:tc>
        <w:tc>
          <w:tcPr>
            <w:tcW w:type="dxa" w:w="2262"/>
          </w:tcPr>
          <w:p>
            <w:r>
              <w:rPr>
                <w:b w:val="0"/>
              </w:rPr>
              <w:t>Fill in the venue name, description, address (pick the exact point on the map) and atmosphere, then upload the business licence document.</w:t>
            </w:r>
          </w:p>
        </w:tc>
        <w:tc>
          <w:tcPr>
            <w:tcW w:type="dxa" w:w="2262"/>
          </w:tcPr>
          <w:p>
            <w:r>
              <w:rPr>
                <w:b w:val="0"/>
              </w:rPr>
              <w:t>The venue is created and appears on My Venues with a Pending badge — it is not yet public.</w:t>
            </w:r>
          </w:p>
        </w:tc>
      </w:tr>
      <w:tr>
        <w:tc>
          <w:tcPr>
            <w:tcW w:type="dxa" w:w="2262"/>
          </w:tcPr>
          <w:p>
            <w:r>
              <w:rPr>
                <w:b w:val="0"/>
              </w:rPr>
              <w:t>4. Add a payout account</w:t>
            </w:r>
          </w:p>
        </w:tc>
        <w:tc>
          <w:tcPr>
            <w:tcW w:type="dxa" w:w="2262"/>
          </w:tcPr>
          <w:p>
            <w:r>
              <w:rPr>
                <w:b w:val="0"/>
              </w:rPr>
              <w:t>Bank Accounts</w:t>
            </w:r>
          </w:p>
        </w:tc>
        <w:tc>
          <w:tcPr>
            <w:tcW w:type="dxa" w:w="2262"/>
          </w:tcPr>
          <w:p>
            <w:r>
              <w:rPr>
                <w:b w:val="0"/>
              </w:rPr>
              <w:t>Add the bank account that venue earnings should be paid into and mark it as default.</w:t>
            </w:r>
          </w:p>
        </w:tc>
        <w:tc>
          <w:tcPr>
            <w:tcW w:type="dxa" w:w="2262"/>
          </w:tcPr>
          <w:p>
            <w:r>
              <w:rPr>
                <w:b w:val="0"/>
              </w:rPr>
              <w:t>The account is listed as Unverified — an Admin verifies it before any settlement is released.</w:t>
            </w:r>
          </w:p>
        </w:tc>
      </w:tr>
      <w:tr>
        <w:tc>
          <w:tcPr>
            <w:tcW w:type="dxa" w:w="2262"/>
          </w:tcPr>
          <w:p>
            <w:r>
              <w:rPr>
                <w:b w:val="0"/>
              </w:rPr>
              <w:t>5. Subscribe to a plan</w:t>
            </w:r>
          </w:p>
        </w:tc>
        <w:tc>
          <w:tcPr>
            <w:tcW w:type="dxa" w:w="2262"/>
          </w:tcPr>
          <w:p>
            <w:r>
              <w:rPr>
                <w:b w:val="0"/>
              </w:rPr>
              <w:t>Subscription Plans → My Subscription</w:t>
            </w:r>
          </w:p>
        </w:tc>
        <w:tc>
          <w:tcPr>
            <w:tcW w:type="dxa" w:w="2262"/>
          </w:tcPr>
          <w:p>
            <w:r>
              <w:rPr>
                <w:b w:val="0"/>
              </w:rPr>
              <w:t>Compare the plans, choose one and pay through VNPay. You are redirected to VNPay and back again.</w:t>
            </w:r>
          </w:p>
        </w:tc>
        <w:tc>
          <w:tcPr>
            <w:tcW w:type="dxa" w:w="2262"/>
          </w:tcPr>
          <w:p>
            <w:r>
              <w:rPr>
                <w:b w:val="0"/>
              </w:rPr>
              <w:t>My Subscription shows an Active plan with its expiry date and its limits (tickets per show, AI-poster and tour-scene quotas).</w:t>
            </w:r>
          </w:p>
        </w:tc>
      </w:tr>
      <w:tr>
        <w:tc>
          <w:tcPr>
            <w:tcW w:type="dxa" w:w="2262"/>
          </w:tcPr>
          <w:p>
            <w:r>
              <w:rPr>
                <w:b w:val="0"/>
              </w:rPr>
              <w:t>6. Wait for venue approval</w:t>
            </w:r>
          </w:p>
        </w:tc>
        <w:tc>
          <w:tcPr>
            <w:tcW w:type="dxa" w:w="2262"/>
          </w:tcPr>
          <w:p>
            <w:r>
              <w:rPr>
                <w:b w:val="0"/>
              </w:rPr>
              <w:t>My Venues</w:t>
            </w:r>
          </w:p>
        </w:tc>
        <w:tc>
          <w:tcPr>
            <w:tcW w:type="dxa" w:w="2262"/>
          </w:tcPr>
          <w:p>
            <w:r>
              <w:rPr>
                <w:b w:val="0"/>
              </w:rPr>
              <w:t>Nothing to do — an Admin reviews the venue (see Workflow 2). Refresh to check.</w:t>
            </w:r>
          </w:p>
        </w:tc>
        <w:tc>
          <w:tcPr>
            <w:tcW w:type="dxa" w:w="2262"/>
          </w:tcPr>
          <w:p>
            <w:r>
              <w:rPr>
                <w:b w:val="0"/>
              </w:rPr>
              <w:t>The badge changes from Pending to Approved. Until then, no show can be published.</w:t>
            </w:r>
          </w:p>
        </w:tc>
      </w:tr>
      <w:tr>
        <w:tc>
          <w:tcPr>
            <w:tcW w:type="dxa" w:w="2262"/>
          </w:tcPr>
          <w:p>
            <w:r>
              <w:rPr>
                <w:b w:val="0"/>
              </w:rPr>
              <w:t>7. Lay out the seating</w:t>
            </w:r>
          </w:p>
        </w:tc>
        <w:tc>
          <w:tcPr>
            <w:tcW w:type="dxa" w:w="2262"/>
          </w:tcPr>
          <w:p>
            <w:r>
              <w:rPr>
                <w:b w:val="0"/>
              </w:rPr>
              <w:t>Seating Zone Editor</w:t>
            </w:r>
          </w:p>
        </w:tc>
        <w:tc>
          <w:tcPr>
            <w:tcW w:type="dxa" w:w="2262"/>
          </w:tcPr>
          <w:p>
            <w:r>
              <w:rPr>
                <w:b w:val="0"/>
              </w:rPr>
              <w:t>Create each zone (for example VIP and Standard), set its real capacity, and drag it onto the floor-plan image so the layout matches the room.</w:t>
            </w:r>
          </w:p>
        </w:tc>
        <w:tc>
          <w:tcPr>
            <w:tcW w:type="dxa" w:w="2262"/>
          </w:tcPr>
          <w:p>
            <w:r>
              <w:rPr>
                <w:b w:val="0"/>
              </w:rPr>
              <w:t>Zones appear on the plan and are saved against the venue — they are reused by every future show, not re-entered each time.</w:t>
            </w:r>
          </w:p>
        </w:tc>
      </w:tr>
      <w:tr>
        <w:tc>
          <w:tcPr>
            <w:tcW w:type="dxa" w:w="2262"/>
          </w:tcPr>
          <w:p>
            <w:r>
              <w:rPr>
                <w:b w:val="0"/>
              </w:rPr>
              <w:t>8. Build the 360° tour (optional)</w:t>
            </w:r>
          </w:p>
        </w:tc>
        <w:tc>
          <w:tcPr>
            <w:tcW w:type="dxa" w:w="2262"/>
          </w:tcPr>
          <w:p>
            <w:r>
              <w:rPr>
                <w:b w:val="0"/>
              </w:rPr>
              <w:t>360° Virtual Tour (management)</w:t>
            </w:r>
          </w:p>
        </w:tc>
        <w:tc>
          <w:tcPr>
            <w:tcW w:type="dxa" w:w="2262"/>
          </w:tcPr>
          <w:p>
            <w:r>
              <w:rPr>
                <w:b w:val="0"/>
              </w:rPr>
              <w:t>Either upload a finished panorama, or upload several photos of the room and choose Auto-Stitch. Then place hotspots to link scenes together.</w:t>
            </w:r>
          </w:p>
        </w:tc>
        <w:tc>
          <w:tcPr>
            <w:tcW w:type="dxa" w:w="2262"/>
          </w:tcPr>
          <w:p>
            <w:r>
              <w:rPr>
                <w:b w:val="0"/>
              </w:rPr>
              <w:t>Auto-Stitch shows a processing state and finishes in roughly 15–30 seconds; the completed scene becomes visible on the public venue page.</w:t>
            </w:r>
          </w:p>
        </w:tc>
      </w:tr>
      <w:tr>
        <w:tc>
          <w:tcPr>
            <w:tcW w:type="dxa" w:w="2262"/>
          </w:tcPr>
          <w:p>
            <w:r>
              <w:rPr>
                <w:b w:val="0"/>
              </w:rPr>
              <w:t>9. Create the show</w:t>
            </w:r>
          </w:p>
        </w:tc>
        <w:tc>
          <w:tcPr>
            <w:tcW w:type="dxa" w:w="2262"/>
          </w:tcPr>
          <w:p>
            <w:r>
              <w:rPr>
                <w:b w:val="0"/>
              </w:rPr>
              <w:t>Create / Edit Show</w:t>
            </w:r>
          </w:p>
        </w:tc>
        <w:tc>
          <w:tcPr>
            <w:tcW w:type="dxa" w:w="2262"/>
          </w:tcPr>
          <w:p>
            <w:r>
              <w:rPr>
                <w:b w:val="0"/>
              </w:rPr>
              <w:t>Enter the show name, description and schedule, add the performer line-up (typing a new name offers to create that performer), and either upload a poster or generate one with AI.</w:t>
            </w:r>
          </w:p>
        </w:tc>
        <w:tc>
          <w:tcPr>
            <w:tcW w:type="dxa" w:w="2262"/>
          </w:tcPr>
          <w:p>
            <w:r>
              <w:rPr>
                <w:b w:val="0"/>
              </w:rPr>
              <w:t>The show is saved as Draft and appears on My Shows.</w:t>
            </w:r>
          </w:p>
        </w:tc>
      </w:tr>
      <w:tr>
        <w:tc>
          <w:tcPr>
            <w:tcW w:type="dxa" w:w="2262"/>
          </w:tcPr>
          <w:p>
            <w:r>
              <w:rPr>
                <w:b w:val="0"/>
              </w:rPr>
              <w:t>10. Price the tickets</w:t>
            </w:r>
          </w:p>
        </w:tc>
        <w:tc>
          <w:tcPr>
            <w:tcW w:type="dxa" w:w="2262"/>
          </w:tcPr>
          <w:p>
            <w:r>
              <w:rPr>
                <w:b w:val="0"/>
              </w:rPr>
              <w:t>Ticket Tiers</w:t>
            </w:r>
          </w:p>
        </w:tc>
        <w:tc>
          <w:tcPr>
            <w:tcW w:type="dxa" w:w="2262"/>
          </w:tcPr>
          <w:p>
            <w:r>
              <w:rPr>
                <w:b w:val="0"/>
              </w:rPr>
              <w:t>Add at least one tier (name, access type, capacity) and one price window with its sale start and end.</w:t>
            </w:r>
          </w:p>
        </w:tc>
        <w:tc>
          <w:tcPr>
            <w:tcW w:type="dxa" w:w="2262"/>
          </w:tcPr>
          <w:p>
            <w:r>
              <w:rPr>
                <w:b w:val="0"/>
              </w:rPr>
              <w:t>The tier is listed with its price window. Total capacity may not exceed your subscription plan's limit.</w:t>
            </w:r>
          </w:p>
        </w:tc>
      </w:tr>
      <w:tr>
        <w:tc>
          <w:tcPr>
            <w:tcW w:type="dxa" w:w="2262"/>
          </w:tcPr>
          <w:p>
            <w:r>
              <w:rPr>
                <w:b w:val="0"/>
              </w:rPr>
              <w:t>11. Declare the legal permit</w:t>
            </w:r>
          </w:p>
        </w:tc>
        <w:tc>
          <w:tcPr>
            <w:tcW w:type="dxa" w:w="2262"/>
          </w:tcPr>
          <w:p>
            <w:r>
              <w:rPr>
                <w:b w:val="0"/>
              </w:rPr>
              <w:t>Legal &amp; Royalty Declaration</w:t>
            </w:r>
          </w:p>
        </w:tc>
        <w:tc>
          <w:tcPr>
            <w:tcW w:type="dxa" w:w="2262"/>
          </w:tcPr>
          <w:p>
            <w:r>
              <w:rPr>
                <w:b w:val="0"/>
              </w:rPr>
              <w:t>Enter the performance-permit reference and, where applicable, the music-copyright royalty reference.</w:t>
            </w:r>
          </w:p>
        </w:tc>
        <w:tc>
          <w:tcPr>
            <w:tcW w:type="dxa" w:w="2262"/>
          </w:tcPr>
          <w:p>
            <w:r>
              <w:rPr>
                <w:b w:val="0"/>
              </w:rPr>
              <w:t>The declaration is saved. Without it, the show cannot be submitted.</w:t>
            </w:r>
          </w:p>
        </w:tc>
      </w:tr>
      <w:tr>
        <w:tc>
          <w:tcPr>
            <w:tcW w:type="dxa" w:w="2262"/>
          </w:tcPr>
          <w:p>
            <w:r>
              <w:rPr>
                <w:b w:val="0"/>
              </w:rPr>
              <w:t>12. Submit for review</w:t>
            </w:r>
          </w:p>
        </w:tc>
        <w:tc>
          <w:tcPr>
            <w:tcW w:type="dxa" w:w="2262"/>
          </w:tcPr>
          <w:p>
            <w:r>
              <w:rPr>
                <w:b w:val="0"/>
              </w:rPr>
              <w:t>Show Control Center</w:t>
            </w:r>
          </w:p>
        </w:tc>
        <w:tc>
          <w:tcPr>
            <w:tcW w:type="dxa" w:w="2262"/>
          </w:tcPr>
          <w:p>
            <w:r>
              <w:rPr>
                <w:b w:val="0"/>
              </w:rPr>
              <w:t>Choose Submit for Review.</w:t>
            </w:r>
          </w:p>
        </w:tc>
        <w:tc>
          <w:tcPr>
            <w:tcW w:type="dxa" w:w="2262"/>
          </w:tcPr>
          <w:p>
            <w:r>
              <w:rPr>
                <w:b w:val="0"/>
              </w:rPr>
              <w:t>The status moves from Draft to Pending. The show is still not public — an Admin must approve it (Workflow 2). If a prerequisite is missing, the screen names exactly which one.</w:t>
            </w:r>
          </w:p>
        </w:tc>
      </w:tr>
    </w:tbl>
    <w:p w14:paraId="7CD385D0" w14:textId="07E0620A" w:rsidR="005F490F" w:rsidRDefault="001D0411" w:rsidP="001D0411">
      <w:pPr>
        <w:pStyle w:val="Heading3"/>
      </w:pPr>
      <w:bookmarkStart w:id="19" w:name="_Toc167708620"/>
      <w:bookmarkStart w:id="20" w:name="_Toc83349268"/>
      <w:bookmarkEnd w:id="19"/>
      <w:bookmarkEnd w:id="20"/>
      <w:r>
        <w:t>3.3 Workflow 2 — Admin: approve the venue and publish the show</w:t>
      </w:r>
    </w:p>
    <w:p>
      <w:r>
        <w:rPr>
          <w:b w:val="0"/>
          <w:i w:val="0"/>
        </w:rPr>
        <w:t>On the Admin Web Console. There is deliberately no way to register as an Admin: the first Admin account is provisioned directly in the database by an operator, and an automated job alerts if an Admin account ever appears outside the known set. Sign in with the Admin credentials supplied with the release.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Sign in</w:t>
            </w:r>
          </w:p>
        </w:tc>
        <w:tc>
          <w:tcPr>
            <w:tcW w:type="dxa" w:w="2262"/>
          </w:tcPr>
          <w:p>
            <w:r>
              <w:rPr>
                <w:b w:val="0"/>
              </w:rPr>
              <w:t>Log In</w:t>
            </w:r>
          </w:p>
        </w:tc>
        <w:tc>
          <w:tcPr>
            <w:tcW w:type="dxa" w:w="2262"/>
          </w:tcPr>
          <w:p>
            <w:r>
              <w:rPr>
                <w:b w:val="0"/>
              </w:rPr>
              <w:t>Sign in with the provisioned Admin account.</w:t>
            </w:r>
          </w:p>
        </w:tc>
        <w:tc>
          <w:tcPr>
            <w:tcW w:type="dxa" w:w="2262"/>
          </w:tcPr>
          <w:p>
            <w:r>
              <w:rPr>
                <w:b w:val="0"/>
              </w:rPr>
              <w:t>The Admin Console opens on its review queues. If you signed in with a non-Admin account you simply will not see them.</w:t>
            </w:r>
          </w:p>
        </w:tc>
      </w:tr>
      <w:tr>
        <w:tc>
          <w:tcPr>
            <w:tcW w:type="dxa" w:w="2262"/>
          </w:tcPr>
          <w:p>
            <w:r>
              <w:rPr>
                <w:b w:val="0"/>
              </w:rPr>
              <w:t>2. Approve the venue</w:t>
            </w:r>
          </w:p>
        </w:tc>
        <w:tc>
          <w:tcPr>
            <w:tcW w:type="dxa" w:w="2262"/>
          </w:tcPr>
          <w:p>
            <w:r>
              <w:rPr>
                <w:b w:val="0"/>
              </w:rPr>
              <w:t>Pending Venues</w:t>
            </w:r>
          </w:p>
        </w:tc>
        <w:tc>
          <w:tcPr>
            <w:tcW w:type="dxa" w:w="2262"/>
          </w:tcPr>
          <w:p>
            <w:r>
              <w:rPr>
                <w:b w:val="0"/>
              </w:rPr>
              <w:t>Open the venue submitted in Workflow 1, check the business licence and address, then choose Approve (or Reject with a reason).</w:t>
            </w:r>
          </w:p>
        </w:tc>
        <w:tc>
          <w:tcPr>
            <w:tcW w:type="dxa" w:w="2262"/>
          </w:tcPr>
          <w:p>
            <w:r>
              <w:rPr>
                <w:b w:val="0"/>
              </w:rPr>
              <w:t>The venue becomes Approved and its Owner is notified. A rejected venue cannot be amended and resubmitted — the Owner must create a new one, which keeps the rejection on an immutable record.</w:t>
            </w:r>
          </w:p>
        </w:tc>
      </w:tr>
      <w:tr>
        <w:tc>
          <w:tcPr>
            <w:tcW w:type="dxa" w:w="2262"/>
          </w:tcPr>
          <w:p>
            <w:r>
              <w:rPr>
                <w:b w:val="0"/>
              </w:rPr>
              <w:t>3. Review the show</w:t>
            </w:r>
          </w:p>
        </w:tc>
        <w:tc>
          <w:tcPr>
            <w:tcW w:type="dxa" w:w="2262"/>
          </w:tcPr>
          <w:p>
            <w:r>
              <w:rPr>
                <w:b w:val="0"/>
              </w:rPr>
              <w:t>Moderation Queue</w:t>
            </w:r>
          </w:p>
        </w:tc>
        <w:tc>
          <w:tcPr>
            <w:tcW w:type="dxa" w:w="2262"/>
          </w:tcPr>
          <w:p>
            <w:r>
              <w:rPr>
                <w:b w:val="0"/>
              </w:rPr>
              <w:t>Open the pending show. An AI risk score and recommendation are shown as advice; read the description, poster and line-up yourself, then Approve or Reject with a note.</w:t>
            </w:r>
          </w:p>
        </w:tc>
        <w:tc>
          <w:tcPr>
            <w:tcW w:type="dxa" w:w="2262"/>
          </w:tcPr>
          <w:p>
            <w:r>
              <w:rPr>
                <w:b w:val="0"/>
              </w:rPr>
              <w:t>On approval the show becomes publicly visible on the Audience Website immediately. The queue tracks a 24-hour review deadline and warns as it approaches.</w:t>
            </w:r>
          </w:p>
        </w:tc>
      </w:tr>
      <w:tr>
        <w:tc>
          <w:tcPr>
            <w:tcW w:type="dxa" w:w="2262"/>
          </w:tcPr>
          <w:p>
            <w:r>
              <w:rPr>
                <w:b w:val="0"/>
              </w:rPr>
              <w:t>4. Verify the payout account</w:t>
            </w:r>
          </w:p>
        </w:tc>
        <w:tc>
          <w:tcPr>
            <w:tcW w:type="dxa" w:w="2262"/>
          </w:tcPr>
          <w:p>
            <w:r>
              <w:rPr>
                <w:b w:val="0"/>
              </w:rPr>
              <w:t>Verify Bank Account</w:t>
            </w:r>
          </w:p>
        </w:tc>
        <w:tc>
          <w:tcPr>
            <w:tcW w:type="dxa" w:w="2262"/>
          </w:tcPr>
          <w:p>
            <w:r>
              <w:rPr>
                <w:b w:val="0"/>
              </w:rPr>
              <w:t>Reconcile the account holder against the venue's registered business, then mark it verified.</w:t>
            </w:r>
          </w:p>
        </w:tc>
        <w:tc>
          <w:tcPr>
            <w:tcW w:type="dxa" w:w="2262"/>
          </w:tcPr>
          <w:p>
            <w:r>
              <w:rPr>
                <w:b w:val="0"/>
              </w:rPr>
              <w:t>The account becomes Verified. Settlements to that venue stay blocked until this is done.</w:t>
            </w:r>
          </w:p>
        </w:tc>
      </w:tr>
      <w:tr>
        <w:tc>
          <w:tcPr>
            <w:tcW w:type="dxa" w:w="2262"/>
          </w:tcPr>
          <w:p>
            <w:r>
              <w:rPr>
                <w:b w:val="0"/>
              </w:rPr>
              <w:t>5. Confirm it is public</w:t>
            </w:r>
          </w:p>
        </w:tc>
        <w:tc>
          <w:tcPr>
            <w:tcW w:type="dxa" w:w="2262"/>
          </w:tcPr>
          <w:p>
            <w:r>
              <w:rPr>
                <w:b w:val="0"/>
              </w:rPr>
              <w:t>(Audience Website) Home / Show Search</w:t>
            </w:r>
          </w:p>
        </w:tc>
        <w:tc>
          <w:tcPr>
            <w:tcW w:type="dxa" w:w="2262"/>
          </w:tcPr>
          <w:p>
            <w:r>
              <w:rPr>
                <w:b w:val="0"/>
              </w:rPr>
              <w:t>Open the Audience Website without signing in and search for the show.</w:t>
            </w:r>
          </w:p>
        </w:tc>
        <w:tc>
          <w:tcPr>
            <w:tcW w:type="dxa" w:w="2262"/>
          </w:tcPr>
          <w:p>
            <w:r>
              <w:rPr>
                <w:b w:val="0"/>
              </w:rPr>
              <w:t>The approved show appears in public results — the same view any visitor gets.</w:t>
            </w:r>
          </w:p>
        </w:tc>
      </w:tr>
    </w:tbl>
    <w:p>
      <w:pPr>
        <w:pStyle w:val="Heading3"/>
      </w:pPr>
      <w:r>
        <w:rPr>
          <w:b w:val="0"/>
          <w:i w:val="0"/>
        </w:rPr>
        <w:t>3.4 Workflow 3 — Audience: find a show, buy a ticket, attend and tip</w:t>
      </w:r>
    </w:p>
    <w:p>
      <w:r>
        <w:rPr>
          <w:b w:val="0"/>
          <w:i w:val="0"/>
        </w:rPr>
        <w:t>On the Audience Website, with the Audience Mobile app used once inside the venue. This is the full customer journey from discovering a show to tipping the performer during it.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Create the account</w:t>
            </w:r>
          </w:p>
        </w:tc>
        <w:tc>
          <w:tcPr>
            <w:tcW w:type="dxa" w:w="2262"/>
          </w:tcPr>
          <w:p>
            <w:r>
              <w:rPr>
                <w:b w:val="0"/>
              </w:rPr>
              <w:t>Sign Up → Verify Email</w:t>
            </w:r>
          </w:p>
        </w:tc>
        <w:tc>
          <w:tcPr>
            <w:tcW w:type="dxa" w:w="2262"/>
          </w:tcPr>
          <w:p>
            <w:r>
              <w:rPr>
                <w:b w:val="0"/>
              </w:rPr>
              <w:t>Register with the Audience role and enter the emailed six-digit code.</w:t>
            </w:r>
          </w:p>
        </w:tc>
        <w:tc>
          <w:tcPr>
            <w:tcW w:type="dxa" w:w="2262"/>
          </w:tcPr>
          <w:p>
            <w:r>
              <w:rPr>
                <w:b w:val="0"/>
              </w:rPr>
              <w:t>You are signed in and land on the home page.</w:t>
            </w:r>
          </w:p>
        </w:tc>
      </w:tr>
      <w:tr>
        <w:tc>
          <w:tcPr>
            <w:tcW w:type="dxa" w:w="2262"/>
          </w:tcPr>
          <w:p>
            <w:r>
              <w:rPr>
                <w:b w:val="0"/>
              </w:rPr>
              <w:t>2. Find a show</w:t>
            </w:r>
          </w:p>
        </w:tc>
        <w:tc>
          <w:tcPr>
            <w:tcW w:type="dxa" w:w="2262"/>
          </w:tcPr>
          <w:p>
            <w:r>
              <w:rPr>
                <w:b w:val="0"/>
              </w:rPr>
              <w:t>Home / Show Search</w:t>
            </w:r>
          </w:p>
        </w:tc>
        <w:tc>
          <w:tcPr>
            <w:tcW w:type="dxa" w:w="2262"/>
          </w:tcPr>
          <w:p>
            <w:r>
              <w:rPr>
                <w:b w:val="0"/>
              </w:rPr>
              <w:t>Search or filter by genre, mood, date or city.</w:t>
            </w:r>
          </w:p>
        </w:tc>
        <w:tc>
          <w:tcPr>
            <w:tcW w:type="dxa" w:w="2262"/>
          </w:tcPr>
          <w:p>
            <w:r>
              <w:rPr>
                <w:b w:val="0"/>
              </w:rPr>
              <w:t>Matching published shows appear as cards. A sold-out show is visibly greyed out rather than failing after you click.</w:t>
            </w:r>
          </w:p>
        </w:tc>
      </w:tr>
      <w:tr>
        <w:tc>
          <w:tcPr>
            <w:tcW w:type="dxa" w:w="2262"/>
          </w:tcPr>
          <w:p>
            <w:r>
              <w:rPr>
                <w:b w:val="0"/>
              </w:rPr>
              <w:t>3. Check the details</w:t>
            </w:r>
          </w:p>
        </w:tc>
        <w:tc>
          <w:tcPr>
            <w:tcW w:type="dxa" w:w="2262"/>
          </w:tcPr>
          <w:p>
            <w:r>
              <w:rPr>
                <w:b w:val="0"/>
              </w:rPr>
              <w:t>Show Detail → Venue Detail → 360° Tour</w:t>
            </w:r>
          </w:p>
        </w:tc>
        <w:tc>
          <w:tcPr>
            <w:tcW w:type="dxa" w:w="2262"/>
          </w:tcPr>
          <w:p>
            <w:r>
              <w:rPr>
                <w:b w:val="0"/>
              </w:rPr>
              <w:t>Read the line-up and ticket tiers, open the venue page, and explore the 360° tour to see the room before booking.</w:t>
            </w:r>
          </w:p>
        </w:tc>
        <w:tc>
          <w:tcPr>
            <w:tcW w:type="dxa" w:w="2262"/>
          </w:tcPr>
          <w:p>
            <w:r>
              <w:rPr>
                <w:b w:val="0"/>
              </w:rPr>
              <w:t>Buy Tickets is enabled only while the show is on sale; otherwise the reason is shown in its place.</w:t>
            </w:r>
          </w:p>
        </w:tc>
      </w:tr>
      <w:tr>
        <w:tc>
          <w:tcPr>
            <w:tcW w:type="dxa" w:w="2262"/>
          </w:tcPr>
          <w:p>
            <w:r>
              <w:rPr>
                <w:b w:val="0"/>
              </w:rPr>
              <w:t>4. Choose tickets</w:t>
            </w:r>
          </w:p>
        </w:tc>
        <w:tc>
          <w:tcPr>
            <w:tcW w:type="dxa" w:w="2262"/>
          </w:tcPr>
          <w:p>
            <w:r>
              <w:rPr>
                <w:b w:val="0"/>
              </w:rPr>
              <w:t>Select Tickets</w:t>
            </w:r>
          </w:p>
        </w:tc>
        <w:tc>
          <w:tcPr>
            <w:tcW w:type="dxa" w:w="2262"/>
          </w:tcPr>
          <w:p>
            <w:r>
              <w:rPr>
                <w:b w:val="0"/>
              </w:rPr>
              <w:t>Pick a tier and quantity, then confirm the hold.</w:t>
            </w:r>
          </w:p>
        </w:tc>
        <w:tc>
          <w:tcPr>
            <w:tcW w:type="dxa" w:w="2262"/>
          </w:tcPr>
          <w:p>
            <w:r>
              <w:rPr>
                <w:b w:val="0"/>
              </w:rPr>
              <w:t>A 15-minute countdown starts. Those seats are reserved for you for that window and released automatically if you do not pay.</w:t>
            </w:r>
          </w:p>
        </w:tc>
      </w:tr>
      <w:tr>
        <w:tc>
          <w:tcPr>
            <w:tcW w:type="dxa" w:w="2262"/>
          </w:tcPr>
          <w:p>
            <w:r>
              <w:rPr>
                <w:b w:val="0"/>
              </w:rPr>
              <w:t>5. Pay</w:t>
            </w:r>
          </w:p>
        </w:tc>
        <w:tc>
          <w:tcPr>
            <w:tcW w:type="dxa" w:w="2262"/>
          </w:tcPr>
          <w:p>
            <w:r>
              <w:rPr>
                <w:b w:val="0"/>
              </w:rPr>
              <w:t>VNPay checkout → Payment Result</w:t>
            </w:r>
          </w:p>
        </w:tc>
        <w:tc>
          <w:tcPr>
            <w:tcW w:type="dxa" w:w="2262"/>
          </w:tcPr>
          <w:p>
            <w:r>
              <w:rPr>
                <w:b w:val="0"/>
              </w:rPr>
              <w:t>Complete the payment on VNPay's page and wait to be returned.</w:t>
            </w:r>
          </w:p>
        </w:tc>
        <w:tc>
          <w:tcPr>
            <w:tcW w:type="dxa" w:w="2262"/>
          </w:tcPr>
          <w:p>
            <w:r>
              <w:rPr>
                <w:b w:val="0"/>
              </w:rPr>
              <w:t>The result screen confirms the purchase. If you close the tab too early, the ticket still confirms — the platform is told independently by VNPay.</w:t>
            </w:r>
          </w:p>
        </w:tc>
      </w:tr>
      <w:tr>
        <w:tc>
          <w:tcPr>
            <w:tcW w:type="dxa" w:w="2262"/>
          </w:tcPr>
          <w:p>
            <w:r>
              <w:rPr>
                <w:b w:val="0"/>
              </w:rPr>
              <w:t>6. Get the ticket</w:t>
            </w:r>
          </w:p>
        </w:tc>
        <w:tc>
          <w:tcPr>
            <w:tcW w:type="dxa" w:w="2262"/>
          </w:tcPr>
          <w:p>
            <w:r>
              <w:rPr>
                <w:b w:val="0"/>
              </w:rPr>
              <w:t>My Tickets → Ticket Detail</w:t>
            </w:r>
          </w:p>
        </w:tc>
        <w:tc>
          <w:tcPr>
            <w:tcW w:type="dxa" w:w="2262"/>
          </w:tcPr>
          <w:p>
            <w:r>
              <w:rPr>
                <w:b w:val="0"/>
              </w:rPr>
              <w:t>Open the ticket.</w:t>
            </w:r>
          </w:p>
        </w:tc>
        <w:tc>
          <w:tcPr>
            <w:tcW w:type="dxa" w:w="2262"/>
          </w:tcPr>
          <w:p>
            <w:r>
              <w:rPr>
                <w:b w:val="0"/>
              </w:rPr>
              <w:t>A QR code, the show and seating details. This is the screen to show at the door, and it is designed to be readable at phone width.</w:t>
            </w:r>
          </w:p>
        </w:tc>
      </w:tr>
      <w:tr>
        <w:tc>
          <w:tcPr>
            <w:tcW w:type="dxa" w:w="2262"/>
          </w:tcPr>
          <w:p>
            <w:r>
              <w:rPr>
                <w:b w:val="0"/>
              </w:rPr>
              <w:t>7. Enter the venue</w:t>
            </w:r>
          </w:p>
        </w:tc>
        <w:tc>
          <w:tcPr>
            <w:tcW w:type="dxa" w:w="2262"/>
          </w:tcPr>
          <w:p>
            <w:r>
              <w:rPr>
                <w:b w:val="0"/>
              </w:rPr>
              <w:t>Ticket Detail (on your phone)</w:t>
            </w:r>
          </w:p>
        </w:tc>
        <w:tc>
          <w:tcPr>
            <w:tcW w:type="dxa" w:w="2262"/>
          </w:tcPr>
          <w:p>
            <w:r>
              <w:rPr>
                <w:b w:val="0"/>
              </w:rPr>
              <w:t>Show the QR code to Staff at the door.</w:t>
            </w:r>
          </w:p>
        </w:tc>
        <w:tc>
          <w:tcPr>
            <w:tcW w:type="dxa" w:w="2262"/>
          </w:tcPr>
          <w:p>
            <w:r>
              <w:rPr>
                <w:b w:val="0"/>
              </w:rPr>
              <w:t>Staff scan it and confirm; the ticket is marked used. Your ticket is valid for the whole evening, not a fixed showtime.</w:t>
            </w:r>
          </w:p>
        </w:tc>
      </w:tr>
      <w:tr>
        <w:tc>
          <w:tcPr>
            <w:tcW w:type="dxa" w:w="2262"/>
          </w:tcPr>
          <w:p>
            <w:r>
              <w:rPr>
                <w:b w:val="0"/>
              </w:rPr>
              <w:t>8. Order food and drink</w:t>
            </w:r>
          </w:p>
        </w:tc>
        <w:tc>
          <w:tcPr>
            <w:tcW w:type="dxa" w:w="2262"/>
          </w:tcPr>
          <w:p>
            <w:r>
              <w:rPr>
                <w:b w:val="0"/>
              </w:rPr>
              <w:t>(Audience Mobile app) Order F&amp;B → My Order</w:t>
            </w:r>
          </w:p>
        </w:tc>
        <w:tc>
          <w:tcPr>
            <w:tcW w:type="dxa" w:w="2262"/>
          </w:tcPr>
          <w:p>
            <w:r>
              <w:rPr>
                <w:b w:val="0"/>
              </w:rPr>
              <w:t>Browse the venue's menu, add items to the cart and place the order from your table.</w:t>
            </w:r>
          </w:p>
        </w:tc>
        <w:tc>
          <w:tcPr>
            <w:tcW w:type="dxa" w:w="2262"/>
          </w:tcPr>
          <w:p>
            <w:r>
              <w:rPr>
                <w:b w:val="0"/>
              </w:rPr>
              <w:t>The order appears with its status, advancing Pending → Preparing → Served as staff work through it. Refresh to update.</w:t>
            </w:r>
          </w:p>
        </w:tc>
      </w:tr>
      <w:tr>
        <w:tc>
          <w:tcPr>
            <w:tcW w:type="dxa" w:w="2262"/>
          </w:tcPr>
          <w:p>
            <w:r>
              <w:rPr>
                <w:b w:val="0"/>
              </w:rPr>
              <w:t>9. Watch from home instead</w:t>
            </w:r>
          </w:p>
        </w:tc>
        <w:tc>
          <w:tcPr>
            <w:tcW w:type="dxa" w:w="2262"/>
          </w:tcPr>
          <w:p>
            <w:r>
              <w:rPr>
                <w:b w:val="0"/>
              </w:rPr>
              <w:t>Live Viewing Room</w:t>
            </w:r>
          </w:p>
        </w:tc>
        <w:tc>
          <w:tcPr>
            <w:tcW w:type="dxa" w:w="2262"/>
          </w:tcPr>
          <w:p>
            <w:r>
              <w:rPr>
                <w:b w:val="0"/>
              </w:rPr>
              <w:t>If you bought a livestream ticket, open the show at its start time.</w:t>
            </w:r>
          </w:p>
        </w:tc>
        <w:tc>
          <w:tcPr>
            <w:tcW w:type="dxa" w:w="2262"/>
          </w:tcPr>
          <w:p>
            <w:r>
              <w:rPr>
                <w:b w:val="0"/>
              </w:rPr>
              <w:t>The stream plays with live chat and a viewer count. Access is limited to genuine ticket holders and to a maximum number of devices at once; a refusal states which reason applies.</w:t>
            </w:r>
          </w:p>
        </w:tc>
      </w:tr>
      <w:tr>
        <w:tc>
          <w:tcPr>
            <w:tcW w:type="dxa" w:w="2262"/>
          </w:tcPr>
          <w:p>
            <w:r>
              <w:rPr>
                <w:b w:val="0"/>
              </w:rPr>
              <w:t>10. Tip a performer</w:t>
            </w:r>
          </w:p>
        </w:tc>
        <w:tc>
          <w:tcPr>
            <w:tcW w:type="dxa" w:w="2262"/>
          </w:tcPr>
          <w:p>
            <w:r>
              <w:rPr>
                <w:b w:val="0"/>
              </w:rPr>
              <w:t>Donate (modal over the viewing room)</w:t>
            </w:r>
          </w:p>
        </w:tc>
        <w:tc>
          <w:tcPr>
            <w:tcW w:type="dxa" w:w="2262"/>
          </w:tcPr>
          <w:p>
            <w:r>
              <w:rPr>
                <w:b w:val="0"/>
              </w:rPr>
              <w:t>Choose a performer from the line-up, enter an amount and an optional message, decide whether to appear anonymously or hide the amount, then pay through VNPay.</w:t>
            </w:r>
          </w:p>
        </w:tc>
        <w:tc>
          <w:tcPr>
            <w:tcW w:type="dxa" w:w="2262"/>
          </w:tcPr>
          <w:p>
            <w:r>
              <w:rPr>
                <w:b w:val="0"/>
              </w:rPr>
              <w:t>The donation appears on the public ticker. Its status then advances as the venue acknowledges receipt and forwards the performer's share — visible on My Donations.</w:t>
            </w:r>
          </w:p>
        </w:tc>
      </w:tr>
      <w:tr>
        <w:tc>
          <w:tcPr>
            <w:tcW w:type="dxa" w:w="2262"/>
          </w:tcPr>
          <w:p>
            <w:r>
              <w:rPr>
                <w:b w:val="0"/>
              </w:rPr>
              <w:t>11. Rate the show</w:t>
            </w:r>
          </w:p>
        </w:tc>
        <w:tc>
          <w:tcPr>
            <w:tcW w:type="dxa" w:w="2262"/>
          </w:tcPr>
          <w:p>
            <w:r>
              <w:rPr>
                <w:b w:val="0"/>
              </w:rPr>
              <w:t>Rate Show (modal on Show Detail)</w:t>
            </w:r>
          </w:p>
        </w:tc>
        <w:tc>
          <w:tcPr>
            <w:tcW w:type="dxa" w:w="2262"/>
          </w:tcPr>
          <w:p>
            <w:r>
              <w:rPr>
                <w:b w:val="0"/>
              </w:rPr>
              <w:t>After the show ends, leave a star rating and a comment.</w:t>
            </w:r>
          </w:p>
        </w:tc>
        <w:tc>
          <w:tcPr>
            <w:tcW w:type="dxa" w:w="2262"/>
          </w:tcPr>
          <w:p>
            <w:r>
              <w:rPr>
                <w:b w:val="0"/>
              </w:rPr>
              <w:t>Your rating is added to the show's public average.</w:t>
            </w:r>
          </w:p>
        </w:tc>
      </w:tr>
    </w:tbl>
    <w:p>
      <w:pPr>
        <w:pStyle w:val="Heading3"/>
      </w:pPr>
      <w:r>
        <w:rPr>
          <w:b w:val="0"/>
          <w:i w:val="0"/>
        </w:rPr>
        <w:t>3.5 Workflow 4 — Staff: run the floor on show night</w:t>
      </w:r>
    </w:p>
    <w:p>
      <w:pPr/>
      <w:r>
        <w:rPr>
          <w:b w:val="0"/>
          <w:i w:val="0"/>
        </w:rPr>
        <w:t>On the Staff Mobile app. A Staff account is created by an Owner assigning an existing account to their venue — there is no Staff self-registration — and the session is scoped to that one venue for the whole shift, so there is no venue switcher to get wrong.</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Get assigned</w:t>
            </w:r>
          </w:p>
        </w:tc>
        <w:tc>
          <w:tcPr>
            <w:tcW w:type="dxa" w:w="2262"/>
          </w:tcPr>
          <w:p>
            <w:r>
              <w:rPr>
                <w:b w:val="0"/>
              </w:rPr>
              <w:t>(Owner Dashboard) Staff Management</w:t>
            </w:r>
          </w:p>
        </w:tc>
        <w:tc>
          <w:tcPr>
            <w:tcW w:type="dxa" w:w="2262"/>
          </w:tcPr>
          <w:p>
            <w:r>
              <w:rPr>
                <w:b w:val="0"/>
              </w:rPr>
              <w:t>The Owner enters the staff member's existing account email and assigns them to the venue.</w:t>
            </w:r>
          </w:p>
        </w:tc>
        <w:tc>
          <w:tcPr>
            <w:tcW w:type="dxa" w:w="2262"/>
          </w:tcPr>
          <w:p>
            <w:r>
              <w:rPr>
                <w:b w:val="0"/>
              </w:rPr>
              <w:t>The account gains Staff access to that venue only. One account may be actively assigned to one venue at a time.</w:t>
            </w:r>
          </w:p>
        </w:tc>
      </w:tr>
      <w:tr>
        <w:tc>
          <w:tcPr>
            <w:tcW w:type="dxa" w:w="2262"/>
          </w:tcPr>
          <w:p>
            <w:r>
              <w:rPr>
                <w:b w:val="0"/>
              </w:rPr>
              <w:t>2. Sign in</w:t>
            </w:r>
          </w:p>
        </w:tc>
        <w:tc>
          <w:tcPr>
            <w:tcW w:type="dxa" w:w="2262"/>
          </w:tcPr>
          <w:p>
            <w:r>
              <w:rPr>
                <w:b w:val="0"/>
              </w:rPr>
              <w:t>(Staff Mobile) Log In</w:t>
            </w:r>
          </w:p>
        </w:tc>
        <w:tc>
          <w:tcPr>
            <w:tcW w:type="dxa" w:w="2262"/>
          </w:tcPr>
          <w:p>
            <w:r>
              <w:rPr>
                <w:b w:val="0"/>
              </w:rPr>
              <w:t>Sign in with the assigned account.</w:t>
            </w:r>
          </w:p>
        </w:tc>
        <w:tc>
          <w:tcPr>
            <w:tcW w:type="dxa" w:w="2262"/>
          </w:tcPr>
          <w:p>
            <w:r>
              <w:rPr>
                <w:b w:val="0"/>
              </w:rPr>
              <w:t>The app opens on a bottom tab bar — Sell, Check-In, F&amp;B — already scoped to your venue.</w:t>
            </w:r>
          </w:p>
        </w:tc>
      </w:tr>
      <w:tr>
        <w:tc>
          <w:tcPr>
            <w:tcW w:type="dxa" w:w="2262"/>
          </w:tcPr>
          <w:p>
            <w:r>
              <w:rPr>
                <w:b w:val="0"/>
              </w:rPr>
              <w:t>3. Sell at the counter</w:t>
            </w:r>
          </w:p>
        </w:tc>
        <w:tc>
          <w:tcPr>
            <w:tcW w:type="dxa" w:w="2262"/>
          </w:tcPr>
          <w:p>
            <w:r>
              <w:rPr>
                <w:b w:val="0"/>
              </w:rPr>
              <w:t>Walk-In Sale → Sale Confirmation</w:t>
            </w:r>
          </w:p>
        </w:tc>
        <w:tc>
          <w:tcPr>
            <w:tcW w:type="dxa" w:w="2262"/>
          </w:tcPr>
          <w:p>
            <w:r>
              <w:rPr>
                <w:b w:val="0"/>
              </w:rPr>
              <w:t>Pick the show and tier, set the quantity, take cash, and confirm.</w:t>
            </w:r>
          </w:p>
        </w:tc>
        <w:tc>
          <w:tcPr>
            <w:tcW w:type="dxa" w:w="2262"/>
          </w:tcPr>
          <w:p>
            <w:r>
              <w:rPr>
                <w:b w:val="0"/>
              </w:rPr>
              <w:t>A confirmed ticket with its QR code, ready to hand over or scan straight away. Walk-in sales continue after the show has started.</w:t>
            </w:r>
          </w:p>
        </w:tc>
      </w:tr>
      <w:tr>
        <w:tc>
          <w:tcPr>
            <w:tcW w:type="dxa" w:w="2262"/>
          </w:tcPr>
          <w:p>
            <w:r>
              <w:rPr>
                <w:b w:val="0"/>
              </w:rPr>
              <w:t>4. Check tickets at the door</w:t>
            </w:r>
          </w:p>
        </w:tc>
        <w:tc>
          <w:tcPr>
            <w:tcW w:type="dxa" w:w="2262"/>
          </w:tcPr>
          <w:p>
            <w:r>
              <w:rPr>
                <w:b w:val="0"/>
              </w:rPr>
              <w:t>Check-In Scanner</w:t>
            </w:r>
          </w:p>
        </w:tc>
        <w:tc>
          <w:tcPr>
            <w:tcW w:type="dxa" w:w="2262"/>
          </w:tcPr>
          <w:p>
            <w:r>
              <w:rPr>
                <w:b w:val="0"/>
              </w:rPr>
              <w:t>Scan the customer's QR code and review the preview before confirming.</w:t>
            </w:r>
          </w:p>
        </w:tc>
        <w:tc>
          <w:tcPr>
            <w:tcW w:type="dxa" w:w="2262"/>
          </w:tcPr>
          <w:p>
            <w:r>
              <w:rPr>
                <w:b w:val="0"/>
              </w:rPr>
              <w:t>A clear accepted result, or a specific refusal — already used, wrong show, online-only ticket, or frozen mid-transfer. There is no offline mode: if the connection drops the scan fails visibly rather than appearing to succeed.</w:t>
            </w:r>
          </w:p>
        </w:tc>
      </w:tr>
      <w:tr>
        <w:tc>
          <w:tcPr>
            <w:tcW w:type="dxa" w:w="2262"/>
          </w:tcPr>
          <w:p>
            <w:r>
              <w:rPr>
                <w:b w:val="0"/>
              </w:rPr>
              <w:t>5. Work the F&amp;B orders</w:t>
            </w:r>
          </w:p>
        </w:tc>
        <w:tc>
          <w:tcPr>
            <w:tcW w:type="dxa" w:w="2262"/>
          </w:tcPr>
          <w:p>
            <w:r>
              <w:rPr>
                <w:b w:val="0"/>
              </w:rPr>
              <w:t>Order Board</w:t>
            </w:r>
          </w:p>
        </w:tc>
        <w:tc>
          <w:tcPr>
            <w:tcW w:type="dxa" w:w="2262"/>
          </w:tcPr>
          <w:p>
            <w:r>
              <w:rPr>
                <w:b w:val="0"/>
              </w:rPr>
              <w:t>Advance each order through Pending → Preparing → Served → Paid, or cancel it.</w:t>
            </w:r>
          </w:p>
        </w:tc>
        <w:tc>
          <w:tcPr>
            <w:tcW w:type="dxa" w:w="2262"/>
          </w:tcPr>
          <w:p>
            <w:r>
              <w:rPr>
                <w:b w:val="0"/>
              </w:rPr>
              <w:t>The board offers exactly one next action per order rather than a free choice of status, so an order cannot skip a step.</w:t>
            </w:r>
          </w:p>
        </w:tc>
      </w:tr>
      <w:tr>
        <w:tc>
          <w:tcPr>
            <w:tcW w:type="dxa" w:w="2262"/>
          </w:tcPr>
          <w:p>
            <w:r>
              <w:rPr>
                <w:b w:val="0"/>
              </w:rPr>
              <w:t>6. Start and end the broadcast</w:t>
            </w:r>
          </w:p>
        </w:tc>
        <w:tc>
          <w:tcPr>
            <w:tcW w:type="dxa" w:w="2262"/>
          </w:tcPr>
          <w:p>
            <w:r>
              <w:rPr>
                <w:b w:val="0"/>
              </w:rPr>
              <w:t>Show Control Center (Start/End only)</w:t>
            </w:r>
          </w:p>
        </w:tc>
        <w:tc>
          <w:tcPr>
            <w:tcW w:type="dxa" w:w="2262"/>
          </w:tcPr>
          <w:p>
            <w:r>
              <w:rPr>
                <w:b w:val="0"/>
              </w:rPr>
              <w:t>At show time, start the broadcast; stop it when the show ends.</w:t>
            </w:r>
          </w:p>
        </w:tc>
        <w:tc>
          <w:tcPr>
            <w:tcW w:type="dxa" w:w="2262"/>
          </w:tcPr>
          <w:p>
            <w:r>
              <w:rPr>
                <w:b w:val="0"/>
              </w:rPr>
              <w:t>Viewers with a livestream ticket can now join. Staff see only Start and End — every other show action is hidden, not merely disabled.</w:t>
            </w:r>
          </w:p>
        </w:tc>
      </w:tr>
    </w:tbl>
    <w:p>
      <w:pPr>
        <w:pStyle w:val="Heading3"/>
      </w:pPr>
      <w:r>
        <w:rPr>
          <w:b w:val="0"/>
          <w:i w:val="0"/>
        </w:rPr>
        <w:t>3.6 Key things to know</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Pr>
                <w:b/>
              </w:rPr>
              <w:t>Topic</w:t>
            </w:r>
          </w:p>
        </w:tc>
        <w:tc>
          <w:tcPr>
            <w:tcW w:type="dxa" w:w="4525"/>
          </w:tcPr>
          <w:p>
            <w:r>
              <w:rPr>
                <w:b/>
              </w:rPr>
              <w:t>What to know</w:t>
            </w:r>
          </w:p>
        </w:tc>
      </w:tr>
      <w:tr>
        <w:tc>
          <w:tcPr>
            <w:tcW w:type="dxa" w:w="4525"/>
          </w:tcPr>
          <w:p>
            <w:r>
              <w:rPr>
                <w:b w:val="0"/>
              </w:rPr>
              <w:t>Signing in</w:t>
            </w:r>
          </w:p>
        </w:tc>
        <w:tc>
          <w:tcPr>
            <w:tcW w:type="dxa" w:w="4525"/>
          </w:tcPr>
          <w:p>
            <w:r>
              <w:rPr>
                <w:b w:val="0"/>
              </w:rPr>
              <w:t>One account works across every surface it has access to. Your role decides what you see — there are no separate logins per application.</w:t>
            </w:r>
          </w:p>
        </w:tc>
      </w:tr>
      <w:tr>
        <w:tc>
          <w:tcPr>
            <w:tcW w:type="dxa" w:w="4525"/>
          </w:tcPr>
          <w:p>
            <w:r>
              <w:rPr>
                <w:b w:val="0"/>
              </w:rPr>
              <w:t>Roles</w:t>
            </w:r>
          </w:p>
        </w:tc>
        <w:tc>
          <w:tcPr>
            <w:tcW w:type="dxa" w:w="4525"/>
          </w:tcPr>
          <w:p>
            <w:r>
              <w:rPr>
                <w:b w:val="0"/>
              </w:rPr>
              <w:t>Anyone may register as Audience or Owner. Staff access is granted by an Owner; Admin accounts are provisioned by an operator and cannot be self-registered.</w:t>
            </w:r>
          </w:p>
        </w:tc>
      </w:tr>
      <w:tr>
        <w:tc>
          <w:tcPr>
            <w:tcW w:type="dxa" w:w="4525"/>
          </w:tcPr>
          <w:p>
            <w:r>
              <w:rPr>
                <w:b w:val="0"/>
              </w:rPr>
              <w:t>Venue approval</w:t>
            </w:r>
          </w:p>
        </w:tc>
        <w:tc>
          <w:tcPr>
            <w:tcW w:type="dxa" w:w="4525"/>
          </w:tcPr>
          <w:p>
            <w:r>
              <w:rPr>
                <w:b w:val="0"/>
              </w:rPr>
              <w:t>A venue must be approved by an Admin before it is publicly listed or may publish any show.</w:t>
            </w:r>
          </w:p>
        </w:tc>
      </w:tr>
      <w:tr>
        <w:tc>
          <w:tcPr>
            <w:tcW w:type="dxa" w:w="4525"/>
          </w:tcPr>
          <w:p>
            <w:r>
              <w:rPr>
                <w:b w:val="0"/>
              </w:rPr>
              <w:t>Show lifecycle</w:t>
            </w:r>
          </w:p>
        </w:tc>
        <w:tc>
          <w:tcPr>
            <w:tcW w:type="dxa" w:w="4525"/>
          </w:tcPr>
          <w:p>
            <w:r>
              <w:rPr>
                <w:b w:val="0"/>
              </w:rPr>
              <w:t>Draft → Pending (Owner submits) → Published (Admin approves). Only a published show is publicly visible or sellable.</w:t>
            </w:r>
          </w:p>
        </w:tc>
      </w:tr>
      <w:tr>
        <w:tc>
          <w:tcPr>
            <w:tcW w:type="dxa" w:w="4525"/>
          </w:tcPr>
          <w:p>
            <w:r>
              <w:rPr>
                <w:b w:val="0"/>
              </w:rPr>
              <w:t>Ticket validity</w:t>
            </w:r>
          </w:p>
        </w:tc>
        <w:tc>
          <w:tcPr>
            <w:tcW w:type="dxa" w:w="4525"/>
          </w:tcPr>
          <w:p>
            <w:r>
              <w:rPr>
                <w:b w:val="0"/>
              </w:rPr>
              <w:t>A ticket is valid for the whole evening, not a fixed start time, and walk-in sales continue after the show has begun.</w:t>
            </w:r>
          </w:p>
        </w:tc>
      </w:tr>
      <w:tr>
        <w:tc>
          <w:tcPr>
            <w:tcW w:type="dxa" w:w="4525"/>
          </w:tcPr>
          <w:p>
            <w:r>
              <w:rPr>
                <w:b w:val="0"/>
              </w:rPr>
              <w:t>Ticket holds</w:t>
            </w:r>
          </w:p>
        </w:tc>
        <w:tc>
          <w:tcPr>
            <w:tcW w:type="dxa" w:w="4525"/>
          </w:tcPr>
          <w:p>
            <w:r>
              <w:rPr>
                <w:b w:val="0"/>
              </w:rPr>
              <w:t>Selecting tickets reserves them for 15 minutes. If payment is not completed the hold is released automatically and the seats return to sale.</w:t>
            </w:r>
          </w:p>
        </w:tc>
      </w:tr>
      <w:tr>
        <w:tc>
          <w:tcPr>
            <w:tcW w:type="dxa" w:w="4525"/>
          </w:tcPr>
          <w:p>
            <w:r>
              <w:rPr>
                <w:b w:val="0"/>
              </w:rPr>
              <w:t>Payments</w:t>
            </w:r>
          </w:p>
        </w:tc>
        <w:tc>
          <w:tcPr>
            <w:tcW w:type="dxa" w:w="4525"/>
          </w:tcPr>
          <w:p>
            <w:r>
              <w:rPr>
                <w:b w:val="0"/>
              </w:rPr>
              <w:t>All payments go through VNPay; the platform never sees card details. A confirmation can arrive even if you close the browser tab, because VNPay notifies the platform independently.</w:t>
            </w:r>
          </w:p>
        </w:tc>
      </w:tr>
      <w:tr>
        <w:tc>
          <w:tcPr>
            <w:tcW w:type="dxa" w:w="4525"/>
          </w:tcPr>
          <w:p>
            <w:r>
              <w:rPr>
                <w:b w:val="0"/>
              </w:rPr>
              <w:t>Donations</w:t>
            </w:r>
          </w:p>
        </w:tc>
        <w:tc>
          <w:tcPr>
            <w:tcW w:type="dxa" w:w="4525"/>
          </w:tcPr>
          <w:p>
            <w:r>
              <w:rPr>
                <w:b w:val="0"/>
              </w:rPr>
              <w:t>A tip is not paid to the performer instantly — the venue acknowledges receipt and then forwards the performer's share, and every step is visible to the donor and on the public transparency feed.</w:t>
            </w:r>
          </w:p>
        </w:tc>
      </w:tr>
      <w:tr>
        <w:tc>
          <w:tcPr>
            <w:tcW w:type="dxa" w:w="4525"/>
          </w:tcPr>
          <w:p>
            <w:r>
              <w:rPr>
                <w:b w:val="0"/>
              </w:rPr>
              <w:t>Refunds</w:t>
            </w:r>
          </w:p>
        </w:tc>
        <w:tc>
          <w:tcPr>
            <w:tcW w:type="dxa" w:w="4525"/>
          </w:tcPr>
          <w:p>
            <w:r>
              <w:rPr>
                <w:b w:val="0"/>
              </w:rPr>
              <w:t>Cancelling a ticket or a show creates a refund request that an Admin reviews; refunds are not paid out automatically.</w:t>
            </w:r>
          </w:p>
        </w:tc>
      </w:tr>
      <w:tr>
        <w:tc>
          <w:tcPr>
            <w:tcW w:type="dxa" w:w="4525"/>
          </w:tcPr>
          <w:p>
            <w:r>
              <w:rPr>
                <w:b w:val="0"/>
              </w:rPr>
              <w:t>Offline behaviour</w:t>
            </w:r>
          </w:p>
        </w:tc>
        <w:tc>
          <w:tcPr>
            <w:tcW w:type="dxa" w:w="4525"/>
          </w:tcPr>
          <w:p>
            <w:r>
              <w:rPr>
                <w:b w:val="0"/>
              </w:rPr>
              <w:t>Door check-in and counter sales require a connection. A dropped connection blocks the action rather than silently queuing it — an accepted trade-off to avoid double-selling a seat.</w:t>
            </w:r>
          </w:p>
        </w:tc>
      </w:tr>
      <w:tr>
        <w:tc>
          <w:tcPr>
            <w:tcW w:type="dxa" w:w="4525"/>
          </w:tcPr>
          <w:p>
            <w:r>
              <w:rPr>
                <w:b w:val="0"/>
              </w:rPr>
              <w:t>Privacy</w:t>
            </w:r>
          </w:p>
        </w:tc>
        <w:tc>
          <w:tcPr>
            <w:tcW w:type="dxa" w:w="4525"/>
          </w:tcPr>
          <w:p>
            <w:r>
              <w:rPr>
                <w:b w:val="0"/>
              </w:rPr>
              <w:t>You can export or permanently erase your own personal data from Privacy &amp; Data. Erasure is irreversible and signs you out everywhere; financial records are retained in anonymised form as the law requires.</w:t>
            </w:r>
          </w:p>
        </w:tc>
      </w:tr>
      <w:tr>
        <w:tc>
          <w:tcPr>
            <w:tcW w:type="dxa" w:w="4525"/>
          </w:tcPr>
          <w:p>
            <w:r>
              <w:rPr>
                <w:b w:val="0"/>
              </w:rPr>
              <w:t>Notifications</w:t>
            </w:r>
          </w:p>
        </w:tc>
        <w:tc>
          <w:tcPr>
            <w:tcW w:type="dxa" w:w="4525"/>
          </w:tcPr>
          <w:p>
            <w:r>
              <w:rPr>
                <w:b w:val="0"/>
              </w:rPr>
              <w:t>In-app notifications appear on every surface; push notifications require granting permission in the mobile apps; some events also arrive by email or SMS.</w:t>
            </w:r>
          </w:p>
        </w:tc>
      </w:tr>
    </w:tbl>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6"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2"/>
  </w:num>
  <w:num w:numId="4">
    <w:abstractNumId w:val="1"/>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84244"/>
    <w:rsid w:val="000B4EA5"/>
    <w:rsid w:val="000C287A"/>
    <w:rsid w:val="00105B35"/>
    <w:rsid w:val="00110F65"/>
    <w:rsid w:val="0015305A"/>
    <w:rsid w:val="00155E22"/>
    <w:rsid w:val="00192319"/>
    <w:rsid w:val="00192564"/>
    <w:rsid w:val="001C5421"/>
    <w:rsid w:val="001D0411"/>
    <w:rsid w:val="0023711D"/>
    <w:rsid w:val="00242AE1"/>
    <w:rsid w:val="00252176"/>
    <w:rsid w:val="00294C2B"/>
    <w:rsid w:val="002A022C"/>
    <w:rsid w:val="002A545F"/>
    <w:rsid w:val="002B1CB5"/>
    <w:rsid w:val="002B6EBD"/>
    <w:rsid w:val="002E0C5F"/>
    <w:rsid w:val="002E2423"/>
    <w:rsid w:val="00312D34"/>
    <w:rsid w:val="00350175"/>
    <w:rsid w:val="003B5DB2"/>
    <w:rsid w:val="003C1112"/>
    <w:rsid w:val="003E62DE"/>
    <w:rsid w:val="003F79EA"/>
    <w:rsid w:val="00410588"/>
    <w:rsid w:val="00440339"/>
    <w:rsid w:val="00461A1E"/>
    <w:rsid w:val="004B043A"/>
    <w:rsid w:val="004C7F8F"/>
    <w:rsid w:val="004E28A4"/>
    <w:rsid w:val="004E2BD0"/>
    <w:rsid w:val="005538C3"/>
    <w:rsid w:val="00570232"/>
    <w:rsid w:val="00570587"/>
    <w:rsid w:val="005922B2"/>
    <w:rsid w:val="00593E6F"/>
    <w:rsid w:val="005F490F"/>
    <w:rsid w:val="00623625"/>
    <w:rsid w:val="0065251E"/>
    <w:rsid w:val="00681920"/>
    <w:rsid w:val="006967F2"/>
    <w:rsid w:val="006C61C6"/>
    <w:rsid w:val="006D4C3E"/>
    <w:rsid w:val="007061E6"/>
    <w:rsid w:val="00713953"/>
    <w:rsid w:val="00724329"/>
    <w:rsid w:val="00792236"/>
    <w:rsid w:val="00794A14"/>
    <w:rsid w:val="00795EF6"/>
    <w:rsid w:val="007B7829"/>
    <w:rsid w:val="007B7BC4"/>
    <w:rsid w:val="007D73E6"/>
    <w:rsid w:val="00810D51"/>
    <w:rsid w:val="0081541F"/>
    <w:rsid w:val="008312FF"/>
    <w:rsid w:val="00832C26"/>
    <w:rsid w:val="00851703"/>
    <w:rsid w:val="008E2DD2"/>
    <w:rsid w:val="008F19EB"/>
    <w:rsid w:val="008F69DA"/>
    <w:rsid w:val="00906B62"/>
    <w:rsid w:val="00907D64"/>
    <w:rsid w:val="00914AE2"/>
    <w:rsid w:val="00922652"/>
    <w:rsid w:val="00922A14"/>
    <w:rsid w:val="00934074"/>
    <w:rsid w:val="0093643B"/>
    <w:rsid w:val="00937399"/>
    <w:rsid w:val="0097089C"/>
    <w:rsid w:val="00977EAE"/>
    <w:rsid w:val="00994D46"/>
    <w:rsid w:val="009B7085"/>
    <w:rsid w:val="009D51A2"/>
    <w:rsid w:val="00A0058F"/>
    <w:rsid w:val="00A63022"/>
    <w:rsid w:val="00A95B3E"/>
    <w:rsid w:val="00AB056F"/>
    <w:rsid w:val="00AB14C9"/>
    <w:rsid w:val="00AC7B82"/>
    <w:rsid w:val="00AD7DB1"/>
    <w:rsid w:val="00B20576"/>
    <w:rsid w:val="00B44E27"/>
    <w:rsid w:val="00B54F88"/>
    <w:rsid w:val="00B70E7B"/>
    <w:rsid w:val="00BC5D68"/>
    <w:rsid w:val="00C819A9"/>
    <w:rsid w:val="00C87F08"/>
    <w:rsid w:val="00C9298A"/>
    <w:rsid w:val="00C9405C"/>
    <w:rsid w:val="00CB5C1D"/>
    <w:rsid w:val="00CC0EC6"/>
    <w:rsid w:val="00D01441"/>
    <w:rsid w:val="00D15760"/>
    <w:rsid w:val="00D33E5D"/>
    <w:rsid w:val="00D77EDC"/>
    <w:rsid w:val="00DA394D"/>
    <w:rsid w:val="00DA4C4C"/>
    <w:rsid w:val="00DA653C"/>
    <w:rsid w:val="00DD74C0"/>
    <w:rsid w:val="00E57032"/>
    <w:rsid w:val="00E6342E"/>
    <w:rsid w:val="00E64B93"/>
    <w:rsid w:val="00EB7367"/>
    <w:rsid w:val="00ED1C1D"/>
    <w:rsid w:val="00EE3FE0"/>
    <w:rsid w:val="00EF03B2"/>
    <w:rsid w:val="00F01FF0"/>
    <w:rsid w:val="00F0214B"/>
    <w:rsid w:val="00F07421"/>
    <w:rsid w:val="00F17628"/>
    <w:rsid w:val="00F26556"/>
    <w:rsid w:val="00F37798"/>
    <w:rsid w:val="00F57E8D"/>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2D7D"/>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BodyText">
    <w:name w:val="Body Text"/>
    <w:basedOn w:val="Normal"/>
    <w:next w:val="Normal"/>
    <w:link w:val="BodyTextChar"/>
    <w:rsid w:val="005F490F"/>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5F490F"/>
    <w:rPr>
      <w:rFonts w:ascii="Arial" w:eastAsia="Times New Roman" w:hAnsi="Arial" w:cs="Tahoma"/>
      <w:sz w:val="20"/>
      <w:szCs w:val="20"/>
      <w:lang w:val="en-AU" w:eastAsia="ar-SA"/>
    </w:rPr>
  </w:style>
  <w:style w:type="paragraph" w:styleId="TOCHeading">
    <w:name w:val="TOC Heading"/>
    <w:basedOn w:val="Heading1"/>
    <w:next w:val="Normal"/>
    <w:uiPriority w:val="39"/>
    <w:unhideWhenUsed/>
    <w:qFormat/>
    <w:rsid w:val="00907D64"/>
    <w:pPr>
      <w:outlineLvl w:val="9"/>
    </w:pPr>
    <w:rPr>
      <w:b w:val="0"/>
      <w:color w:val="2E74B5" w:themeColor="accent1" w:themeShade="BF"/>
      <w:lang w:val="en-US"/>
    </w:rPr>
  </w:style>
  <w:style w:type="paragraph" w:styleId="TOC1">
    <w:name w:val="toc 1"/>
    <w:basedOn w:val="Normal"/>
    <w:next w:val="Normal"/>
    <w:autoRedefine/>
    <w:uiPriority w:val="39"/>
    <w:unhideWhenUsed/>
    <w:rsid w:val="00907D64"/>
    <w:pPr>
      <w:spacing w:after="100"/>
    </w:pPr>
  </w:style>
  <w:style w:type="paragraph" w:styleId="TOC2">
    <w:name w:val="toc 2"/>
    <w:basedOn w:val="Normal"/>
    <w:next w:val="Normal"/>
    <w:autoRedefine/>
    <w:uiPriority w:val="39"/>
    <w:unhideWhenUsed/>
    <w:rsid w:val="00907D64"/>
    <w:pPr>
      <w:spacing w:after="100"/>
      <w:ind w:left="220"/>
    </w:pPr>
  </w:style>
  <w:style w:type="paragraph" w:styleId="TOC3">
    <w:name w:val="toc 3"/>
    <w:basedOn w:val="Normal"/>
    <w:next w:val="Normal"/>
    <w:autoRedefine/>
    <w:uiPriority w:val="39"/>
    <w:unhideWhenUsed/>
    <w:rsid w:val="00907D64"/>
    <w:pPr>
      <w:spacing w:after="100"/>
      <w:ind w:left="440"/>
    </w:pPr>
  </w:style>
  <w:style w:type="paragraph" w:customStyle="1" w:styleId="Bang0">
    <w:name w:val="Bang"/>
    <w:basedOn w:val="Normal"/>
    <w:autoRedefine/>
    <w:rsid w:val="007061E6"/>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7061E6"/>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1BF8A-35FB-4AE9-B9B1-6C10D2B95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4</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113</cp:revision>
  <dcterms:created xsi:type="dcterms:W3CDTF">2020-01-14T01:28:00Z</dcterms:created>
  <dcterms:modified xsi:type="dcterms:W3CDTF">2021-09-23T22:19:00Z</dcterms:modified>
</cp:coreProperties>
</file>