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339DF" w14:textId="77777777" w:rsidR="008951BC" w:rsidRDefault="008951BC" w:rsidP="008951BC"/>
    <w:p w14:paraId="5230004B" w14:textId="77777777" w:rsidR="008951BC" w:rsidRDefault="008951BC" w:rsidP="008951BC">
      <w:pPr>
        <w:jc w:val="center"/>
      </w:pPr>
      <w:r>
        <w:rPr>
          <w:noProof/>
        </w:rPr>
        <w:drawing>
          <wp:inline distT="0" distB="0" distL="0" distR="0" wp14:anchorId="2E47A22E" wp14:editId="0D2595A2">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168826BF" w14:textId="77777777" w:rsidR="008951BC" w:rsidRDefault="008951BC" w:rsidP="008951BC"/>
    <w:p w14:paraId="00433DA4" w14:textId="77777777" w:rsidR="008951BC" w:rsidRDefault="008951BC" w:rsidP="008951BC"/>
    <w:p w14:paraId="2EA05E4C" w14:textId="77777777" w:rsidR="008951BC" w:rsidRDefault="008951BC" w:rsidP="008951BC"/>
    <w:p w14:paraId="594E5969" w14:textId="77777777" w:rsidR="008951BC" w:rsidRDefault="008951BC" w:rsidP="008951BC"/>
    <w:p w14:paraId="2DC8E42B" w14:textId="77777777" w:rsidR="008951BC" w:rsidRDefault="008951BC" w:rsidP="008951BC"/>
    <w:p w14:paraId="0EE602FE" w14:textId="77777777" w:rsidR="008951BC" w:rsidRDefault="008951BC" w:rsidP="008951BC"/>
    <w:p w14:paraId="290D74AF" w14:textId="77777777" w:rsidR="008951BC" w:rsidRDefault="008951BC" w:rsidP="008951BC"/>
    <w:p w14:paraId="04423013" w14:textId="77777777" w:rsidR="008951BC" w:rsidRPr="001E7D54" w:rsidRDefault="008951BC" w:rsidP="008951BC">
      <w:pPr>
        <w:jc w:val="center"/>
        <w:rPr>
          <w:b/>
          <w:caps/>
          <w:color w:val="C00000"/>
          <w:sz w:val="56"/>
        </w:rPr>
      </w:pPr>
      <w:r w:rsidRPr="001E7D54">
        <w:rPr>
          <w:b/>
          <w:caps/>
          <w:color w:val="C00000"/>
          <w:sz w:val="56"/>
        </w:rPr>
        <w:t>Capstone Project Report</w:t>
      </w:r>
    </w:p>
    <w:p w14:paraId="7A3AFBDA" w14:textId="77777777" w:rsidR="008951BC" w:rsidRPr="001E7D54" w:rsidRDefault="008951BC" w:rsidP="008951BC">
      <w:pPr>
        <w:jc w:val="center"/>
        <w:rPr>
          <w:b/>
          <w:color w:val="C00000"/>
          <w:sz w:val="44"/>
        </w:rPr>
      </w:pPr>
      <w:r w:rsidRPr="001E7D54">
        <w:rPr>
          <w:b/>
          <w:color w:val="C00000"/>
          <w:sz w:val="44"/>
        </w:rPr>
        <w:t xml:space="preserve">Report </w:t>
      </w:r>
      <w:r w:rsidR="00BC799A" w:rsidRPr="001E7D54">
        <w:rPr>
          <w:b/>
          <w:color w:val="C00000"/>
          <w:sz w:val="44"/>
        </w:rPr>
        <w:t>4</w:t>
      </w:r>
      <w:r w:rsidRPr="001E7D54">
        <w:rPr>
          <w:b/>
          <w:color w:val="C00000"/>
          <w:sz w:val="44"/>
        </w:rPr>
        <w:t xml:space="preserve"> – </w:t>
      </w:r>
      <w:r w:rsidR="00050903" w:rsidRPr="001E7D54">
        <w:rPr>
          <w:b/>
          <w:color w:val="C00000"/>
          <w:sz w:val="44"/>
        </w:rPr>
        <w:t>Software Design Document</w:t>
      </w:r>
    </w:p>
    <w:p w14:paraId="43DCC7D1" w14:textId="77777777" w:rsidR="008951BC" w:rsidRDefault="008951BC" w:rsidP="008951BC">
      <w:pPr>
        <w:jc w:val="center"/>
        <w:rPr>
          <w:b/>
          <w:sz w:val="44"/>
        </w:rPr>
      </w:pPr>
    </w:p>
    <w:p w14:paraId="07EA6CE1" w14:textId="77777777" w:rsidR="008951BC" w:rsidRDefault="008951BC" w:rsidP="008951BC">
      <w:pPr>
        <w:jc w:val="center"/>
        <w:rPr>
          <w:b/>
          <w:sz w:val="44"/>
        </w:rPr>
      </w:pPr>
    </w:p>
    <w:p w14:paraId="475F9FF2" w14:textId="77777777" w:rsidR="008951BC" w:rsidRDefault="008951BC" w:rsidP="008951BC">
      <w:pPr>
        <w:jc w:val="center"/>
        <w:rPr>
          <w:b/>
          <w:sz w:val="44"/>
        </w:rPr>
      </w:pPr>
    </w:p>
    <w:p w14:paraId="3A87E733" w14:textId="77777777" w:rsidR="008951BC" w:rsidRDefault="008951BC" w:rsidP="008951BC">
      <w:pPr>
        <w:jc w:val="center"/>
        <w:rPr>
          <w:b/>
          <w:sz w:val="44"/>
        </w:rPr>
      </w:pPr>
    </w:p>
    <w:p w14:paraId="0ABD52AB" w14:textId="77777777" w:rsidR="008951BC" w:rsidRDefault="008951BC" w:rsidP="008951BC">
      <w:pPr>
        <w:jc w:val="center"/>
        <w:rPr>
          <w:b/>
          <w:sz w:val="44"/>
        </w:rPr>
      </w:pPr>
    </w:p>
    <w:p w14:paraId="1C191402" w14:textId="77777777" w:rsidR="008951BC" w:rsidRDefault="008951BC" w:rsidP="008951BC">
      <w:pPr>
        <w:jc w:val="center"/>
        <w:rPr>
          <w:b/>
          <w:sz w:val="44"/>
        </w:rPr>
      </w:pPr>
    </w:p>
    <w:p w14:paraId="092158D0" w14:textId="77777777" w:rsidR="008951BC" w:rsidRDefault="008951BC" w:rsidP="008951BC">
      <w:pPr>
        <w:jc w:val="center"/>
        <w:rPr>
          <w:b/>
          <w:sz w:val="44"/>
        </w:rPr>
      </w:pPr>
    </w:p>
    <w:p w14:paraId="5F58CCFF" w14:textId="77777777" w:rsidR="008951BC" w:rsidRPr="000C4CD6" w:rsidRDefault="008951BC" w:rsidP="008951BC">
      <w:pPr>
        <w:spacing w:before="89"/>
        <w:ind w:left="2526" w:right="2171"/>
        <w:jc w:val="center"/>
        <w:rPr>
          <w:rFonts w:cstheme="minorHAnsi"/>
          <w:sz w:val="28"/>
          <w:szCs w:val="28"/>
        </w:rPr>
      </w:pPr>
      <w:r w:rsidRPr="000C4CD6">
        <w:rPr>
          <w:rFonts w:cstheme="minorHAnsi"/>
          <w:sz w:val="28"/>
          <w:szCs w:val="28"/>
        </w:rPr>
        <w:t>– Hanoi, August 2019 –</w:t>
      </w:r>
    </w:p>
    <w:p w14:paraId="6CBD3DA2" w14:textId="77777777" w:rsidR="0064654D" w:rsidRDefault="0064654D">
      <w:r>
        <w:br w:type="page"/>
      </w:r>
    </w:p>
    <w:sdt>
      <w:sdtPr>
        <w:rPr>
          <w:rFonts w:asciiTheme="minorHAnsi" w:eastAsiaTheme="minorHAnsi" w:hAnsiTheme="minorHAnsi" w:cstheme="minorBidi"/>
          <w:color w:val="auto"/>
          <w:sz w:val="22"/>
          <w:szCs w:val="22"/>
        </w:rPr>
        <w:id w:val="282395304"/>
        <w:docPartObj>
          <w:docPartGallery w:val="Table of Contents"/>
          <w:docPartUnique/>
        </w:docPartObj>
      </w:sdtPr>
      <w:sdtEndPr>
        <w:rPr>
          <w:b/>
          <w:bCs/>
          <w:noProof/>
        </w:rPr>
      </w:sdtEndPr>
      <w:sdtContent>
        <w:p w14:paraId="32F25861" w14:textId="77777777" w:rsidR="0064654D" w:rsidRPr="0064654D" w:rsidRDefault="0064654D">
          <w:pPr>
            <w:pStyle w:val="uMucluc"/>
            <w:rPr>
              <w:b/>
            </w:rPr>
          </w:pPr>
          <w:r w:rsidRPr="0064654D">
            <w:rPr>
              <w:b/>
            </w:rPr>
            <w:t>Table of Contents</w:t>
          </w:r>
        </w:p>
        <w:p w14:paraId="163543B4" w14:textId="77777777" w:rsidR="00B359D8" w:rsidRDefault="0064654D">
          <w:pPr>
            <w:pStyle w:val="Muclu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37756001" w:history="1">
            <w:r w:rsidR="00B359D8" w:rsidRPr="00965745">
              <w:rPr>
                <w:rStyle w:val="Siuktni"/>
                <w:noProof/>
              </w:rPr>
              <w:t>I. Record of Changes</w:t>
            </w:r>
            <w:r w:rsidR="00B359D8">
              <w:rPr>
                <w:noProof/>
                <w:webHidden/>
              </w:rPr>
              <w:tab/>
            </w:r>
            <w:r w:rsidR="00B359D8">
              <w:rPr>
                <w:noProof/>
                <w:webHidden/>
              </w:rPr>
              <w:fldChar w:fldCharType="begin"/>
            </w:r>
            <w:r w:rsidR="00B359D8">
              <w:rPr>
                <w:noProof/>
                <w:webHidden/>
              </w:rPr>
              <w:instrText xml:space="preserve"> PAGEREF _Toc237756001 \h </w:instrText>
            </w:r>
            <w:r w:rsidR="00B359D8">
              <w:rPr>
                <w:noProof/>
                <w:webHidden/>
              </w:rPr>
            </w:r>
            <w:r w:rsidR="00B359D8">
              <w:rPr>
                <w:noProof/>
                <w:webHidden/>
              </w:rPr>
              <w:fldChar w:fldCharType="separate"/>
            </w:r>
            <w:r w:rsidR="00B359D8">
              <w:rPr>
                <w:noProof/>
                <w:webHidden/>
              </w:rPr>
              <w:t>3</w:t>
            </w:r>
            <w:r w:rsidR="00B359D8">
              <w:rPr>
                <w:noProof/>
                <w:webHidden/>
              </w:rPr>
              <w:fldChar w:fldCharType="end"/>
            </w:r>
          </w:hyperlink>
        </w:p>
        <w:p w14:paraId="1473084A" w14:textId="77777777" w:rsidR="00B359D8" w:rsidRDefault="00000000">
          <w:pPr>
            <w:pStyle w:val="Mucluc1"/>
            <w:tabs>
              <w:tab w:val="right" w:leader="dot" w:pos="9350"/>
            </w:tabs>
            <w:rPr>
              <w:rFonts w:eastAsiaTheme="minorEastAsia"/>
              <w:noProof/>
              <w:kern w:val="2"/>
              <w:sz w:val="24"/>
              <w:szCs w:val="24"/>
              <w14:ligatures w14:val="standardContextual"/>
            </w:rPr>
          </w:pPr>
          <w:hyperlink w:anchor="_Toc237756002" w:history="1">
            <w:r w:rsidR="00B359D8" w:rsidRPr="00965745">
              <w:rPr>
                <w:rStyle w:val="Siuktni"/>
                <w:noProof/>
              </w:rPr>
              <w:t>II. Software Design Document</w:t>
            </w:r>
            <w:r w:rsidR="00B359D8">
              <w:rPr>
                <w:noProof/>
                <w:webHidden/>
              </w:rPr>
              <w:tab/>
            </w:r>
            <w:r w:rsidR="00B359D8">
              <w:rPr>
                <w:noProof/>
                <w:webHidden/>
              </w:rPr>
              <w:fldChar w:fldCharType="begin"/>
            </w:r>
            <w:r w:rsidR="00B359D8">
              <w:rPr>
                <w:noProof/>
                <w:webHidden/>
              </w:rPr>
              <w:instrText xml:space="preserve"> PAGEREF _Toc237756002 \h </w:instrText>
            </w:r>
            <w:r w:rsidR="00B359D8">
              <w:rPr>
                <w:noProof/>
                <w:webHidden/>
              </w:rPr>
            </w:r>
            <w:r w:rsidR="00B359D8">
              <w:rPr>
                <w:noProof/>
                <w:webHidden/>
              </w:rPr>
              <w:fldChar w:fldCharType="separate"/>
            </w:r>
            <w:r w:rsidR="00B359D8">
              <w:rPr>
                <w:noProof/>
                <w:webHidden/>
              </w:rPr>
              <w:t>4</w:t>
            </w:r>
            <w:r w:rsidR="00B359D8">
              <w:rPr>
                <w:noProof/>
                <w:webHidden/>
              </w:rPr>
              <w:fldChar w:fldCharType="end"/>
            </w:r>
          </w:hyperlink>
        </w:p>
        <w:p w14:paraId="1C11C5B1" w14:textId="77777777" w:rsidR="00B359D8" w:rsidRDefault="00000000">
          <w:pPr>
            <w:pStyle w:val="Mucluc2"/>
            <w:tabs>
              <w:tab w:val="right" w:leader="dot" w:pos="9350"/>
            </w:tabs>
            <w:rPr>
              <w:rFonts w:eastAsiaTheme="minorEastAsia"/>
              <w:noProof/>
              <w:kern w:val="2"/>
              <w:sz w:val="24"/>
              <w:szCs w:val="24"/>
              <w14:ligatures w14:val="standardContextual"/>
            </w:rPr>
          </w:pPr>
          <w:hyperlink w:anchor="_Toc237756003" w:history="1">
            <w:r w:rsidR="00B359D8" w:rsidRPr="00965745">
              <w:rPr>
                <w:rStyle w:val="Siuktni"/>
                <w:noProof/>
              </w:rPr>
              <w:t>1. System Design</w:t>
            </w:r>
            <w:r w:rsidR="00B359D8">
              <w:rPr>
                <w:noProof/>
                <w:webHidden/>
              </w:rPr>
              <w:tab/>
            </w:r>
            <w:r w:rsidR="00B359D8">
              <w:rPr>
                <w:noProof/>
                <w:webHidden/>
              </w:rPr>
              <w:fldChar w:fldCharType="begin"/>
            </w:r>
            <w:r w:rsidR="00B359D8">
              <w:rPr>
                <w:noProof/>
                <w:webHidden/>
              </w:rPr>
              <w:instrText xml:space="preserve"> PAGEREF _Toc237756003 \h </w:instrText>
            </w:r>
            <w:r w:rsidR="00B359D8">
              <w:rPr>
                <w:noProof/>
                <w:webHidden/>
              </w:rPr>
            </w:r>
            <w:r w:rsidR="00B359D8">
              <w:rPr>
                <w:noProof/>
                <w:webHidden/>
              </w:rPr>
              <w:fldChar w:fldCharType="separate"/>
            </w:r>
            <w:r w:rsidR="00B359D8">
              <w:rPr>
                <w:noProof/>
                <w:webHidden/>
              </w:rPr>
              <w:t>4</w:t>
            </w:r>
            <w:r w:rsidR="00B359D8">
              <w:rPr>
                <w:noProof/>
                <w:webHidden/>
              </w:rPr>
              <w:fldChar w:fldCharType="end"/>
            </w:r>
          </w:hyperlink>
        </w:p>
        <w:p w14:paraId="70D9E3BA" w14:textId="77777777" w:rsidR="00B359D8" w:rsidRDefault="00000000">
          <w:pPr>
            <w:pStyle w:val="Mucluc3"/>
            <w:tabs>
              <w:tab w:val="right" w:leader="dot" w:pos="9350"/>
            </w:tabs>
            <w:rPr>
              <w:rFonts w:eastAsiaTheme="minorEastAsia"/>
              <w:noProof/>
              <w:kern w:val="2"/>
              <w:sz w:val="24"/>
              <w:szCs w:val="24"/>
              <w14:ligatures w14:val="standardContextual"/>
            </w:rPr>
          </w:pPr>
          <w:hyperlink w:anchor="_Toc237756004" w:history="1">
            <w:r w:rsidR="00B359D8" w:rsidRPr="00965745">
              <w:rPr>
                <w:rStyle w:val="Siuktni"/>
                <w:noProof/>
              </w:rPr>
              <w:t>1.1 System Architecture</w:t>
            </w:r>
            <w:r w:rsidR="00B359D8">
              <w:rPr>
                <w:noProof/>
                <w:webHidden/>
              </w:rPr>
              <w:tab/>
            </w:r>
            <w:r w:rsidR="00B359D8">
              <w:rPr>
                <w:noProof/>
                <w:webHidden/>
              </w:rPr>
              <w:fldChar w:fldCharType="begin"/>
            </w:r>
            <w:r w:rsidR="00B359D8">
              <w:rPr>
                <w:noProof/>
                <w:webHidden/>
              </w:rPr>
              <w:instrText xml:space="preserve"> PAGEREF _Toc237756004 \h </w:instrText>
            </w:r>
            <w:r w:rsidR="00B359D8">
              <w:rPr>
                <w:noProof/>
                <w:webHidden/>
              </w:rPr>
            </w:r>
            <w:r w:rsidR="00B359D8">
              <w:rPr>
                <w:noProof/>
                <w:webHidden/>
              </w:rPr>
              <w:fldChar w:fldCharType="separate"/>
            </w:r>
            <w:r w:rsidR="00B359D8">
              <w:rPr>
                <w:noProof/>
                <w:webHidden/>
              </w:rPr>
              <w:t>4</w:t>
            </w:r>
            <w:r w:rsidR="00B359D8">
              <w:rPr>
                <w:noProof/>
                <w:webHidden/>
              </w:rPr>
              <w:fldChar w:fldCharType="end"/>
            </w:r>
          </w:hyperlink>
        </w:p>
        <w:p w14:paraId="72023AE6" w14:textId="77777777" w:rsidR="00B359D8" w:rsidRDefault="00000000">
          <w:pPr>
            <w:pStyle w:val="Mucluc3"/>
            <w:tabs>
              <w:tab w:val="right" w:leader="dot" w:pos="9350"/>
            </w:tabs>
            <w:rPr>
              <w:rFonts w:eastAsiaTheme="minorEastAsia"/>
              <w:noProof/>
              <w:kern w:val="2"/>
              <w:sz w:val="24"/>
              <w:szCs w:val="24"/>
              <w14:ligatures w14:val="standardContextual"/>
            </w:rPr>
          </w:pPr>
          <w:hyperlink w:anchor="_Toc237756005" w:history="1">
            <w:r w:rsidR="00B359D8" w:rsidRPr="00965745">
              <w:rPr>
                <w:rStyle w:val="Siuktni"/>
                <w:noProof/>
              </w:rPr>
              <w:t>1.2 Package Diagram</w:t>
            </w:r>
            <w:r w:rsidR="00B359D8">
              <w:rPr>
                <w:noProof/>
                <w:webHidden/>
              </w:rPr>
              <w:tab/>
            </w:r>
            <w:r w:rsidR="00B359D8">
              <w:rPr>
                <w:noProof/>
                <w:webHidden/>
              </w:rPr>
              <w:fldChar w:fldCharType="begin"/>
            </w:r>
            <w:r w:rsidR="00B359D8">
              <w:rPr>
                <w:noProof/>
                <w:webHidden/>
              </w:rPr>
              <w:instrText xml:space="preserve"> PAGEREF _Toc237756005 \h </w:instrText>
            </w:r>
            <w:r w:rsidR="00B359D8">
              <w:rPr>
                <w:noProof/>
                <w:webHidden/>
              </w:rPr>
            </w:r>
            <w:r w:rsidR="00B359D8">
              <w:rPr>
                <w:noProof/>
                <w:webHidden/>
              </w:rPr>
              <w:fldChar w:fldCharType="separate"/>
            </w:r>
            <w:r w:rsidR="00B359D8">
              <w:rPr>
                <w:noProof/>
                <w:webHidden/>
              </w:rPr>
              <w:t>8</w:t>
            </w:r>
            <w:r w:rsidR="00B359D8">
              <w:rPr>
                <w:noProof/>
                <w:webHidden/>
              </w:rPr>
              <w:fldChar w:fldCharType="end"/>
            </w:r>
          </w:hyperlink>
        </w:p>
        <w:p w14:paraId="5A9A6BC9" w14:textId="77777777" w:rsidR="00B359D8" w:rsidRDefault="00000000">
          <w:pPr>
            <w:pStyle w:val="Mucluc2"/>
            <w:tabs>
              <w:tab w:val="right" w:leader="dot" w:pos="9350"/>
            </w:tabs>
            <w:rPr>
              <w:rFonts w:eastAsiaTheme="minorEastAsia"/>
              <w:noProof/>
              <w:kern w:val="2"/>
              <w:sz w:val="24"/>
              <w:szCs w:val="24"/>
              <w14:ligatures w14:val="standardContextual"/>
            </w:rPr>
          </w:pPr>
          <w:hyperlink w:anchor="_Toc237756006" w:history="1">
            <w:r w:rsidR="00B359D8" w:rsidRPr="00965745">
              <w:rPr>
                <w:rStyle w:val="Siuktni"/>
                <w:noProof/>
              </w:rPr>
              <w:t>2. Database Design</w:t>
            </w:r>
            <w:r w:rsidR="00B359D8">
              <w:rPr>
                <w:noProof/>
                <w:webHidden/>
              </w:rPr>
              <w:tab/>
            </w:r>
            <w:r w:rsidR="00B359D8">
              <w:rPr>
                <w:noProof/>
                <w:webHidden/>
              </w:rPr>
              <w:fldChar w:fldCharType="begin"/>
            </w:r>
            <w:r w:rsidR="00B359D8">
              <w:rPr>
                <w:noProof/>
                <w:webHidden/>
              </w:rPr>
              <w:instrText xml:space="preserve"> PAGEREF _Toc237756006 \h </w:instrText>
            </w:r>
            <w:r w:rsidR="00B359D8">
              <w:rPr>
                <w:noProof/>
                <w:webHidden/>
              </w:rPr>
            </w:r>
            <w:r w:rsidR="00B359D8">
              <w:rPr>
                <w:noProof/>
                <w:webHidden/>
              </w:rPr>
              <w:fldChar w:fldCharType="separate"/>
            </w:r>
            <w:r w:rsidR="00B359D8">
              <w:rPr>
                <w:noProof/>
                <w:webHidden/>
              </w:rPr>
              <w:t>9</w:t>
            </w:r>
            <w:r w:rsidR="00B359D8">
              <w:rPr>
                <w:noProof/>
                <w:webHidden/>
              </w:rPr>
              <w:fldChar w:fldCharType="end"/>
            </w:r>
          </w:hyperlink>
        </w:p>
        <w:p w14:paraId="7125DCF3" w14:textId="77777777" w:rsidR="00B359D8" w:rsidRDefault="00000000">
          <w:pPr>
            <w:pStyle w:val="Mucluc2"/>
            <w:tabs>
              <w:tab w:val="right" w:leader="dot" w:pos="9350"/>
            </w:tabs>
            <w:rPr>
              <w:rFonts w:eastAsiaTheme="minorEastAsia"/>
              <w:noProof/>
              <w:kern w:val="2"/>
              <w:sz w:val="24"/>
              <w:szCs w:val="24"/>
              <w14:ligatures w14:val="standardContextual"/>
            </w:rPr>
          </w:pPr>
          <w:hyperlink w:anchor="_Toc237756007" w:history="1">
            <w:r w:rsidR="00B359D8" w:rsidRPr="00965745">
              <w:rPr>
                <w:rStyle w:val="Siuktni"/>
                <w:noProof/>
              </w:rPr>
              <w:t>3. Detailed Design</w:t>
            </w:r>
            <w:r w:rsidR="00B359D8">
              <w:rPr>
                <w:noProof/>
                <w:webHidden/>
              </w:rPr>
              <w:tab/>
            </w:r>
            <w:r w:rsidR="00B359D8">
              <w:rPr>
                <w:noProof/>
                <w:webHidden/>
              </w:rPr>
              <w:fldChar w:fldCharType="begin"/>
            </w:r>
            <w:r w:rsidR="00B359D8">
              <w:rPr>
                <w:noProof/>
                <w:webHidden/>
              </w:rPr>
              <w:instrText xml:space="preserve"> PAGEREF _Toc237756007 \h </w:instrText>
            </w:r>
            <w:r w:rsidR="00B359D8">
              <w:rPr>
                <w:noProof/>
                <w:webHidden/>
              </w:rPr>
            </w:r>
            <w:r w:rsidR="00B359D8">
              <w:rPr>
                <w:noProof/>
                <w:webHidden/>
              </w:rPr>
              <w:fldChar w:fldCharType="separate"/>
            </w:r>
            <w:r w:rsidR="00B359D8">
              <w:rPr>
                <w:noProof/>
                <w:webHidden/>
              </w:rPr>
              <w:t>9</w:t>
            </w:r>
            <w:r w:rsidR="00B359D8">
              <w:rPr>
                <w:noProof/>
                <w:webHidden/>
              </w:rPr>
              <w:fldChar w:fldCharType="end"/>
            </w:r>
          </w:hyperlink>
        </w:p>
        <w:p w14:paraId="549A5BCC" w14:textId="77777777" w:rsidR="00B359D8" w:rsidRDefault="00000000">
          <w:pPr>
            <w:pStyle w:val="Mucluc3"/>
            <w:tabs>
              <w:tab w:val="right" w:leader="dot" w:pos="9350"/>
            </w:tabs>
            <w:rPr>
              <w:rFonts w:eastAsiaTheme="minorEastAsia"/>
              <w:noProof/>
              <w:kern w:val="2"/>
              <w:sz w:val="24"/>
              <w:szCs w:val="24"/>
              <w14:ligatures w14:val="standardContextual"/>
            </w:rPr>
          </w:pPr>
          <w:hyperlink w:anchor="_Toc237756008" w:history="1">
            <w:r w:rsidR="00B359D8" w:rsidRPr="00965745">
              <w:rPr>
                <w:rStyle w:val="Siuktni"/>
                <w:noProof/>
              </w:rPr>
              <w:t>3.1 Common Structure — Command, Handler and Pipeline</w:t>
            </w:r>
            <w:r w:rsidR="00B359D8">
              <w:rPr>
                <w:noProof/>
                <w:webHidden/>
              </w:rPr>
              <w:tab/>
            </w:r>
            <w:r w:rsidR="00B359D8">
              <w:rPr>
                <w:noProof/>
                <w:webHidden/>
              </w:rPr>
              <w:fldChar w:fldCharType="begin"/>
            </w:r>
            <w:r w:rsidR="00B359D8">
              <w:rPr>
                <w:noProof/>
                <w:webHidden/>
              </w:rPr>
              <w:instrText xml:space="preserve"> PAGEREF _Toc237756008 \h </w:instrText>
            </w:r>
            <w:r w:rsidR="00B359D8">
              <w:rPr>
                <w:noProof/>
                <w:webHidden/>
              </w:rPr>
            </w:r>
            <w:r w:rsidR="00B359D8">
              <w:rPr>
                <w:noProof/>
                <w:webHidden/>
              </w:rPr>
              <w:fldChar w:fldCharType="separate"/>
            </w:r>
            <w:r w:rsidR="00B359D8">
              <w:rPr>
                <w:noProof/>
                <w:webHidden/>
              </w:rPr>
              <w:t>9</w:t>
            </w:r>
            <w:r w:rsidR="00B359D8">
              <w:rPr>
                <w:noProof/>
                <w:webHidden/>
              </w:rPr>
              <w:fldChar w:fldCharType="end"/>
            </w:r>
          </w:hyperlink>
        </w:p>
        <w:p w14:paraId="40C09553" w14:textId="77777777" w:rsidR="00B359D8" w:rsidRDefault="00000000">
          <w:pPr>
            <w:pStyle w:val="Mucluc3"/>
            <w:tabs>
              <w:tab w:val="right" w:leader="dot" w:pos="9350"/>
            </w:tabs>
            <w:rPr>
              <w:rFonts w:eastAsiaTheme="minorEastAsia"/>
              <w:noProof/>
              <w:kern w:val="2"/>
              <w:sz w:val="24"/>
              <w:szCs w:val="24"/>
              <w14:ligatures w14:val="standardContextual"/>
            </w:rPr>
          </w:pPr>
          <w:hyperlink w:anchor="_Toc237756009" w:history="1">
            <w:r w:rsidR="00B359D8" w:rsidRPr="00965745">
              <w:rPr>
                <w:rStyle w:val="Siuktni"/>
                <w:noProof/>
              </w:rPr>
              <w:t>3.2 Ticket Purchase</w:t>
            </w:r>
            <w:r w:rsidR="00B359D8">
              <w:rPr>
                <w:noProof/>
                <w:webHidden/>
              </w:rPr>
              <w:tab/>
            </w:r>
            <w:r w:rsidR="00B359D8">
              <w:rPr>
                <w:noProof/>
                <w:webHidden/>
              </w:rPr>
              <w:fldChar w:fldCharType="begin"/>
            </w:r>
            <w:r w:rsidR="00B359D8">
              <w:rPr>
                <w:noProof/>
                <w:webHidden/>
              </w:rPr>
              <w:instrText xml:space="preserve"> PAGEREF _Toc237756009 \h </w:instrText>
            </w:r>
            <w:r w:rsidR="00B359D8">
              <w:rPr>
                <w:noProof/>
                <w:webHidden/>
              </w:rPr>
            </w:r>
            <w:r w:rsidR="00B359D8">
              <w:rPr>
                <w:noProof/>
                <w:webHidden/>
              </w:rPr>
              <w:fldChar w:fldCharType="separate"/>
            </w:r>
            <w:r w:rsidR="00B359D8">
              <w:rPr>
                <w:noProof/>
                <w:webHidden/>
              </w:rPr>
              <w:t>10</w:t>
            </w:r>
            <w:r w:rsidR="00B359D8">
              <w:rPr>
                <w:noProof/>
                <w:webHidden/>
              </w:rPr>
              <w:fldChar w:fldCharType="end"/>
            </w:r>
          </w:hyperlink>
        </w:p>
        <w:p w14:paraId="372D606D" w14:textId="77777777" w:rsidR="00B359D8" w:rsidRDefault="00000000">
          <w:pPr>
            <w:pStyle w:val="Mucluc3"/>
            <w:tabs>
              <w:tab w:val="right" w:leader="dot" w:pos="9350"/>
            </w:tabs>
            <w:rPr>
              <w:rFonts w:eastAsiaTheme="minorEastAsia"/>
              <w:noProof/>
              <w:kern w:val="2"/>
              <w:sz w:val="24"/>
              <w:szCs w:val="24"/>
              <w14:ligatures w14:val="standardContextual"/>
            </w:rPr>
          </w:pPr>
          <w:hyperlink w:anchor="_Toc237756010" w:history="1">
            <w:r w:rsidR="00B359D8" w:rsidRPr="00965745">
              <w:rPr>
                <w:rStyle w:val="Siuktni"/>
                <w:noProof/>
              </w:rPr>
              <w:t>3.3 Donation and Performer Payout</w:t>
            </w:r>
            <w:r w:rsidR="00B359D8">
              <w:rPr>
                <w:noProof/>
                <w:webHidden/>
              </w:rPr>
              <w:tab/>
            </w:r>
            <w:r w:rsidR="00B359D8">
              <w:rPr>
                <w:noProof/>
                <w:webHidden/>
              </w:rPr>
              <w:fldChar w:fldCharType="begin"/>
            </w:r>
            <w:r w:rsidR="00B359D8">
              <w:rPr>
                <w:noProof/>
                <w:webHidden/>
              </w:rPr>
              <w:instrText xml:space="preserve"> PAGEREF _Toc237756010 \h </w:instrText>
            </w:r>
            <w:r w:rsidR="00B359D8">
              <w:rPr>
                <w:noProof/>
                <w:webHidden/>
              </w:rPr>
            </w:r>
            <w:r w:rsidR="00B359D8">
              <w:rPr>
                <w:noProof/>
                <w:webHidden/>
              </w:rPr>
              <w:fldChar w:fldCharType="separate"/>
            </w:r>
            <w:r w:rsidR="00B359D8">
              <w:rPr>
                <w:noProof/>
                <w:webHidden/>
              </w:rPr>
              <w:t>11</w:t>
            </w:r>
            <w:r w:rsidR="00B359D8">
              <w:rPr>
                <w:noProof/>
                <w:webHidden/>
              </w:rPr>
              <w:fldChar w:fldCharType="end"/>
            </w:r>
          </w:hyperlink>
        </w:p>
        <w:p w14:paraId="62D9162E" w14:textId="77777777" w:rsidR="00B359D8" w:rsidRDefault="00000000">
          <w:pPr>
            <w:pStyle w:val="Mucluc3"/>
            <w:tabs>
              <w:tab w:val="right" w:leader="dot" w:pos="9350"/>
            </w:tabs>
            <w:rPr>
              <w:rFonts w:eastAsiaTheme="minorEastAsia"/>
              <w:noProof/>
              <w:kern w:val="2"/>
              <w:sz w:val="24"/>
              <w:szCs w:val="24"/>
              <w14:ligatures w14:val="standardContextual"/>
            </w:rPr>
          </w:pPr>
          <w:hyperlink w:anchor="_Toc237756011" w:history="1">
            <w:r w:rsidR="00B359D8" w:rsidRPr="00965745">
              <w:rPr>
                <w:rStyle w:val="Siuktni"/>
                <w:noProof/>
              </w:rPr>
              <w:t>3.4 Content Moderation</w:t>
            </w:r>
            <w:r w:rsidR="00B359D8">
              <w:rPr>
                <w:noProof/>
                <w:webHidden/>
              </w:rPr>
              <w:tab/>
            </w:r>
            <w:r w:rsidR="00B359D8">
              <w:rPr>
                <w:noProof/>
                <w:webHidden/>
              </w:rPr>
              <w:fldChar w:fldCharType="begin"/>
            </w:r>
            <w:r w:rsidR="00B359D8">
              <w:rPr>
                <w:noProof/>
                <w:webHidden/>
              </w:rPr>
              <w:instrText xml:space="preserve"> PAGEREF _Toc237756011 \h </w:instrText>
            </w:r>
            <w:r w:rsidR="00B359D8">
              <w:rPr>
                <w:noProof/>
                <w:webHidden/>
              </w:rPr>
            </w:r>
            <w:r w:rsidR="00B359D8">
              <w:rPr>
                <w:noProof/>
                <w:webHidden/>
              </w:rPr>
              <w:fldChar w:fldCharType="separate"/>
            </w:r>
            <w:r w:rsidR="00B359D8">
              <w:rPr>
                <w:noProof/>
                <w:webHidden/>
              </w:rPr>
              <w:t>12</w:t>
            </w:r>
            <w:r w:rsidR="00B359D8">
              <w:rPr>
                <w:noProof/>
                <w:webHidden/>
              </w:rPr>
              <w:fldChar w:fldCharType="end"/>
            </w:r>
          </w:hyperlink>
        </w:p>
        <w:p w14:paraId="3D34C1B8" w14:textId="77777777" w:rsidR="0064654D" w:rsidRDefault="0064654D">
          <w:r>
            <w:rPr>
              <w:b/>
              <w:bCs/>
              <w:noProof/>
            </w:rPr>
            <w:fldChar w:fldCharType="end"/>
          </w:r>
        </w:p>
      </w:sdtContent>
    </w:sdt>
    <w:p w14:paraId="2BF895F9" w14:textId="77777777" w:rsidR="0064654D" w:rsidRDefault="0064654D">
      <w:pPr>
        <w:rPr>
          <w:rFonts w:asciiTheme="majorHAnsi" w:eastAsiaTheme="majorEastAsia" w:hAnsiTheme="majorHAnsi" w:cstheme="majorBidi"/>
          <w:b/>
          <w:bCs/>
          <w:color w:val="C00000"/>
          <w:sz w:val="36"/>
          <w:szCs w:val="32"/>
        </w:rPr>
      </w:pPr>
      <w:r>
        <w:br w:type="page"/>
      </w:r>
    </w:p>
    <w:p w14:paraId="7A9E3B09" w14:textId="77777777" w:rsidR="0037513C" w:rsidRPr="002500C5" w:rsidRDefault="0037513C" w:rsidP="0037513C">
      <w:pPr>
        <w:pStyle w:val="u1"/>
        <w:spacing w:before="360" w:after="120"/>
      </w:pPr>
      <w:bookmarkStart w:id="0" w:name="_Toc83330272"/>
      <w:bookmarkStart w:id="1" w:name="_Toc83330363"/>
      <w:bookmarkStart w:id="2" w:name="_Toc237756001"/>
      <w:r w:rsidRPr="002500C5">
        <w:lastRenderedPageBreak/>
        <w:t xml:space="preserve">I. </w:t>
      </w:r>
      <w:r>
        <w:t>Record of Changes</w:t>
      </w:r>
      <w:bookmarkEnd w:id="0"/>
      <w:bookmarkEnd w:id="1"/>
      <w:bookmarkEnd w:id="2"/>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990"/>
        <w:gridCol w:w="810"/>
        <w:gridCol w:w="1234"/>
        <w:gridCol w:w="5770"/>
      </w:tblGrid>
      <w:tr w:rsidR="0037513C" w14:paraId="3F7913DF" w14:textId="77777777" w:rsidTr="00B60A64">
        <w:trPr>
          <w:tblHeader/>
          <w:jc w:val="center"/>
        </w:trPr>
        <w:tc>
          <w:tcPr>
            <w:tcW w:w="990" w:type="dxa"/>
            <w:shd w:val="clear" w:color="auto" w:fill="FFE8E1"/>
          </w:tcPr>
          <w:p w14:paraId="234BB059" w14:textId="77777777" w:rsidR="0037513C" w:rsidRDefault="0037513C" w:rsidP="00B60A64">
            <w:pPr>
              <w:pStyle w:val="HeadingLv1"/>
              <w:spacing w:before="20" w:after="20"/>
            </w:pPr>
            <w:r>
              <w:t>Date</w:t>
            </w:r>
          </w:p>
        </w:tc>
        <w:tc>
          <w:tcPr>
            <w:tcW w:w="810" w:type="dxa"/>
            <w:shd w:val="clear" w:color="auto" w:fill="FFE8E1"/>
          </w:tcPr>
          <w:p w14:paraId="29B90559" w14:textId="77777777" w:rsidR="0037513C" w:rsidRDefault="0037513C" w:rsidP="00B60A64">
            <w:pPr>
              <w:pStyle w:val="HeadingLv1"/>
              <w:spacing w:before="20" w:after="20"/>
            </w:pPr>
            <w:r>
              <w:t>A*</w:t>
            </w:r>
            <w:r>
              <w:br/>
              <w:t>M, D</w:t>
            </w:r>
          </w:p>
        </w:tc>
        <w:tc>
          <w:tcPr>
            <w:tcW w:w="1234" w:type="dxa"/>
            <w:shd w:val="clear" w:color="auto" w:fill="FFE8E1"/>
          </w:tcPr>
          <w:p w14:paraId="3A0EF7F5" w14:textId="77777777" w:rsidR="0037513C" w:rsidRDefault="0037513C" w:rsidP="00B60A64">
            <w:pPr>
              <w:pStyle w:val="HeadingLv1"/>
              <w:spacing w:before="20" w:after="20"/>
            </w:pPr>
            <w:r>
              <w:t>In charge</w:t>
            </w:r>
          </w:p>
        </w:tc>
        <w:tc>
          <w:tcPr>
            <w:tcW w:w="5770" w:type="dxa"/>
            <w:shd w:val="clear" w:color="auto" w:fill="FFE8E1"/>
          </w:tcPr>
          <w:p w14:paraId="6B4B3690" w14:textId="77777777" w:rsidR="0037513C" w:rsidRDefault="0037513C" w:rsidP="00B60A64">
            <w:pPr>
              <w:pStyle w:val="HeadingLv1"/>
              <w:spacing w:before="20" w:after="20"/>
            </w:pPr>
            <w:r>
              <w:t>Change Description</w:t>
            </w:r>
          </w:p>
        </w:tc>
      </w:tr>
      <w:tr w:rsidR="0037513C" w14:paraId="5D417336" w14:textId="77777777" w:rsidTr="00B60A64">
        <w:trPr>
          <w:jc w:val="center"/>
        </w:trPr>
        <w:tc>
          <w:tcPr>
            <w:tcW w:w="990" w:type="dxa"/>
            <w:shd w:val="clear" w:color="auto" w:fill="FFFFFF"/>
          </w:tcPr>
          <w:p w14:paraId="22FC18AC" w14:textId="4109B289" w:rsidR="0037513C" w:rsidRDefault="00B359D8" w:rsidP="00B60A64">
            <w:pPr>
              <w:pStyle w:val="Bang"/>
              <w:spacing w:before="20" w:after="20"/>
            </w:pPr>
            <w:r>
              <w:rPr>
                <w:color w:val="000000"/>
                <w:sz w:val="20"/>
              </w:rPr>
              <w:t>27</w:t>
            </w:r>
            <w:r w:rsidR="0037513C">
              <w:rPr>
                <w:color w:val="000000"/>
                <w:sz w:val="20"/>
              </w:rPr>
              <w:t>/0</w:t>
            </w:r>
            <w:r>
              <w:rPr>
                <w:color w:val="000000"/>
                <w:sz w:val="20"/>
              </w:rPr>
              <w:t>6</w:t>
            </w:r>
            <w:r w:rsidR="0037513C">
              <w:rPr>
                <w:color w:val="000000"/>
                <w:sz w:val="20"/>
              </w:rPr>
              <w:t>/2026</w:t>
            </w:r>
          </w:p>
        </w:tc>
        <w:tc>
          <w:tcPr>
            <w:tcW w:w="810" w:type="dxa"/>
            <w:shd w:val="clear" w:color="auto" w:fill="FFFFFF"/>
          </w:tcPr>
          <w:p w14:paraId="3C4B3CFA" w14:textId="77777777" w:rsidR="0037513C" w:rsidRDefault="0037513C" w:rsidP="00B60A64">
            <w:pPr>
              <w:pStyle w:val="Bang"/>
              <w:spacing w:before="20" w:after="20"/>
            </w:pPr>
            <w:r>
              <w:rPr>
                <w:color w:val="000000"/>
                <w:sz w:val="20"/>
              </w:rPr>
              <w:t>A</w:t>
            </w:r>
          </w:p>
        </w:tc>
        <w:tc>
          <w:tcPr>
            <w:tcW w:w="1234" w:type="dxa"/>
            <w:shd w:val="clear" w:color="auto" w:fill="FFFFFF"/>
          </w:tcPr>
          <w:p w14:paraId="2D6F0908" w14:textId="77777777" w:rsidR="0037513C" w:rsidRDefault="0037513C" w:rsidP="00B60A64">
            <w:pPr>
              <w:pStyle w:val="Bang"/>
              <w:spacing w:before="20" w:after="20"/>
            </w:pPr>
            <w:r>
              <w:rPr>
                <w:color w:val="000000"/>
                <w:sz w:val="20"/>
              </w:rPr>
              <w:t>Hà Đông Hải</w:t>
            </w:r>
          </w:p>
        </w:tc>
        <w:tc>
          <w:tcPr>
            <w:tcW w:w="5770" w:type="dxa"/>
            <w:shd w:val="clear" w:color="auto" w:fill="FFFFFF"/>
          </w:tcPr>
          <w:p w14:paraId="17BA32F4" w14:textId="77777777" w:rsidR="0037513C" w:rsidRDefault="0037513C" w:rsidP="00B60A64">
            <w:pPr>
              <w:pStyle w:val="Bang"/>
              <w:spacing w:before="20" w:after="20"/>
            </w:pPr>
            <w:r>
              <w:rPr>
                <w:color w:val="000000"/>
                <w:sz w:val="20"/>
              </w:rPr>
              <w:t>Software Design Document for the complete platform: backend layering, frontend structure, deployment on Microsoft Azure, the 68-entity data model and the detailed design of the principal flows.</w:t>
            </w:r>
          </w:p>
        </w:tc>
      </w:tr>
    </w:tbl>
    <w:p w14:paraId="32EDBDC7" w14:textId="77777777" w:rsidR="0037513C" w:rsidRDefault="0037513C" w:rsidP="0037513C">
      <w:pPr>
        <w:rPr>
          <w:rFonts w:cstheme="minorHAnsi"/>
          <w:sz w:val="28"/>
          <w:szCs w:val="28"/>
        </w:rPr>
      </w:pPr>
      <w:r>
        <w:t>*A - Added M - Modified D - Deleted</w:t>
      </w:r>
    </w:p>
    <w:p w14:paraId="659648FE" w14:textId="77777777" w:rsidR="008951BC" w:rsidRDefault="008951BC" w:rsidP="008951BC">
      <w:r>
        <w:br w:type="page"/>
      </w:r>
    </w:p>
    <w:p w14:paraId="517B1FF9" w14:textId="77777777" w:rsidR="008951BC" w:rsidRDefault="008951BC" w:rsidP="00B7727A">
      <w:pPr>
        <w:pStyle w:val="u1"/>
        <w:spacing w:before="360" w:after="120"/>
      </w:pPr>
      <w:bookmarkStart w:id="3" w:name="_Toc237756002"/>
      <w:r>
        <w:lastRenderedPageBreak/>
        <w:t>II. Software Design Document</w:t>
      </w:r>
      <w:bookmarkEnd w:id="3"/>
    </w:p>
    <w:p w14:paraId="7B867C47" w14:textId="77777777" w:rsidR="00DF57E3" w:rsidRDefault="006B4FFE" w:rsidP="00B7727A">
      <w:pPr>
        <w:pStyle w:val="u2"/>
        <w:spacing w:before="280" w:after="120"/>
      </w:pPr>
      <w:bookmarkStart w:id="4" w:name="_Toc237756003"/>
      <w:r>
        <w:t>1</w:t>
      </w:r>
      <w:r w:rsidR="00DF57E3">
        <w:t xml:space="preserve">. </w:t>
      </w:r>
      <w:r>
        <w:t>System</w:t>
      </w:r>
      <w:r w:rsidR="005E752F">
        <w:t xml:space="preserve"> Design</w:t>
      </w:r>
      <w:bookmarkEnd w:id="4"/>
    </w:p>
    <w:p w14:paraId="715AB46A" w14:textId="77777777" w:rsidR="00497D11" w:rsidRDefault="006B4FFE" w:rsidP="00B7727A">
      <w:pPr>
        <w:pStyle w:val="u3"/>
        <w:spacing w:before="200" w:after="120"/>
      </w:pPr>
      <w:bookmarkStart w:id="5" w:name="_Toc237756004"/>
      <w:r>
        <w:t>1.1</w:t>
      </w:r>
      <w:r w:rsidR="00497D11">
        <w:t xml:space="preserve"> </w:t>
      </w:r>
      <w:r w:rsidR="00887D8F">
        <w:t>System Architecture</w:t>
      </w:r>
      <w:bookmarkEnd w:id="5"/>
    </w:p>
    <w:p w14:paraId="3FC833D4" w14:textId="77777777" w:rsidR="008951BC" w:rsidRDefault="008951BC" w:rsidP="008951BC">
      <w:pPr>
        <w:spacing w:after="120" w:line="276" w:lineRule="auto"/>
        <w:jc w:val="both"/>
      </w:pPr>
      <w:r>
        <w:rPr>
          <w:noProof/>
        </w:rPr>
        <w:t>The backend follows Clean Architecture across four projects with a strict inward dependency rule — Api depends on Application and, at the composition root only, on Infrastructure; Infrastructure depends on Application; Application depends on Domain; and Domain depends on nothing. The rule is enforced at the project-reference level rather than by convention, so a violation fails the build instead of passing review.</w:t>
      </w:r>
    </w:p>
    <w:p w14:paraId="7E792673" w14:textId="77777777" w:rsidR="008951BC" w:rsidRDefault="008951BC" w:rsidP="008951BC">
      <w:pPr>
        <w:spacing w:after="120" w:line="276" w:lineRule="auto"/>
        <w:jc w:val="both"/>
      </w:pPr>
      <w:r>
        <w:rPr>
          <w:noProof/>
        </w:rPr>
        <w:t>Domain holds entities, enumerations, domain events and exceptions as plain C# with no framework reference, which is what makes every business rule in it testable with no database and no host. Application holds all business logic as command and query handlers, one folder per business area (28 of them), with cross-cutting concerns — validation, transaction boundary, logging — implemented once as pipeline behaviours rather than repeated in every handler. Infrastructure implements every interface Application declares but does not itself implement: the database context and repositories, an adapter per external service, and the 30 background job classes. Api is deliberately the thinnest layer: 25 controllers exposing about 209 endpoints that authenticate and authorise the caller, map the request onto a command or query, and return the result — no business logic lives in a controller.</w:t>
      </w:r>
    </w:p>
    <w:p w14:paraId="08C51333" w14:textId="77777777" w:rsidR="008951BC" w:rsidRDefault="008951BC" w:rsidP="008951BC">
      <w:pPr>
        <w:spacing w:after="120" w:line="276" w:lineRule="auto"/>
        <w:jc w:val="both"/>
      </w:pPr>
      <w:r>
        <w:rPr>
          <w:noProof/>
        </w:rPr>
        <w:t>This split exists for two concrete reasons rather than architectural fashion. First, Domain and Application can be tested with no database, no HTTP host and no external service running. Second, an external integration can be replaced without touching a single handler, because Application depends only on the interface and never on the concrete adapter — which is how the SMS provider was swapped without changing business code.</w:t>
      </w:r>
    </w:p>
    <w:p w14:paraId="0B7E441A" w14:textId="77777777" w:rsidR="008951BC" w:rsidRDefault="008951BC" w:rsidP="008951BC">
      <w:pPr>
        <w:spacing w:after="120" w:line="276" w:lineRule="auto"/>
        <w:jc w:val="both"/>
      </w:pPr>
      <w:r>
        <w:rPr>
          <w:noProof/>
        </w:rPr>
        <w:t>All 5 client surfaces sit outside the backend entirely and consume only the Api layer, over REST and WebSocket. No client ever reaches Infrastructure, Application or Domain directly.</w:t>
      </w:r>
    </w:p>
    <w:p w14:paraId="0607523F" w14:textId="4CD2AE9F" w:rsidR="008951BC" w:rsidRDefault="00D82406" w:rsidP="008951BC">
      <w:pPr>
        <w:keepNext/>
        <w:spacing w:before="120" w:after="40" w:line="276" w:lineRule="auto"/>
        <w:jc w:val="center"/>
      </w:pPr>
      <w:r w:rsidRPr="00D82406">
        <w:lastRenderedPageBreak/>
        <w:drawing>
          <wp:inline distT="0" distB="0" distL="0" distR="0" wp14:anchorId="4981F91B" wp14:editId="04838855">
            <wp:extent cx="5943600" cy="5602605"/>
            <wp:effectExtent l="0" t="0" r="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5602605"/>
                    </a:xfrm>
                    <a:prstGeom prst="rect">
                      <a:avLst/>
                    </a:prstGeom>
                  </pic:spPr>
                </pic:pic>
              </a:graphicData>
            </a:graphic>
          </wp:inline>
        </w:drawing>
      </w:r>
    </w:p>
    <w:p w14:paraId="61EAE239" w14:textId="77777777" w:rsidR="008951BC" w:rsidRDefault="008951BC" w:rsidP="008951BC">
      <w:pPr>
        <w:spacing w:after="200" w:line="276" w:lineRule="auto"/>
        <w:jc w:val="center"/>
      </w:pPr>
      <w:r>
        <w:rPr>
          <w:i/>
          <w:noProof/>
          <w:sz w:val="20"/>
        </w:rPr>
        <w:t>Figure 1 — Layered architecture — an outer layer may depend on an inner one, never the reverse</w:t>
      </w:r>
    </w:p>
    <w:p w14:paraId="0AF58C69" w14:textId="77777777" w:rsidR="008951BC" w:rsidRDefault="008951BC" w:rsidP="008951BC">
      <w:pPr>
        <w:spacing w:after="120" w:line="276" w:lineRule="auto"/>
        <w:jc w:val="both"/>
      </w:pPr>
      <w:r>
        <w:rPr>
          <w:noProof/>
        </w:rPr>
        <w:t>The five client applications are separate deliverables but not five unrelated codebases: they share one design system, one API client generated from the API's own contract, and one set of cross-cutting conventions, so a contract change propagates to every consumer as a compile error rather than a runtime failure in one of them. The three web surfaces are React with TypeScript; the two mobile surfaces are React Native sharing the same models and client.</w:t>
      </w:r>
    </w:p>
    <w:p w14:paraId="09185A9C" w14:textId="77777777" w:rsidR="008951BC" w:rsidRDefault="008951BC" w:rsidP="008951BC">
      <w:pPr>
        <w:spacing w:after="120" w:line="276" w:lineRule="auto"/>
        <w:jc w:val="both"/>
      </w:pPr>
      <w:r>
        <w:rPr>
          <w:noProof/>
        </w:rPr>
        <w:t xml:space="preserve">Within each surface the layering is the same. Screens and routes are the only layer that knows about navigation; a route guard resolves the caller's role and redirects before rendering, which is a usability measure and never the security boundary, since the API re-checks every request independently. Feature modules mirror the backend's folders one for one, so a developer tracing a defect moves between tiers without learning a second vocabulary. State is split deliberately: anything the API owns lives in the query </w:t>
      </w:r>
      <w:r>
        <w:rPr>
          <w:noProof/>
        </w:rPr>
        <w:lastRenderedPageBreak/>
        <w:t>library, which handles caching, retry and invalidation, and only genuinely client-owned state lives in a local store.</w:t>
      </w:r>
    </w:p>
    <w:p w14:paraId="0658CA92" w14:textId="3D74CB26" w:rsidR="008951BC" w:rsidRDefault="009C551A" w:rsidP="008951BC">
      <w:pPr>
        <w:keepNext/>
        <w:spacing w:before="120" w:after="40" w:line="276" w:lineRule="auto"/>
        <w:jc w:val="center"/>
      </w:pPr>
      <w:r w:rsidRPr="009C551A">
        <w:rPr>
          <w:noProof/>
        </w:rPr>
        <w:drawing>
          <wp:inline distT="0" distB="0" distL="0" distR="0" wp14:anchorId="44A2579B" wp14:editId="2307B73E">
            <wp:extent cx="5585944" cy="5845047"/>
            <wp:effectExtent l="0" t="0" r="0" b="381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85944" cy="5845047"/>
                    </a:xfrm>
                    <a:prstGeom prst="rect">
                      <a:avLst/>
                    </a:prstGeom>
                  </pic:spPr>
                </pic:pic>
              </a:graphicData>
            </a:graphic>
          </wp:inline>
        </w:drawing>
      </w:r>
    </w:p>
    <w:p w14:paraId="176009D9" w14:textId="77777777" w:rsidR="008951BC" w:rsidRDefault="008951BC" w:rsidP="008951BC">
      <w:pPr>
        <w:spacing w:after="200" w:line="276" w:lineRule="auto"/>
        <w:jc w:val="center"/>
      </w:pPr>
      <w:r>
        <w:rPr>
          <w:i/>
          <w:noProof/>
          <w:sz w:val="20"/>
        </w:rPr>
        <w:t>Figure 2 — Frontend architecture — the structure shared by all five client surfaces</w:t>
      </w:r>
    </w:p>
    <w:p w14:paraId="5A669642" w14:textId="77777777" w:rsidR="008951BC" w:rsidRDefault="008951BC" w:rsidP="008951BC">
      <w:pPr>
        <w:spacing w:after="120" w:line="276" w:lineRule="auto"/>
        <w:jc w:val="both"/>
      </w:pPr>
      <w:r>
        <w:rPr>
          <w:noProof/>
        </w:rPr>
        <w:t>The platform is deployed to Microsoft Azure. The three web bundles are served as static assets from the edge, so a page load costs the API nothing. The API and its real-time hubs run on an application host with the background worker in the same process, behind a staging slot that is warmed and smoke-tested before being swapped into production — which makes a rollback a swap back rather than a redeploy. The imaging microservice runs separately because its workload is different in kind: bursty, processor-bound, and dependent on native binaries, so it scales on its own and a stitching failure cannot destabilise the API host.</w:t>
      </w:r>
    </w:p>
    <w:p w14:paraId="2C9F464F" w14:textId="77777777" w:rsidR="008951BC" w:rsidRDefault="008951BC" w:rsidP="008951BC">
      <w:pPr>
        <w:spacing w:after="120" w:line="276" w:lineRule="auto"/>
        <w:jc w:val="both"/>
      </w:pPr>
      <w:r>
        <w:rPr>
          <w:noProof/>
        </w:rPr>
        <w:lastRenderedPageBreak/>
        <w:t>Uploaded media is stored in blob storage and served through a content delivery network, keeping image traffic off the API entirely. Every secret is held in a managed vault and injected at deploy time, so no secret exists in source control or inside a build artefact. Telemetry, background-job outcomes and alert rules are collected centrally.</w:t>
      </w:r>
    </w:p>
    <w:p w14:paraId="7559007D" w14:textId="77777777" w:rsidR="008951BC" w:rsidRDefault="008951BC" w:rsidP="008951BC">
      <w:pPr>
        <w:keepNext/>
        <w:spacing w:before="120" w:after="40" w:line="276" w:lineRule="auto"/>
        <w:jc w:val="center"/>
      </w:pPr>
      <w:r>
        <w:rPr>
          <w:noProof/>
        </w:rPr>
        <w:lastRenderedPageBreak/>
        <w:drawing>
          <wp:inline distT="0" distB="0" distL="0" distR="0" wp14:anchorId="77005DF8" wp14:editId="6421D865">
            <wp:extent cx="5324103" cy="74066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9"/>
                    <a:stretch>
                      <a:fillRect/>
                    </a:stretch>
                  </pic:blipFill>
                  <pic:spPr>
                    <a:xfrm>
                      <a:off x="0" y="0"/>
                      <a:ext cx="5324103" cy="7406640"/>
                    </a:xfrm>
                    <a:prstGeom prst="rect">
                      <a:avLst/>
                    </a:prstGeom>
                  </pic:spPr>
                </pic:pic>
              </a:graphicData>
            </a:graphic>
          </wp:inline>
        </w:drawing>
      </w:r>
    </w:p>
    <w:p w14:paraId="7274B9A9" w14:textId="77777777" w:rsidR="008951BC" w:rsidRDefault="008951BC" w:rsidP="008951BC">
      <w:pPr>
        <w:spacing w:after="200" w:line="276" w:lineRule="auto"/>
        <w:jc w:val="center"/>
      </w:pPr>
      <w:r>
        <w:rPr>
          <w:i/>
          <w:noProof/>
          <w:sz w:val="20"/>
        </w:rPr>
        <w:t>Figure 3 — Deployment architecture — nodes, the artefacts deployed on them, and the protocols between them</w:t>
      </w:r>
    </w:p>
    <w:p w14:paraId="03038B26" w14:textId="77777777" w:rsidR="00FE396A" w:rsidRDefault="006B4FFE" w:rsidP="00B7727A">
      <w:pPr>
        <w:pStyle w:val="u3"/>
        <w:spacing w:before="200" w:after="120"/>
      </w:pPr>
      <w:bookmarkStart w:id="6" w:name="_Toc237756005"/>
      <w:r>
        <w:lastRenderedPageBreak/>
        <w:t>1.2</w:t>
      </w:r>
      <w:r w:rsidR="00FE396A">
        <w:t xml:space="preserve"> Package Diagram</w:t>
      </w:r>
      <w:bookmarkEnd w:id="6"/>
    </w:p>
    <w:p w14:paraId="39FDE2EF" w14:textId="77777777" w:rsidR="008951BC" w:rsidRDefault="008951BC" w:rsidP="008951BC">
      <w:pPr>
        <w:spacing w:after="120" w:line="276" w:lineRule="auto"/>
        <w:jc w:val="both"/>
      </w:pPr>
      <w:r>
        <w:rPr>
          <w:noProof/>
        </w:rPr>
        <w:t>The table below describes every package in the four backend projects, using dotted Project.Package notation. The frontend's internal structure is covered above rather than repeated here.</w:t>
      </w:r>
    </w:p>
    <w:tbl>
      <w:tblPr>
        <w:tblW w:w="8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641"/>
        <w:gridCol w:w="2485"/>
        <w:gridCol w:w="5678"/>
      </w:tblGrid>
      <w:tr w:rsidR="0037513C" w14:paraId="53967D45" w14:textId="77777777" w:rsidTr="00B60A64">
        <w:trPr>
          <w:tblHeader/>
          <w:jc w:val="center"/>
        </w:trPr>
        <w:tc>
          <w:tcPr>
            <w:tcW w:w="648" w:type="dxa"/>
            <w:shd w:val="clear" w:color="auto" w:fill="FFE8E1"/>
          </w:tcPr>
          <w:p w14:paraId="5BF7B228" w14:textId="77777777" w:rsidR="0037513C" w:rsidRDefault="0037513C" w:rsidP="00B60A64">
            <w:pPr>
              <w:pStyle w:val="HeadingLv1"/>
              <w:spacing w:before="20" w:after="20"/>
            </w:pPr>
            <w:r>
              <w:t>No</w:t>
            </w:r>
          </w:p>
        </w:tc>
        <w:tc>
          <w:tcPr>
            <w:tcW w:w="2520" w:type="dxa"/>
            <w:shd w:val="clear" w:color="auto" w:fill="FFE8E1"/>
          </w:tcPr>
          <w:p w14:paraId="487A9660" w14:textId="77777777" w:rsidR="0037513C" w:rsidRDefault="0037513C" w:rsidP="00B60A64">
            <w:pPr>
              <w:pStyle w:val="HeadingLv1"/>
              <w:spacing w:before="20" w:after="20"/>
            </w:pPr>
            <w:r>
              <w:t>Package</w:t>
            </w:r>
          </w:p>
        </w:tc>
        <w:tc>
          <w:tcPr>
            <w:tcW w:w="5760" w:type="dxa"/>
            <w:shd w:val="clear" w:color="auto" w:fill="FFE8E1"/>
          </w:tcPr>
          <w:p w14:paraId="21E7C5A8" w14:textId="77777777" w:rsidR="0037513C" w:rsidRDefault="0037513C" w:rsidP="00B60A64">
            <w:pPr>
              <w:pStyle w:val="HeadingLv1"/>
              <w:spacing w:before="20" w:after="20"/>
            </w:pPr>
            <w:r>
              <w:t>Description</w:t>
            </w:r>
          </w:p>
        </w:tc>
      </w:tr>
      <w:tr w:rsidR="0037513C" w14:paraId="17B65CC4" w14:textId="77777777" w:rsidTr="00B60A64">
        <w:trPr>
          <w:jc w:val="center"/>
        </w:trPr>
        <w:tc>
          <w:tcPr>
            <w:tcW w:w="648" w:type="dxa"/>
            <w:shd w:val="clear" w:color="auto" w:fill="FFFFFF"/>
          </w:tcPr>
          <w:p w14:paraId="4F50A598" w14:textId="77777777" w:rsidR="0037513C" w:rsidRDefault="0037513C" w:rsidP="00B60A64">
            <w:pPr>
              <w:pStyle w:val="Bang"/>
              <w:spacing w:before="20" w:after="20"/>
            </w:pPr>
            <w:r>
              <w:rPr>
                <w:color w:val="000000"/>
                <w:sz w:val="20"/>
              </w:rPr>
              <w:t>1</w:t>
            </w:r>
          </w:p>
        </w:tc>
        <w:tc>
          <w:tcPr>
            <w:tcW w:w="2520" w:type="dxa"/>
            <w:shd w:val="clear" w:color="auto" w:fill="FFFFFF"/>
          </w:tcPr>
          <w:p w14:paraId="63ED96C7" w14:textId="77777777" w:rsidR="0037513C" w:rsidRDefault="0037513C" w:rsidP="00B60A64">
            <w:pPr>
              <w:pStyle w:val="Bang"/>
              <w:spacing w:before="20" w:after="20"/>
            </w:pPr>
            <w:r>
              <w:rPr>
                <w:color w:val="000000"/>
                <w:sz w:val="20"/>
              </w:rPr>
              <w:t>Domain.Entities</w:t>
            </w:r>
          </w:p>
        </w:tc>
        <w:tc>
          <w:tcPr>
            <w:tcW w:w="5760" w:type="dxa"/>
            <w:shd w:val="clear" w:color="auto" w:fill="FFFFFF"/>
          </w:tcPr>
          <w:p w14:paraId="2CBE32FA" w14:textId="77777777" w:rsidR="0037513C" w:rsidRDefault="0037513C" w:rsidP="00B60A64">
            <w:pPr>
              <w:pStyle w:val="Bang"/>
              <w:spacing w:before="20" w:after="20"/>
            </w:pPr>
            <w:r>
              <w:rPr>
                <w:color w:val="000000"/>
                <w:sz w:val="20"/>
              </w:rPr>
              <w:t>The 68 entity classes that make up the business data model.</w:t>
            </w:r>
          </w:p>
        </w:tc>
      </w:tr>
      <w:tr w:rsidR="0037513C" w14:paraId="1498C572" w14:textId="77777777" w:rsidTr="00B60A64">
        <w:trPr>
          <w:jc w:val="center"/>
        </w:trPr>
        <w:tc>
          <w:tcPr>
            <w:tcW w:w="648" w:type="dxa"/>
            <w:shd w:val="clear" w:color="auto" w:fill="FFFFFF"/>
          </w:tcPr>
          <w:p w14:paraId="4A118AAB" w14:textId="77777777" w:rsidR="0037513C" w:rsidRDefault="0037513C" w:rsidP="00B60A64">
            <w:pPr>
              <w:pStyle w:val="Bang"/>
              <w:spacing w:before="20" w:after="20"/>
            </w:pPr>
            <w:r>
              <w:rPr>
                <w:color w:val="000000"/>
                <w:sz w:val="20"/>
              </w:rPr>
              <w:t>2</w:t>
            </w:r>
          </w:p>
        </w:tc>
        <w:tc>
          <w:tcPr>
            <w:tcW w:w="2520" w:type="dxa"/>
            <w:shd w:val="clear" w:color="auto" w:fill="FFFFFF"/>
          </w:tcPr>
          <w:p w14:paraId="1E019631" w14:textId="77777777" w:rsidR="0037513C" w:rsidRDefault="0037513C" w:rsidP="00B60A64">
            <w:pPr>
              <w:pStyle w:val="Bang"/>
              <w:spacing w:before="20" w:after="20"/>
            </w:pPr>
            <w:r>
              <w:rPr>
                <w:color w:val="000000"/>
                <w:sz w:val="20"/>
              </w:rPr>
              <w:t>Domain.Enums</w:t>
            </w:r>
          </w:p>
        </w:tc>
        <w:tc>
          <w:tcPr>
            <w:tcW w:w="5760" w:type="dxa"/>
            <w:shd w:val="clear" w:color="auto" w:fill="FFFFFF"/>
          </w:tcPr>
          <w:p w14:paraId="3DEBA7FF" w14:textId="77777777" w:rsidR="0037513C" w:rsidRDefault="0037513C" w:rsidP="00B60A64">
            <w:pPr>
              <w:pStyle w:val="Bang"/>
              <w:spacing w:before="20" w:after="20"/>
            </w:pPr>
            <w:r>
              <w:rPr>
                <w:color w:val="000000"/>
                <w:sz w:val="20"/>
              </w:rPr>
              <w:t>Closed sets of values — statuses, roles, payment and moderation states — persisted as strings so the database stays readable.</w:t>
            </w:r>
          </w:p>
        </w:tc>
      </w:tr>
      <w:tr w:rsidR="0037513C" w14:paraId="72435760" w14:textId="77777777" w:rsidTr="00B60A64">
        <w:trPr>
          <w:jc w:val="center"/>
        </w:trPr>
        <w:tc>
          <w:tcPr>
            <w:tcW w:w="648" w:type="dxa"/>
            <w:shd w:val="clear" w:color="auto" w:fill="FFFFFF"/>
          </w:tcPr>
          <w:p w14:paraId="43DB57CB" w14:textId="77777777" w:rsidR="0037513C" w:rsidRDefault="0037513C" w:rsidP="00B60A64">
            <w:pPr>
              <w:pStyle w:val="Bang"/>
              <w:spacing w:before="20" w:after="20"/>
            </w:pPr>
            <w:r>
              <w:rPr>
                <w:color w:val="000000"/>
                <w:sz w:val="20"/>
              </w:rPr>
              <w:t>3</w:t>
            </w:r>
          </w:p>
        </w:tc>
        <w:tc>
          <w:tcPr>
            <w:tcW w:w="2520" w:type="dxa"/>
            <w:shd w:val="clear" w:color="auto" w:fill="FFFFFF"/>
          </w:tcPr>
          <w:p w14:paraId="50C3D51F" w14:textId="77777777" w:rsidR="0037513C" w:rsidRDefault="0037513C" w:rsidP="00B60A64">
            <w:pPr>
              <w:pStyle w:val="Bang"/>
              <w:spacing w:before="20" w:after="20"/>
            </w:pPr>
            <w:r>
              <w:rPr>
                <w:color w:val="000000"/>
                <w:sz w:val="20"/>
              </w:rPr>
              <w:t>Domain.Events</w:t>
            </w:r>
          </w:p>
        </w:tc>
        <w:tc>
          <w:tcPr>
            <w:tcW w:w="5760" w:type="dxa"/>
            <w:shd w:val="clear" w:color="auto" w:fill="FFFFFF"/>
          </w:tcPr>
          <w:p w14:paraId="03D3DFF4" w14:textId="77777777" w:rsidR="0037513C" w:rsidRDefault="0037513C" w:rsidP="00B60A64">
            <w:pPr>
              <w:pStyle w:val="Bang"/>
              <w:spacing w:before="20" w:after="20"/>
            </w:pPr>
            <w:r>
              <w:rPr>
                <w:color w:val="000000"/>
                <w:sz w:val="20"/>
              </w:rPr>
              <w:t>Domain events raised by an entity when something business-significant happens, handled asynchronously.</w:t>
            </w:r>
          </w:p>
        </w:tc>
      </w:tr>
      <w:tr w:rsidR="0037513C" w14:paraId="4A3B6927" w14:textId="77777777" w:rsidTr="00B60A64">
        <w:trPr>
          <w:jc w:val="center"/>
        </w:trPr>
        <w:tc>
          <w:tcPr>
            <w:tcW w:w="648" w:type="dxa"/>
            <w:shd w:val="clear" w:color="auto" w:fill="FFFFFF"/>
          </w:tcPr>
          <w:p w14:paraId="1C7BDF82" w14:textId="77777777" w:rsidR="0037513C" w:rsidRDefault="0037513C" w:rsidP="00B60A64">
            <w:pPr>
              <w:pStyle w:val="Bang"/>
              <w:spacing w:before="20" w:after="20"/>
            </w:pPr>
            <w:r>
              <w:rPr>
                <w:color w:val="000000"/>
                <w:sz w:val="20"/>
              </w:rPr>
              <w:t>4</w:t>
            </w:r>
          </w:p>
        </w:tc>
        <w:tc>
          <w:tcPr>
            <w:tcW w:w="2520" w:type="dxa"/>
            <w:shd w:val="clear" w:color="auto" w:fill="FFFFFF"/>
          </w:tcPr>
          <w:p w14:paraId="573A4BC7" w14:textId="77777777" w:rsidR="0037513C" w:rsidRDefault="0037513C" w:rsidP="00B60A64">
            <w:pPr>
              <w:pStyle w:val="Bang"/>
              <w:spacing w:before="20" w:after="20"/>
            </w:pPr>
            <w:r>
              <w:rPr>
                <w:color w:val="000000"/>
                <w:sz w:val="20"/>
              </w:rPr>
              <w:t>Domain.Exceptions</w:t>
            </w:r>
          </w:p>
        </w:tc>
        <w:tc>
          <w:tcPr>
            <w:tcW w:w="5760" w:type="dxa"/>
            <w:shd w:val="clear" w:color="auto" w:fill="FFFFFF"/>
          </w:tcPr>
          <w:p w14:paraId="7279EB0E" w14:textId="77777777" w:rsidR="0037513C" w:rsidRDefault="0037513C" w:rsidP="00B60A64">
            <w:pPr>
              <w:pStyle w:val="Bang"/>
              <w:spacing w:before="20" w:after="20"/>
            </w:pPr>
            <w:r>
              <w:rPr>
                <w:color w:val="000000"/>
                <w:sz w:val="20"/>
              </w:rPr>
              <w:t>Business exception types that map to specific HTTP responses at the boundary.</w:t>
            </w:r>
          </w:p>
        </w:tc>
      </w:tr>
      <w:tr w:rsidR="0037513C" w14:paraId="0EE9A8C8" w14:textId="77777777" w:rsidTr="00B60A64">
        <w:trPr>
          <w:jc w:val="center"/>
        </w:trPr>
        <w:tc>
          <w:tcPr>
            <w:tcW w:w="648" w:type="dxa"/>
            <w:shd w:val="clear" w:color="auto" w:fill="FFFFFF"/>
          </w:tcPr>
          <w:p w14:paraId="643DDAC0" w14:textId="77777777" w:rsidR="0037513C" w:rsidRDefault="0037513C" w:rsidP="00B60A64">
            <w:pPr>
              <w:pStyle w:val="Bang"/>
              <w:spacing w:before="20" w:after="20"/>
            </w:pPr>
            <w:r>
              <w:rPr>
                <w:color w:val="000000"/>
                <w:sz w:val="20"/>
              </w:rPr>
              <w:t>5</w:t>
            </w:r>
          </w:p>
        </w:tc>
        <w:tc>
          <w:tcPr>
            <w:tcW w:w="2520" w:type="dxa"/>
            <w:shd w:val="clear" w:color="auto" w:fill="FFFFFF"/>
          </w:tcPr>
          <w:p w14:paraId="33FDF2EF" w14:textId="77777777" w:rsidR="0037513C" w:rsidRDefault="0037513C" w:rsidP="00B60A64">
            <w:pPr>
              <w:pStyle w:val="Bang"/>
              <w:spacing w:before="20" w:after="20"/>
            </w:pPr>
            <w:r>
              <w:rPr>
                <w:color w:val="000000"/>
                <w:sz w:val="20"/>
              </w:rPr>
              <w:t>Domain.Common</w:t>
            </w:r>
          </w:p>
        </w:tc>
        <w:tc>
          <w:tcPr>
            <w:tcW w:w="5760" w:type="dxa"/>
            <w:shd w:val="clear" w:color="auto" w:fill="FFFFFF"/>
          </w:tcPr>
          <w:p w14:paraId="305D85FB" w14:textId="77777777" w:rsidR="0037513C" w:rsidRDefault="0037513C" w:rsidP="00B60A64">
            <w:pPr>
              <w:pStyle w:val="Bang"/>
              <w:spacing w:before="20" w:after="20"/>
            </w:pPr>
            <w:r>
              <w:rPr>
                <w:color w:val="000000"/>
                <w:sz w:val="20"/>
              </w:rPr>
              <w:t>Shared base types, principally the entity base with its identifier and audit fields.</w:t>
            </w:r>
          </w:p>
        </w:tc>
      </w:tr>
      <w:tr w:rsidR="0037513C" w14:paraId="246C34BA" w14:textId="77777777" w:rsidTr="00B60A64">
        <w:trPr>
          <w:jc w:val="center"/>
        </w:trPr>
        <w:tc>
          <w:tcPr>
            <w:tcW w:w="648" w:type="dxa"/>
            <w:shd w:val="clear" w:color="auto" w:fill="FFFFFF"/>
          </w:tcPr>
          <w:p w14:paraId="34FCB5C8" w14:textId="77777777" w:rsidR="0037513C" w:rsidRDefault="0037513C" w:rsidP="00B60A64">
            <w:pPr>
              <w:pStyle w:val="Bang"/>
              <w:spacing w:before="20" w:after="20"/>
            </w:pPr>
            <w:r>
              <w:rPr>
                <w:color w:val="000000"/>
                <w:sz w:val="20"/>
              </w:rPr>
              <w:t>6</w:t>
            </w:r>
          </w:p>
        </w:tc>
        <w:tc>
          <w:tcPr>
            <w:tcW w:w="2520" w:type="dxa"/>
            <w:shd w:val="clear" w:color="auto" w:fill="FFFFFF"/>
          </w:tcPr>
          <w:p w14:paraId="5DD68B2D" w14:textId="77777777" w:rsidR="0037513C" w:rsidRDefault="0037513C" w:rsidP="00B60A64">
            <w:pPr>
              <w:pStyle w:val="Bang"/>
              <w:spacing w:before="20" w:after="20"/>
            </w:pPr>
            <w:r>
              <w:rPr>
                <w:color w:val="000000"/>
                <w:sz w:val="20"/>
              </w:rPr>
              <w:t>Application.&lt;Feature&gt;</w:t>
            </w:r>
          </w:p>
        </w:tc>
        <w:tc>
          <w:tcPr>
            <w:tcW w:w="5760" w:type="dxa"/>
            <w:shd w:val="clear" w:color="auto" w:fill="FFFFFF"/>
          </w:tcPr>
          <w:p w14:paraId="0AA62F2B" w14:textId="77777777" w:rsidR="0037513C" w:rsidRDefault="0037513C" w:rsidP="00B60A64">
            <w:pPr>
              <w:pStyle w:val="Bang"/>
              <w:spacing w:before="20" w:after="20"/>
            </w:pPr>
            <w:r>
              <w:rPr>
                <w:color w:val="000000"/>
                <w:sz w:val="20"/>
              </w:rPr>
              <w:t>One folder per business area (28 in total), each holding its commands, queries, handlers, validators and data-transfer objects.</w:t>
            </w:r>
          </w:p>
        </w:tc>
      </w:tr>
      <w:tr w:rsidR="0037513C" w14:paraId="249A4E81" w14:textId="77777777" w:rsidTr="00B60A64">
        <w:trPr>
          <w:jc w:val="center"/>
        </w:trPr>
        <w:tc>
          <w:tcPr>
            <w:tcW w:w="648" w:type="dxa"/>
            <w:shd w:val="clear" w:color="auto" w:fill="FFFFFF"/>
          </w:tcPr>
          <w:p w14:paraId="662F8E92" w14:textId="77777777" w:rsidR="0037513C" w:rsidRDefault="0037513C" w:rsidP="00B60A64">
            <w:pPr>
              <w:pStyle w:val="Bang"/>
              <w:spacing w:before="20" w:after="20"/>
            </w:pPr>
            <w:r>
              <w:rPr>
                <w:color w:val="000000"/>
                <w:sz w:val="20"/>
              </w:rPr>
              <w:t>7</w:t>
            </w:r>
          </w:p>
        </w:tc>
        <w:tc>
          <w:tcPr>
            <w:tcW w:w="2520" w:type="dxa"/>
            <w:shd w:val="clear" w:color="auto" w:fill="FFFFFF"/>
          </w:tcPr>
          <w:p w14:paraId="497D706C" w14:textId="77777777" w:rsidR="0037513C" w:rsidRDefault="0037513C" w:rsidP="00B60A64">
            <w:pPr>
              <w:pStyle w:val="Bang"/>
              <w:spacing w:before="20" w:after="20"/>
            </w:pPr>
            <w:r>
              <w:rPr>
                <w:color w:val="000000"/>
                <w:sz w:val="20"/>
              </w:rPr>
              <w:t>Application.Common.Abstractions</w:t>
            </w:r>
          </w:p>
        </w:tc>
        <w:tc>
          <w:tcPr>
            <w:tcW w:w="5760" w:type="dxa"/>
            <w:shd w:val="clear" w:color="auto" w:fill="FFFFFF"/>
          </w:tcPr>
          <w:p w14:paraId="6C4EC2F6" w14:textId="77777777" w:rsidR="0037513C" w:rsidRDefault="0037513C" w:rsidP="00B60A64">
            <w:pPr>
              <w:pStyle w:val="Bang"/>
              <w:spacing w:before="20" w:after="20"/>
            </w:pPr>
            <w:r>
              <w:rPr>
                <w:color w:val="000000"/>
                <w:sz w:val="20"/>
              </w:rPr>
              <w:t>The command and query marker interfaces the mediator dispatches on.</w:t>
            </w:r>
          </w:p>
        </w:tc>
      </w:tr>
      <w:tr w:rsidR="0037513C" w14:paraId="6B645FA6" w14:textId="77777777" w:rsidTr="00B60A64">
        <w:trPr>
          <w:jc w:val="center"/>
        </w:trPr>
        <w:tc>
          <w:tcPr>
            <w:tcW w:w="648" w:type="dxa"/>
            <w:shd w:val="clear" w:color="auto" w:fill="FFFFFF"/>
          </w:tcPr>
          <w:p w14:paraId="4EC27D82" w14:textId="77777777" w:rsidR="0037513C" w:rsidRDefault="0037513C" w:rsidP="00B60A64">
            <w:pPr>
              <w:pStyle w:val="Bang"/>
              <w:spacing w:before="20" w:after="20"/>
            </w:pPr>
            <w:r>
              <w:rPr>
                <w:color w:val="000000"/>
                <w:sz w:val="20"/>
              </w:rPr>
              <w:t>8</w:t>
            </w:r>
          </w:p>
        </w:tc>
        <w:tc>
          <w:tcPr>
            <w:tcW w:w="2520" w:type="dxa"/>
            <w:shd w:val="clear" w:color="auto" w:fill="FFFFFF"/>
          </w:tcPr>
          <w:p w14:paraId="1655CB7B" w14:textId="77777777" w:rsidR="0037513C" w:rsidRDefault="0037513C" w:rsidP="00B60A64">
            <w:pPr>
              <w:pStyle w:val="Bang"/>
              <w:spacing w:before="20" w:after="20"/>
            </w:pPr>
            <w:r>
              <w:rPr>
                <w:color w:val="000000"/>
                <w:sz w:val="20"/>
              </w:rPr>
              <w:t>Application.Common.Interfaces</w:t>
            </w:r>
          </w:p>
        </w:tc>
        <w:tc>
          <w:tcPr>
            <w:tcW w:w="5760" w:type="dxa"/>
            <w:shd w:val="clear" w:color="auto" w:fill="FFFFFF"/>
          </w:tcPr>
          <w:p w14:paraId="746BECB2" w14:textId="77777777" w:rsidR="0037513C" w:rsidRDefault="0037513C" w:rsidP="00B60A64">
            <w:pPr>
              <w:pStyle w:val="Bang"/>
              <w:spacing w:before="20" w:after="20"/>
            </w:pPr>
            <w:r>
              <w:rPr>
                <w:color w:val="000000"/>
                <w:sz w:val="20"/>
              </w:rPr>
              <w:t>Every capability Application needs but does not implement: unit of work, repositories, payment, livestream, messaging, AI and imaging services.</w:t>
            </w:r>
          </w:p>
        </w:tc>
      </w:tr>
      <w:tr w:rsidR="0037513C" w14:paraId="4D3E2D72" w14:textId="77777777" w:rsidTr="00B60A64">
        <w:trPr>
          <w:jc w:val="center"/>
        </w:trPr>
        <w:tc>
          <w:tcPr>
            <w:tcW w:w="648" w:type="dxa"/>
            <w:shd w:val="clear" w:color="auto" w:fill="FFFFFF"/>
          </w:tcPr>
          <w:p w14:paraId="04B64E3B" w14:textId="77777777" w:rsidR="0037513C" w:rsidRDefault="0037513C" w:rsidP="00B60A64">
            <w:pPr>
              <w:pStyle w:val="Bang"/>
              <w:spacing w:before="20" w:after="20"/>
            </w:pPr>
            <w:r>
              <w:rPr>
                <w:color w:val="000000"/>
                <w:sz w:val="20"/>
              </w:rPr>
              <w:t>9</w:t>
            </w:r>
          </w:p>
        </w:tc>
        <w:tc>
          <w:tcPr>
            <w:tcW w:w="2520" w:type="dxa"/>
            <w:shd w:val="clear" w:color="auto" w:fill="FFFFFF"/>
          </w:tcPr>
          <w:p w14:paraId="60E3E8B3" w14:textId="77777777" w:rsidR="0037513C" w:rsidRDefault="0037513C" w:rsidP="00B60A64">
            <w:pPr>
              <w:pStyle w:val="Bang"/>
              <w:spacing w:before="20" w:after="20"/>
            </w:pPr>
            <w:r>
              <w:rPr>
                <w:color w:val="000000"/>
                <w:sz w:val="20"/>
              </w:rPr>
              <w:t>Application.Common.Behaviors</w:t>
            </w:r>
          </w:p>
        </w:tc>
        <w:tc>
          <w:tcPr>
            <w:tcW w:w="5760" w:type="dxa"/>
            <w:shd w:val="clear" w:color="auto" w:fill="FFFFFF"/>
          </w:tcPr>
          <w:p w14:paraId="22630EDE" w14:textId="77777777" w:rsidR="0037513C" w:rsidRDefault="0037513C" w:rsidP="00B60A64">
            <w:pPr>
              <w:pStyle w:val="Bang"/>
              <w:spacing w:before="20" w:after="20"/>
            </w:pPr>
            <w:r>
              <w:rPr>
                <w:color w:val="000000"/>
                <w:sz w:val="20"/>
              </w:rPr>
              <w:t>Pipeline behaviours that wrap every handler: validation, transaction boundary and logging.</w:t>
            </w:r>
          </w:p>
        </w:tc>
      </w:tr>
      <w:tr w:rsidR="0037513C" w14:paraId="4E4C5F10" w14:textId="77777777" w:rsidTr="00B60A64">
        <w:trPr>
          <w:jc w:val="center"/>
        </w:trPr>
        <w:tc>
          <w:tcPr>
            <w:tcW w:w="648" w:type="dxa"/>
            <w:shd w:val="clear" w:color="auto" w:fill="FFFFFF"/>
          </w:tcPr>
          <w:p w14:paraId="65623D3D" w14:textId="77777777" w:rsidR="0037513C" w:rsidRDefault="0037513C" w:rsidP="00B60A64">
            <w:pPr>
              <w:pStyle w:val="Bang"/>
              <w:spacing w:before="20" w:after="20"/>
            </w:pPr>
            <w:r>
              <w:rPr>
                <w:color w:val="000000"/>
                <w:sz w:val="20"/>
              </w:rPr>
              <w:t>10</w:t>
            </w:r>
          </w:p>
        </w:tc>
        <w:tc>
          <w:tcPr>
            <w:tcW w:w="2520" w:type="dxa"/>
            <w:shd w:val="clear" w:color="auto" w:fill="FFFFFF"/>
          </w:tcPr>
          <w:p w14:paraId="04D42A4D" w14:textId="77777777" w:rsidR="0037513C" w:rsidRDefault="0037513C" w:rsidP="00B60A64">
            <w:pPr>
              <w:pStyle w:val="Bang"/>
              <w:spacing w:before="20" w:after="20"/>
            </w:pPr>
            <w:r>
              <w:rPr>
                <w:color w:val="000000"/>
                <w:sz w:val="20"/>
              </w:rPr>
              <w:t>Application.Common.Models</w:t>
            </w:r>
          </w:p>
        </w:tc>
        <w:tc>
          <w:tcPr>
            <w:tcW w:w="5760" w:type="dxa"/>
            <w:shd w:val="clear" w:color="auto" w:fill="FFFFFF"/>
          </w:tcPr>
          <w:p w14:paraId="5A6776FB" w14:textId="77777777" w:rsidR="0037513C" w:rsidRDefault="0037513C" w:rsidP="00B60A64">
            <w:pPr>
              <w:pStyle w:val="Bang"/>
              <w:spacing w:before="20" w:after="20"/>
            </w:pPr>
            <w:r>
              <w:rPr>
                <w:color w:val="000000"/>
                <w:sz w:val="20"/>
              </w:rPr>
              <w:t>Shared result and paging shapes returned across features.</w:t>
            </w:r>
          </w:p>
        </w:tc>
      </w:tr>
      <w:tr w:rsidR="0037513C" w14:paraId="6ECBDE30" w14:textId="77777777" w:rsidTr="00B60A64">
        <w:trPr>
          <w:jc w:val="center"/>
        </w:trPr>
        <w:tc>
          <w:tcPr>
            <w:tcW w:w="648" w:type="dxa"/>
            <w:shd w:val="clear" w:color="auto" w:fill="FFFFFF"/>
          </w:tcPr>
          <w:p w14:paraId="62E7C785" w14:textId="77777777" w:rsidR="0037513C" w:rsidRDefault="0037513C" w:rsidP="00B60A64">
            <w:pPr>
              <w:pStyle w:val="Bang"/>
              <w:spacing w:before="20" w:after="20"/>
            </w:pPr>
            <w:r>
              <w:rPr>
                <w:color w:val="000000"/>
                <w:sz w:val="20"/>
              </w:rPr>
              <w:t>11</w:t>
            </w:r>
          </w:p>
        </w:tc>
        <w:tc>
          <w:tcPr>
            <w:tcW w:w="2520" w:type="dxa"/>
            <w:shd w:val="clear" w:color="auto" w:fill="FFFFFF"/>
          </w:tcPr>
          <w:p w14:paraId="70DE29EE" w14:textId="77777777" w:rsidR="0037513C" w:rsidRDefault="0037513C" w:rsidP="00B60A64">
            <w:pPr>
              <w:pStyle w:val="Bang"/>
              <w:spacing w:before="20" w:after="20"/>
            </w:pPr>
            <w:r>
              <w:rPr>
                <w:color w:val="000000"/>
                <w:sz w:val="20"/>
              </w:rPr>
              <w:t>Infrastructure.Persistence</w:t>
            </w:r>
          </w:p>
        </w:tc>
        <w:tc>
          <w:tcPr>
            <w:tcW w:w="5760" w:type="dxa"/>
            <w:shd w:val="clear" w:color="auto" w:fill="FFFFFF"/>
          </w:tcPr>
          <w:p w14:paraId="15FB8FE4" w14:textId="77777777" w:rsidR="0037513C" w:rsidRDefault="0037513C" w:rsidP="00B60A64">
            <w:pPr>
              <w:pStyle w:val="Bang"/>
              <w:spacing w:before="20" w:after="20"/>
            </w:pPr>
            <w:r>
              <w:rPr>
                <w:color w:val="000000"/>
                <w:sz w:val="20"/>
              </w:rPr>
              <w:t>The database context exposing the entity sets, one configuration class per entity, the migration history, and the concrete repository and unit-of-work implementations.</w:t>
            </w:r>
          </w:p>
        </w:tc>
      </w:tr>
      <w:tr w:rsidR="0037513C" w14:paraId="074E18A1" w14:textId="77777777" w:rsidTr="00B60A64">
        <w:trPr>
          <w:jc w:val="center"/>
        </w:trPr>
        <w:tc>
          <w:tcPr>
            <w:tcW w:w="648" w:type="dxa"/>
            <w:shd w:val="clear" w:color="auto" w:fill="FFFFFF"/>
          </w:tcPr>
          <w:p w14:paraId="1E17D8C4" w14:textId="77777777" w:rsidR="0037513C" w:rsidRDefault="0037513C" w:rsidP="00B60A64">
            <w:pPr>
              <w:pStyle w:val="Bang"/>
              <w:spacing w:before="20" w:after="20"/>
            </w:pPr>
            <w:r>
              <w:rPr>
                <w:color w:val="000000"/>
                <w:sz w:val="20"/>
              </w:rPr>
              <w:t>12</w:t>
            </w:r>
          </w:p>
        </w:tc>
        <w:tc>
          <w:tcPr>
            <w:tcW w:w="2520" w:type="dxa"/>
            <w:shd w:val="clear" w:color="auto" w:fill="FFFFFF"/>
          </w:tcPr>
          <w:p w14:paraId="13E39E77" w14:textId="77777777" w:rsidR="0037513C" w:rsidRDefault="0037513C" w:rsidP="00B60A64">
            <w:pPr>
              <w:pStyle w:val="Bang"/>
              <w:spacing w:before="20" w:after="20"/>
            </w:pPr>
            <w:r>
              <w:rPr>
                <w:color w:val="000000"/>
                <w:sz w:val="20"/>
              </w:rPr>
              <w:t>Infrastructure.Services</w:t>
            </w:r>
          </w:p>
        </w:tc>
        <w:tc>
          <w:tcPr>
            <w:tcW w:w="5760" w:type="dxa"/>
            <w:shd w:val="clear" w:color="auto" w:fill="FFFFFF"/>
          </w:tcPr>
          <w:p w14:paraId="1E42E4BE" w14:textId="77777777" w:rsidR="0037513C" w:rsidRDefault="0037513C" w:rsidP="00B60A64">
            <w:pPr>
              <w:pStyle w:val="Bang"/>
              <w:spacing w:before="20" w:after="20"/>
            </w:pPr>
            <w:r>
              <w:rPr>
                <w:color w:val="000000"/>
                <w:sz w:val="20"/>
              </w:rPr>
              <w:t>One adapter per external system — payment, livestream, AI, push, SMS, email and imaging — each implementing an Application interface.</w:t>
            </w:r>
          </w:p>
        </w:tc>
      </w:tr>
      <w:tr w:rsidR="0037513C" w14:paraId="1F851C04" w14:textId="77777777" w:rsidTr="00B60A64">
        <w:trPr>
          <w:jc w:val="center"/>
        </w:trPr>
        <w:tc>
          <w:tcPr>
            <w:tcW w:w="648" w:type="dxa"/>
            <w:shd w:val="clear" w:color="auto" w:fill="FFFFFF"/>
          </w:tcPr>
          <w:p w14:paraId="5A139687" w14:textId="77777777" w:rsidR="0037513C" w:rsidRDefault="0037513C" w:rsidP="00B60A64">
            <w:pPr>
              <w:pStyle w:val="Bang"/>
              <w:spacing w:before="20" w:after="20"/>
            </w:pPr>
            <w:r>
              <w:rPr>
                <w:color w:val="000000"/>
                <w:sz w:val="20"/>
              </w:rPr>
              <w:t>13</w:t>
            </w:r>
          </w:p>
        </w:tc>
        <w:tc>
          <w:tcPr>
            <w:tcW w:w="2520" w:type="dxa"/>
            <w:shd w:val="clear" w:color="auto" w:fill="FFFFFF"/>
          </w:tcPr>
          <w:p w14:paraId="3C82A22B" w14:textId="77777777" w:rsidR="0037513C" w:rsidRDefault="0037513C" w:rsidP="00B60A64">
            <w:pPr>
              <w:pStyle w:val="Bang"/>
              <w:spacing w:before="20" w:after="20"/>
            </w:pPr>
            <w:r>
              <w:rPr>
                <w:color w:val="000000"/>
                <w:sz w:val="20"/>
              </w:rPr>
              <w:t>Infrastructure.Jobs</w:t>
            </w:r>
          </w:p>
        </w:tc>
        <w:tc>
          <w:tcPr>
            <w:tcW w:w="5760" w:type="dxa"/>
            <w:shd w:val="clear" w:color="auto" w:fill="FFFFFF"/>
          </w:tcPr>
          <w:p w14:paraId="7A941F63" w14:textId="77777777" w:rsidR="0037513C" w:rsidRDefault="0037513C" w:rsidP="00B60A64">
            <w:pPr>
              <w:pStyle w:val="Bang"/>
              <w:spacing w:before="20" w:after="20"/>
            </w:pPr>
            <w:r>
              <w:rPr>
                <w:color w:val="000000"/>
                <w:sz w:val="20"/>
              </w:rPr>
              <w:t>The 30 background job classes, 22 of which run on a recurring schedule.</w:t>
            </w:r>
          </w:p>
        </w:tc>
      </w:tr>
      <w:tr w:rsidR="0037513C" w14:paraId="2B2A7008" w14:textId="77777777" w:rsidTr="00B60A64">
        <w:trPr>
          <w:jc w:val="center"/>
        </w:trPr>
        <w:tc>
          <w:tcPr>
            <w:tcW w:w="648" w:type="dxa"/>
            <w:shd w:val="clear" w:color="auto" w:fill="FFFFFF"/>
          </w:tcPr>
          <w:p w14:paraId="50909374" w14:textId="77777777" w:rsidR="0037513C" w:rsidRDefault="0037513C" w:rsidP="00B60A64">
            <w:pPr>
              <w:pStyle w:val="Bang"/>
              <w:spacing w:before="20" w:after="20"/>
            </w:pPr>
            <w:r>
              <w:rPr>
                <w:color w:val="000000"/>
                <w:sz w:val="20"/>
              </w:rPr>
              <w:t>14</w:t>
            </w:r>
          </w:p>
        </w:tc>
        <w:tc>
          <w:tcPr>
            <w:tcW w:w="2520" w:type="dxa"/>
            <w:shd w:val="clear" w:color="auto" w:fill="FFFFFF"/>
          </w:tcPr>
          <w:p w14:paraId="5575A65A" w14:textId="77777777" w:rsidR="0037513C" w:rsidRDefault="0037513C" w:rsidP="00B60A64">
            <w:pPr>
              <w:pStyle w:val="Bang"/>
              <w:spacing w:before="20" w:after="20"/>
            </w:pPr>
            <w:r>
              <w:rPr>
                <w:color w:val="000000"/>
                <w:sz w:val="20"/>
              </w:rPr>
              <w:t>Infrastructure.Security</w:t>
            </w:r>
          </w:p>
        </w:tc>
        <w:tc>
          <w:tcPr>
            <w:tcW w:w="5760" w:type="dxa"/>
            <w:shd w:val="clear" w:color="auto" w:fill="FFFFFF"/>
          </w:tcPr>
          <w:p w14:paraId="1D7BA30A" w14:textId="77777777" w:rsidR="0037513C" w:rsidRDefault="0037513C" w:rsidP="00B60A64">
            <w:pPr>
              <w:pStyle w:val="Bang"/>
              <w:spacing w:before="20" w:after="20"/>
            </w:pPr>
            <w:r>
              <w:rPr>
                <w:color w:val="000000"/>
                <w:sz w:val="20"/>
              </w:rPr>
              <w:t>Token issuing, password hashing, and the protection of sensitive stored fields.</w:t>
            </w:r>
          </w:p>
        </w:tc>
      </w:tr>
      <w:tr w:rsidR="0037513C" w14:paraId="6BC8A9B5" w14:textId="77777777" w:rsidTr="00B60A64">
        <w:trPr>
          <w:jc w:val="center"/>
        </w:trPr>
        <w:tc>
          <w:tcPr>
            <w:tcW w:w="648" w:type="dxa"/>
            <w:shd w:val="clear" w:color="auto" w:fill="FFFFFF"/>
          </w:tcPr>
          <w:p w14:paraId="16189BA1" w14:textId="77777777" w:rsidR="0037513C" w:rsidRDefault="0037513C" w:rsidP="00B60A64">
            <w:pPr>
              <w:pStyle w:val="Bang"/>
              <w:spacing w:before="20" w:after="20"/>
            </w:pPr>
            <w:r>
              <w:rPr>
                <w:color w:val="000000"/>
                <w:sz w:val="20"/>
              </w:rPr>
              <w:t>15</w:t>
            </w:r>
          </w:p>
        </w:tc>
        <w:tc>
          <w:tcPr>
            <w:tcW w:w="2520" w:type="dxa"/>
            <w:shd w:val="clear" w:color="auto" w:fill="FFFFFF"/>
          </w:tcPr>
          <w:p w14:paraId="49173638" w14:textId="77777777" w:rsidR="0037513C" w:rsidRDefault="0037513C" w:rsidP="00B60A64">
            <w:pPr>
              <w:pStyle w:val="Bang"/>
              <w:spacing w:before="20" w:after="20"/>
            </w:pPr>
            <w:r>
              <w:rPr>
                <w:color w:val="000000"/>
                <w:sz w:val="20"/>
              </w:rPr>
              <w:t>Api.Controllers</w:t>
            </w:r>
          </w:p>
        </w:tc>
        <w:tc>
          <w:tcPr>
            <w:tcW w:w="5760" w:type="dxa"/>
            <w:shd w:val="clear" w:color="auto" w:fill="FFFFFF"/>
          </w:tcPr>
          <w:p w14:paraId="1A87EE2B" w14:textId="77777777" w:rsidR="0037513C" w:rsidRDefault="0037513C" w:rsidP="00B60A64">
            <w:pPr>
              <w:pStyle w:val="Bang"/>
              <w:spacing w:before="20" w:after="20"/>
            </w:pPr>
            <w:r>
              <w:rPr>
                <w:color w:val="000000"/>
                <w:sz w:val="20"/>
              </w:rPr>
              <w:t>The 25 controllers exposing roughly 209 endpoints.</w:t>
            </w:r>
          </w:p>
        </w:tc>
      </w:tr>
      <w:tr w:rsidR="0037513C" w14:paraId="17EC73F5" w14:textId="77777777" w:rsidTr="00B60A64">
        <w:trPr>
          <w:jc w:val="center"/>
        </w:trPr>
        <w:tc>
          <w:tcPr>
            <w:tcW w:w="648" w:type="dxa"/>
            <w:shd w:val="clear" w:color="auto" w:fill="FFFFFF"/>
          </w:tcPr>
          <w:p w14:paraId="0C23668A" w14:textId="77777777" w:rsidR="0037513C" w:rsidRDefault="0037513C" w:rsidP="00B60A64">
            <w:pPr>
              <w:pStyle w:val="Bang"/>
              <w:spacing w:before="20" w:after="20"/>
            </w:pPr>
            <w:r>
              <w:rPr>
                <w:color w:val="000000"/>
                <w:sz w:val="20"/>
              </w:rPr>
              <w:lastRenderedPageBreak/>
              <w:t>16</w:t>
            </w:r>
          </w:p>
        </w:tc>
        <w:tc>
          <w:tcPr>
            <w:tcW w:w="2520" w:type="dxa"/>
            <w:shd w:val="clear" w:color="auto" w:fill="FFFFFF"/>
          </w:tcPr>
          <w:p w14:paraId="45217142" w14:textId="77777777" w:rsidR="0037513C" w:rsidRDefault="0037513C" w:rsidP="00B60A64">
            <w:pPr>
              <w:pStyle w:val="Bang"/>
              <w:spacing w:before="20" w:after="20"/>
            </w:pPr>
            <w:r>
              <w:rPr>
                <w:color w:val="000000"/>
                <w:sz w:val="20"/>
              </w:rPr>
              <w:t>Api.Hubs</w:t>
            </w:r>
          </w:p>
        </w:tc>
        <w:tc>
          <w:tcPr>
            <w:tcW w:w="5760" w:type="dxa"/>
            <w:shd w:val="clear" w:color="auto" w:fill="FFFFFF"/>
          </w:tcPr>
          <w:p w14:paraId="2F02C280" w14:textId="77777777" w:rsidR="0037513C" w:rsidRDefault="0037513C" w:rsidP="00B60A64">
            <w:pPr>
              <w:pStyle w:val="Bang"/>
              <w:spacing w:before="20" w:after="20"/>
            </w:pPr>
            <w:r>
              <w:rPr>
                <w:color w:val="000000"/>
                <w:sz w:val="20"/>
              </w:rPr>
              <w:t>Real-time hubs for livestream chat, access gating and the public donation ticker.</w:t>
            </w:r>
          </w:p>
        </w:tc>
      </w:tr>
      <w:tr w:rsidR="0037513C" w14:paraId="769A31E0" w14:textId="77777777" w:rsidTr="00B60A64">
        <w:trPr>
          <w:jc w:val="center"/>
        </w:trPr>
        <w:tc>
          <w:tcPr>
            <w:tcW w:w="648" w:type="dxa"/>
            <w:shd w:val="clear" w:color="auto" w:fill="FFFFFF"/>
          </w:tcPr>
          <w:p w14:paraId="65292E1B" w14:textId="77777777" w:rsidR="0037513C" w:rsidRDefault="0037513C" w:rsidP="00B60A64">
            <w:pPr>
              <w:pStyle w:val="Bang"/>
              <w:spacing w:before="20" w:after="20"/>
            </w:pPr>
            <w:r>
              <w:rPr>
                <w:color w:val="000000"/>
                <w:sz w:val="20"/>
              </w:rPr>
              <w:t>17</w:t>
            </w:r>
          </w:p>
        </w:tc>
        <w:tc>
          <w:tcPr>
            <w:tcW w:w="2520" w:type="dxa"/>
            <w:shd w:val="clear" w:color="auto" w:fill="FFFFFF"/>
          </w:tcPr>
          <w:p w14:paraId="77DAB32C" w14:textId="77777777" w:rsidR="0037513C" w:rsidRDefault="0037513C" w:rsidP="00B60A64">
            <w:pPr>
              <w:pStyle w:val="Bang"/>
              <w:spacing w:before="20" w:after="20"/>
            </w:pPr>
            <w:r>
              <w:rPr>
                <w:color w:val="000000"/>
                <w:sz w:val="20"/>
              </w:rPr>
              <w:t>Api.Authorization</w:t>
            </w:r>
          </w:p>
        </w:tc>
        <w:tc>
          <w:tcPr>
            <w:tcW w:w="5760" w:type="dxa"/>
            <w:shd w:val="clear" w:color="auto" w:fill="FFFFFF"/>
          </w:tcPr>
          <w:p w14:paraId="1C18985F" w14:textId="77777777" w:rsidR="0037513C" w:rsidRDefault="0037513C" w:rsidP="00B60A64">
            <w:pPr>
              <w:pStyle w:val="Bang"/>
              <w:spacing w:before="20" w:after="20"/>
            </w:pPr>
            <w:r>
              <w:rPr>
                <w:color w:val="000000"/>
                <w:sz w:val="20"/>
              </w:rPr>
              <w:t>Policy definitions and the venue-scoping requirement handlers.</w:t>
            </w:r>
          </w:p>
        </w:tc>
      </w:tr>
      <w:tr w:rsidR="0037513C" w14:paraId="77E19FBC" w14:textId="77777777" w:rsidTr="00B60A64">
        <w:trPr>
          <w:jc w:val="center"/>
        </w:trPr>
        <w:tc>
          <w:tcPr>
            <w:tcW w:w="648" w:type="dxa"/>
            <w:shd w:val="clear" w:color="auto" w:fill="FFFFFF"/>
          </w:tcPr>
          <w:p w14:paraId="14785584" w14:textId="77777777" w:rsidR="0037513C" w:rsidRDefault="0037513C" w:rsidP="00B60A64">
            <w:pPr>
              <w:pStyle w:val="Bang"/>
              <w:spacing w:before="20" w:after="20"/>
            </w:pPr>
            <w:r>
              <w:rPr>
                <w:color w:val="000000"/>
                <w:sz w:val="20"/>
              </w:rPr>
              <w:t>18</w:t>
            </w:r>
          </w:p>
        </w:tc>
        <w:tc>
          <w:tcPr>
            <w:tcW w:w="2520" w:type="dxa"/>
            <w:shd w:val="clear" w:color="auto" w:fill="FFFFFF"/>
          </w:tcPr>
          <w:p w14:paraId="6775553C" w14:textId="77777777" w:rsidR="0037513C" w:rsidRDefault="0037513C" w:rsidP="00B60A64">
            <w:pPr>
              <w:pStyle w:val="Bang"/>
              <w:spacing w:before="20" w:after="20"/>
            </w:pPr>
            <w:r>
              <w:rPr>
                <w:color w:val="000000"/>
                <w:sz w:val="20"/>
              </w:rPr>
              <w:t>Api.Middleware</w:t>
            </w:r>
          </w:p>
        </w:tc>
        <w:tc>
          <w:tcPr>
            <w:tcW w:w="5760" w:type="dxa"/>
            <w:shd w:val="clear" w:color="auto" w:fill="FFFFFF"/>
          </w:tcPr>
          <w:p w14:paraId="1B53C60D" w14:textId="77777777" w:rsidR="0037513C" w:rsidRDefault="0037513C" w:rsidP="00B60A64">
            <w:pPr>
              <w:pStyle w:val="Bang"/>
              <w:spacing w:before="20" w:after="20"/>
            </w:pPr>
            <w:r>
              <w:rPr>
                <w:color w:val="000000"/>
                <w:sz w:val="20"/>
              </w:rPr>
              <w:t>Global exception handling, request logging and security headers.</w:t>
            </w:r>
          </w:p>
        </w:tc>
      </w:tr>
    </w:tbl>
    <w:p w14:paraId="25B9E649" w14:textId="77777777" w:rsidR="006B4FFE" w:rsidRDefault="006B4FFE" w:rsidP="00E6669C">
      <w:pPr>
        <w:pStyle w:val="u2"/>
        <w:spacing w:before="280" w:after="120"/>
      </w:pPr>
      <w:bookmarkStart w:id="7" w:name="_Toc237756006"/>
      <w:r>
        <w:t>2. Database Design</w:t>
      </w:r>
      <w:bookmarkEnd w:id="7"/>
    </w:p>
    <w:p w14:paraId="67C44314" w14:textId="77777777" w:rsidR="008951BC" w:rsidRDefault="008951BC" w:rsidP="008951BC">
      <w:pPr>
        <w:spacing w:after="120" w:line="276" w:lineRule="auto"/>
        <w:jc w:val="both"/>
      </w:pPr>
      <w:r>
        <w:rPr>
          <w:noProof/>
        </w:rPr>
        <w:t>68 entities are mapped to SQL Server tables entirely through Code-First migrations; there is no hand-written schema script, so the schema in any environment is whatever the committed migration history says it is.</w:t>
      </w:r>
    </w:p>
    <w:p w14:paraId="6F4E37D2" w14:textId="77777777" w:rsidR="008951BC" w:rsidRDefault="008951BC" w:rsidP="008951BC">
      <w:pPr>
        <w:spacing w:after="120" w:line="276" w:lineRule="auto"/>
        <w:jc w:val="both"/>
      </w:pPr>
      <w:r>
        <w:rPr>
          <w:noProof/>
        </w:rPr>
        <w:t>Conventions applied consistently across the schema. Identifiers are integer identity columns, except Ticket, whose key is a server-generated sequential globally unique identifier so a ticket cannot be found by guessing a number. Enumerations are stored as their string names rather than ordinals, so a value stays readable in the database and inserting a new member cannot silently renumber existing rows. Money is stored as a fixed-precision decimal, never a floating-point type. Timestamps are stored with their offset. Deletes are restricted by default; a cascade is only configured where the child genuinely has no meaning without its parent, which also avoids the multiple-cascade-path restriction on the real engine.</w:t>
      </w:r>
    </w:p>
    <w:p w14:paraId="26C06029" w14:textId="77777777" w:rsidR="008951BC" w:rsidRDefault="008951BC" w:rsidP="008951BC">
      <w:pPr>
        <w:spacing w:after="120" w:line="276" w:lineRule="auto"/>
        <w:jc w:val="both"/>
      </w:pPr>
      <w:r>
        <w:rPr>
          <w:noProof/>
        </w:rPr>
        <w:t>The relationships between the core entities are shown in Report 3 §3.1.5. The remaining tables fall into four groups: taxonomy tags and the join tables that attach them to shows, performers and user preferences; financial records — accounts, ledger entries, payments, settlements, refunds and bank accounts; operational logs for sign-in failures, push failures and behaviour events, each with its own retention rule; and configuration, where every business-tunable number lives with an audit trail of changes.</w:t>
      </w:r>
    </w:p>
    <w:p w14:paraId="3D35DBE3" w14:textId="77777777" w:rsidR="00DF57E3" w:rsidRDefault="00DF57E3" w:rsidP="00B7727A">
      <w:pPr>
        <w:pStyle w:val="u2"/>
        <w:spacing w:before="280" w:after="120"/>
      </w:pPr>
      <w:bookmarkStart w:id="8" w:name="_Toc237756007"/>
      <w:r>
        <w:t xml:space="preserve">3. </w:t>
      </w:r>
      <w:r w:rsidR="00887D8F">
        <w:t>Detailed Design</w:t>
      </w:r>
      <w:bookmarkEnd w:id="8"/>
    </w:p>
    <w:p w14:paraId="564168E2" w14:textId="77777777" w:rsidR="008951BC" w:rsidRDefault="008951BC" w:rsidP="008951BC">
      <w:pPr>
        <w:spacing w:after="120" w:line="276" w:lineRule="auto"/>
        <w:jc w:val="both"/>
      </w:pPr>
      <w:r>
        <w:rPr>
          <w:noProof/>
        </w:rPr>
        <w:t>Every feature repeats the same class structure, so it is documented once in §3.1 rather than redrawn per feature. The sections after it give the sequence of the flows where the interaction, not the class shape, is what carries the design risk.</w:t>
      </w:r>
    </w:p>
    <w:p w14:paraId="266182A4" w14:textId="77777777" w:rsidR="00A22B37" w:rsidRPr="006368ED" w:rsidRDefault="00CB6A4F" w:rsidP="00CB6A4F">
      <w:pPr>
        <w:pStyle w:val="u3"/>
        <w:spacing w:before="200" w:after="120"/>
      </w:pPr>
      <w:bookmarkStart w:id="9" w:name="_Toc237756008"/>
      <w:r>
        <w:t>3.1 Common Structure — Command, Handler and Pipeline</w:t>
      </w:r>
      <w:bookmarkEnd w:id="9"/>
    </w:p>
    <w:p w14:paraId="05DD8D92" w14:textId="77777777" w:rsidR="008951BC" w:rsidRDefault="008951BC" w:rsidP="008951BC">
      <w:pPr>
        <w:spacing w:after="120" w:line="276" w:lineRule="auto"/>
        <w:jc w:val="both"/>
      </w:pPr>
      <w:r>
        <w:rPr>
          <w:noProof/>
        </w:rPr>
        <w:t>A controller action does nothing beyond authorisation and mapping: it builds a command or query and hands it to the mediator. A validator declared alongside the command is run by a pipeline behaviour before the handler is reached, so a handler never begins with a block of argument checking. The handler depends only on interfaces — the unit of work, and a specific repository where a query needs eager loading — so it can be exercised without a database. A transaction behaviour opens and commits around the handler, which is why a handler never manages a transaction itself and why a failure part-way cannot leave a half-written change.</w:t>
      </w:r>
    </w:p>
    <w:p w14:paraId="1F8CD22A" w14:textId="77777777" w:rsidR="00E52D41" w:rsidRPr="00C953C7" w:rsidRDefault="00C953C7" w:rsidP="00C953C7">
      <w:pPr>
        <w:pStyle w:val="u4"/>
        <w:spacing w:before="160" w:after="120"/>
      </w:pPr>
      <w:r>
        <w:lastRenderedPageBreak/>
        <w:t>3.1.1</w:t>
      </w:r>
      <w:r w:rsidR="00E52D41" w:rsidRPr="00C953C7">
        <w:t xml:space="preserve"> Class Diagram</w:t>
      </w:r>
    </w:p>
    <w:p w14:paraId="78674A9B" w14:textId="77777777" w:rsidR="008951BC" w:rsidRDefault="008951BC" w:rsidP="008951BC">
      <w:pPr>
        <w:keepNext/>
        <w:spacing w:before="120" w:after="40" w:line="276" w:lineRule="auto"/>
        <w:jc w:val="center"/>
      </w:pPr>
      <w:r>
        <w:rPr>
          <w:noProof/>
        </w:rPr>
        <w:drawing>
          <wp:inline distT="0" distB="0" distL="0" distR="0" wp14:anchorId="01778AB7" wp14:editId="621130CC">
            <wp:extent cx="5669280" cy="24609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cqrs.png"/>
                    <pic:cNvPicPr/>
                  </pic:nvPicPr>
                  <pic:blipFill>
                    <a:blip r:embed="rId10"/>
                    <a:stretch>
                      <a:fillRect/>
                    </a:stretch>
                  </pic:blipFill>
                  <pic:spPr>
                    <a:xfrm>
                      <a:off x="0" y="0"/>
                      <a:ext cx="5669280" cy="2460949"/>
                    </a:xfrm>
                    <a:prstGeom prst="rect">
                      <a:avLst/>
                    </a:prstGeom>
                  </pic:spPr>
                </pic:pic>
              </a:graphicData>
            </a:graphic>
          </wp:inline>
        </w:drawing>
      </w:r>
    </w:p>
    <w:p w14:paraId="2DA602BD" w14:textId="77777777" w:rsidR="008951BC" w:rsidRDefault="008951BC" w:rsidP="008951BC">
      <w:pPr>
        <w:spacing w:after="200" w:line="276" w:lineRule="auto"/>
        <w:jc w:val="center"/>
      </w:pPr>
      <w:r>
        <w:rPr>
          <w:i/>
          <w:noProof/>
          <w:sz w:val="20"/>
        </w:rPr>
        <w:t>Figure 4 — Common CQRS class structure repeated by every feature</w:t>
      </w:r>
    </w:p>
    <w:p w14:paraId="54C3CBD3" w14:textId="77777777" w:rsidR="00497D11" w:rsidRDefault="006B4FFE" w:rsidP="00B7727A">
      <w:pPr>
        <w:pStyle w:val="u3"/>
        <w:spacing w:before="200" w:after="120" w:line="276" w:lineRule="auto"/>
        <w:jc w:val="both"/>
      </w:pPr>
      <w:bookmarkStart w:id="10" w:name="_Toc237756009"/>
      <w:r>
        <w:t>3.2 Ticket Purchase</w:t>
      </w:r>
      <w:bookmarkEnd w:id="10"/>
    </w:p>
    <w:p w14:paraId="766F3C35" w14:textId="77777777" w:rsidR="008951BC" w:rsidRDefault="008951BC" w:rsidP="008951BC">
      <w:pPr>
        <w:spacing w:after="120" w:line="276" w:lineRule="auto"/>
        <w:jc w:val="both"/>
      </w:pPr>
      <w:r>
        <w:rPr>
          <w:noProof/>
        </w:rPr>
        <w:t>This is the flow with the most concurrency risk in the system, so it is designed around two decisions. Capacity is decremented when the hold is taken rather than when payment completes, which is what prevents the same seat being sold twice during the payment window. And the gateway's server-to-server callback, not the browser redirect, is treated as the authoritative confirmation — so the ticket still confirms if the customer closes the tab, and the handler must be idempotent because the gateway retries until it receives the response it expects.</w:t>
      </w:r>
    </w:p>
    <w:p w14:paraId="2465C64D" w14:textId="77777777" w:rsidR="008951BC" w:rsidRDefault="008951BC" w:rsidP="008951BC">
      <w:pPr>
        <w:keepNext/>
        <w:spacing w:before="120" w:after="40" w:line="276" w:lineRule="auto"/>
        <w:jc w:val="center"/>
      </w:pPr>
      <w:r>
        <w:rPr>
          <w:noProof/>
        </w:rPr>
        <w:lastRenderedPageBreak/>
        <w:drawing>
          <wp:inline distT="0" distB="0" distL="0" distR="0" wp14:anchorId="4889E34B" wp14:editId="6CE189BD">
            <wp:extent cx="5669280" cy="49750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ticket-purchase.png"/>
                    <pic:cNvPicPr/>
                  </pic:nvPicPr>
                  <pic:blipFill>
                    <a:blip r:embed="rId11"/>
                    <a:stretch>
                      <a:fillRect/>
                    </a:stretch>
                  </pic:blipFill>
                  <pic:spPr>
                    <a:xfrm>
                      <a:off x="0" y="0"/>
                      <a:ext cx="5669280" cy="4975082"/>
                    </a:xfrm>
                    <a:prstGeom prst="rect">
                      <a:avLst/>
                    </a:prstGeom>
                  </pic:spPr>
                </pic:pic>
              </a:graphicData>
            </a:graphic>
          </wp:inline>
        </w:drawing>
      </w:r>
    </w:p>
    <w:p w14:paraId="6F7533FD" w14:textId="77777777" w:rsidR="008951BC" w:rsidRDefault="008951BC" w:rsidP="008951BC">
      <w:pPr>
        <w:spacing w:after="200" w:line="276" w:lineRule="auto"/>
        <w:jc w:val="center"/>
      </w:pPr>
      <w:r>
        <w:rPr>
          <w:i/>
          <w:noProof/>
          <w:sz w:val="20"/>
        </w:rPr>
        <w:t>Figure 5 — Ticket purchase — hold, pay, and confirm through the gateway callback</w:t>
      </w:r>
    </w:p>
    <w:p w14:paraId="7E585DB4" w14:textId="77777777" w:rsidR="00497D11" w:rsidRDefault="006B4FFE" w:rsidP="00B7727A">
      <w:pPr>
        <w:pStyle w:val="u3"/>
        <w:spacing w:before="200" w:after="120" w:line="276" w:lineRule="auto"/>
        <w:jc w:val="both"/>
      </w:pPr>
      <w:bookmarkStart w:id="11" w:name="_Toc237756010"/>
      <w:r>
        <w:t>3.3 Donation and Performer Payout</w:t>
      </w:r>
      <w:bookmarkEnd w:id="11"/>
    </w:p>
    <w:p w14:paraId="1F0FB8B4" w14:textId="77777777" w:rsidR="008951BC" w:rsidRDefault="008951BC" w:rsidP="008951BC">
      <w:pPr>
        <w:spacing w:after="120" w:line="276" w:lineRule="auto"/>
        <w:jc w:val="both"/>
      </w:pPr>
      <w:r>
        <w:rPr>
          <w:noProof/>
        </w:rPr>
        <w:t>A tip is not a single transfer but a pipeline that can span days, and the design makes each stage explicit rather than hiding the delay. At confirmation the platform commission and tax are posted immediately and the performer's share rate is frozen onto the donation, so an administrator adjusting the rate afterwards cannot change what an existing donation already promised. The final payout is refused outright if the performer has no registered bank account, because recording a payout with no destination would leave the ledger claiming money moved somewhere that does not exist.</w:t>
      </w:r>
    </w:p>
    <w:p w14:paraId="392DA40A" w14:textId="77777777" w:rsidR="008951BC" w:rsidRDefault="008951BC" w:rsidP="008951BC">
      <w:pPr>
        <w:keepNext/>
        <w:spacing w:before="120" w:after="40" w:line="276" w:lineRule="auto"/>
        <w:jc w:val="center"/>
      </w:pPr>
      <w:r>
        <w:rPr>
          <w:noProof/>
        </w:rPr>
        <w:lastRenderedPageBreak/>
        <w:drawing>
          <wp:inline distT="0" distB="0" distL="0" distR="0" wp14:anchorId="236DFB2B" wp14:editId="4D495C7D">
            <wp:extent cx="5669280" cy="46598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donation.png"/>
                    <pic:cNvPicPr/>
                  </pic:nvPicPr>
                  <pic:blipFill>
                    <a:blip r:embed="rId12"/>
                    <a:stretch>
                      <a:fillRect/>
                    </a:stretch>
                  </pic:blipFill>
                  <pic:spPr>
                    <a:xfrm>
                      <a:off x="0" y="0"/>
                      <a:ext cx="5669280" cy="4659831"/>
                    </a:xfrm>
                    <a:prstGeom prst="rect">
                      <a:avLst/>
                    </a:prstGeom>
                  </pic:spPr>
                </pic:pic>
              </a:graphicData>
            </a:graphic>
          </wp:inline>
        </w:drawing>
      </w:r>
    </w:p>
    <w:p w14:paraId="26FAD486" w14:textId="77777777" w:rsidR="008951BC" w:rsidRDefault="008951BC" w:rsidP="008951BC">
      <w:pPr>
        <w:spacing w:after="200" w:line="276" w:lineRule="auto"/>
        <w:jc w:val="center"/>
      </w:pPr>
      <w:r>
        <w:rPr>
          <w:i/>
          <w:noProof/>
          <w:sz w:val="20"/>
        </w:rPr>
        <w:t>Figure 6 — Donation — tip a performer, then owner acknowledgement and payout</w:t>
      </w:r>
    </w:p>
    <w:p w14:paraId="7FB7D7B1" w14:textId="77777777" w:rsidR="00497D11" w:rsidRDefault="006B4FFE" w:rsidP="00B7727A">
      <w:pPr>
        <w:pStyle w:val="u3"/>
        <w:spacing w:before="200" w:after="120" w:line="276" w:lineRule="auto"/>
        <w:jc w:val="both"/>
      </w:pPr>
      <w:bookmarkStart w:id="12" w:name="_Toc237756011"/>
      <w:r>
        <w:t>3.4 Content Moderation</w:t>
      </w:r>
      <w:bookmarkEnd w:id="12"/>
    </w:p>
    <w:p w14:paraId="4ADA9849" w14:textId="77777777" w:rsidR="008951BC" w:rsidRDefault="008951BC" w:rsidP="008951BC">
      <w:pPr>
        <w:spacing w:after="120" w:line="276" w:lineRule="auto"/>
        <w:jc w:val="both"/>
      </w:pPr>
      <w:r>
        <w:rPr>
          <w:noProof/>
        </w:rPr>
        <w:t>The design deliberately separates advice from authority. Scoring runs as a background job so a slow or unavailable AI service cannot block a submission, and its output is a score and a recommendation that an Admin may follow or ignore. If the service fails the item still enters the queue with a neutral score, because the failure mode that matters here is content never reaching review at all — not content reaching review without a score.</w:t>
      </w:r>
    </w:p>
    <w:p w14:paraId="3F111371" w14:textId="77777777" w:rsidR="008951BC" w:rsidRDefault="008951BC" w:rsidP="008951BC">
      <w:pPr>
        <w:keepNext/>
        <w:spacing w:before="120" w:after="40" w:line="276" w:lineRule="auto"/>
        <w:jc w:val="center"/>
      </w:pPr>
      <w:r>
        <w:rPr>
          <w:noProof/>
        </w:rPr>
        <w:lastRenderedPageBreak/>
        <w:drawing>
          <wp:inline distT="0" distB="0" distL="0" distR="0" wp14:anchorId="126E0646" wp14:editId="21F35D42">
            <wp:extent cx="5669280" cy="44206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moderation.png"/>
                    <pic:cNvPicPr/>
                  </pic:nvPicPr>
                  <pic:blipFill>
                    <a:blip r:embed="rId13"/>
                    <a:stretch>
                      <a:fillRect/>
                    </a:stretch>
                  </pic:blipFill>
                  <pic:spPr>
                    <a:xfrm>
                      <a:off x="0" y="0"/>
                      <a:ext cx="5669280" cy="4420688"/>
                    </a:xfrm>
                    <a:prstGeom prst="rect">
                      <a:avLst/>
                    </a:prstGeom>
                  </pic:spPr>
                </pic:pic>
              </a:graphicData>
            </a:graphic>
          </wp:inline>
        </w:drawing>
      </w:r>
    </w:p>
    <w:p w14:paraId="0D23B79C" w14:textId="77777777" w:rsidR="008951BC" w:rsidRDefault="008951BC" w:rsidP="008951BC">
      <w:pPr>
        <w:spacing w:after="200" w:line="276" w:lineRule="auto"/>
        <w:jc w:val="center"/>
      </w:pPr>
      <w:r>
        <w:rPr>
          <w:i/>
          <w:noProof/>
          <w:sz w:val="20"/>
        </w:rPr>
        <w:t>Figure 7 — Show moderation — submit, AI scoring, and the Admin decision</w:t>
      </w:r>
    </w:p>
    <w:sectPr w:rsidR="008951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9202F"/>
    <w:multiLevelType w:val="hybridMultilevel"/>
    <w:tmpl w:val="BFD0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EB1D70"/>
    <w:multiLevelType w:val="hybridMultilevel"/>
    <w:tmpl w:val="B46040D2"/>
    <w:lvl w:ilvl="0" w:tplc="F60832EE">
      <w:start w:val="5"/>
      <w:numFmt w:val="bullet"/>
      <w:lvlText w:val="-"/>
      <w:lvlJc w:val="left"/>
      <w:pPr>
        <w:tabs>
          <w:tab w:val="num" w:pos="720"/>
        </w:tabs>
        <w:ind w:left="720" w:hanging="360"/>
      </w:pPr>
      <w:rPr>
        <w:rFonts w:ascii="Arial" w:eastAsia="MS Mincho" w:hAnsi="Arial" w:cs="Aria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5187DBD"/>
    <w:multiLevelType w:val="multilevel"/>
    <w:tmpl w:val="27A8B07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789206B"/>
    <w:multiLevelType w:val="multilevel"/>
    <w:tmpl w:val="AA62F5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95E2193"/>
    <w:multiLevelType w:val="multilevel"/>
    <w:tmpl w:val="9D5C6F2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916626810">
    <w:abstractNumId w:val="0"/>
  </w:num>
  <w:num w:numId="2" w16cid:durableId="1812164693">
    <w:abstractNumId w:val="4"/>
  </w:num>
  <w:num w:numId="3" w16cid:durableId="351028398">
    <w:abstractNumId w:val="2"/>
  </w:num>
  <w:num w:numId="4" w16cid:durableId="354818658">
    <w:abstractNumId w:val="1"/>
  </w:num>
  <w:num w:numId="5" w16cid:durableId="15829140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7E3"/>
    <w:rsid w:val="00007E25"/>
    <w:rsid w:val="000265F3"/>
    <w:rsid w:val="00040A59"/>
    <w:rsid w:val="00050903"/>
    <w:rsid w:val="00057220"/>
    <w:rsid w:val="0007224D"/>
    <w:rsid w:val="000C1EE2"/>
    <w:rsid w:val="000C4CD6"/>
    <w:rsid w:val="000F4F7A"/>
    <w:rsid w:val="00144808"/>
    <w:rsid w:val="001612E8"/>
    <w:rsid w:val="001935E7"/>
    <w:rsid w:val="00195A88"/>
    <w:rsid w:val="001B7200"/>
    <w:rsid w:val="001C309E"/>
    <w:rsid w:val="001C502B"/>
    <w:rsid w:val="001C7A62"/>
    <w:rsid w:val="001D3B68"/>
    <w:rsid w:val="001E2F4C"/>
    <w:rsid w:val="001E7D54"/>
    <w:rsid w:val="00234391"/>
    <w:rsid w:val="00235E11"/>
    <w:rsid w:val="002558C3"/>
    <w:rsid w:val="0026069C"/>
    <w:rsid w:val="002642F2"/>
    <w:rsid w:val="00282B13"/>
    <w:rsid w:val="00295BF7"/>
    <w:rsid w:val="002C60F2"/>
    <w:rsid w:val="002D2679"/>
    <w:rsid w:val="002F6FB9"/>
    <w:rsid w:val="003246A7"/>
    <w:rsid w:val="003507F6"/>
    <w:rsid w:val="00355E8F"/>
    <w:rsid w:val="00356656"/>
    <w:rsid w:val="00362CBB"/>
    <w:rsid w:val="0037513C"/>
    <w:rsid w:val="00380AA3"/>
    <w:rsid w:val="00390D8E"/>
    <w:rsid w:val="003C44F3"/>
    <w:rsid w:val="00407D00"/>
    <w:rsid w:val="004273F2"/>
    <w:rsid w:val="004830D6"/>
    <w:rsid w:val="0049285A"/>
    <w:rsid w:val="00497D11"/>
    <w:rsid w:val="0051049A"/>
    <w:rsid w:val="005156B7"/>
    <w:rsid w:val="00516186"/>
    <w:rsid w:val="005D278A"/>
    <w:rsid w:val="005E098A"/>
    <w:rsid w:val="005E752F"/>
    <w:rsid w:val="00611722"/>
    <w:rsid w:val="006368ED"/>
    <w:rsid w:val="00645120"/>
    <w:rsid w:val="0064654D"/>
    <w:rsid w:val="006709DD"/>
    <w:rsid w:val="006719F9"/>
    <w:rsid w:val="0069134A"/>
    <w:rsid w:val="006B4FFE"/>
    <w:rsid w:val="006C2D12"/>
    <w:rsid w:val="006D7328"/>
    <w:rsid w:val="007012F9"/>
    <w:rsid w:val="00722750"/>
    <w:rsid w:val="00751C7B"/>
    <w:rsid w:val="007667AE"/>
    <w:rsid w:val="00792015"/>
    <w:rsid w:val="00794084"/>
    <w:rsid w:val="007B2022"/>
    <w:rsid w:val="007D14C2"/>
    <w:rsid w:val="008003DE"/>
    <w:rsid w:val="008004D3"/>
    <w:rsid w:val="00842A72"/>
    <w:rsid w:val="00884DC9"/>
    <w:rsid w:val="00887D8F"/>
    <w:rsid w:val="008951BC"/>
    <w:rsid w:val="008A36C3"/>
    <w:rsid w:val="008B4C42"/>
    <w:rsid w:val="008D0CAD"/>
    <w:rsid w:val="008D6B92"/>
    <w:rsid w:val="008E53D3"/>
    <w:rsid w:val="00910D4D"/>
    <w:rsid w:val="00945269"/>
    <w:rsid w:val="009616EA"/>
    <w:rsid w:val="00973EEB"/>
    <w:rsid w:val="009765F2"/>
    <w:rsid w:val="00985566"/>
    <w:rsid w:val="00986EC9"/>
    <w:rsid w:val="009A7D63"/>
    <w:rsid w:val="009C4D2D"/>
    <w:rsid w:val="009C551A"/>
    <w:rsid w:val="009F2AFB"/>
    <w:rsid w:val="00A22B37"/>
    <w:rsid w:val="00B04F78"/>
    <w:rsid w:val="00B1486C"/>
    <w:rsid w:val="00B359D8"/>
    <w:rsid w:val="00B37C39"/>
    <w:rsid w:val="00B5232C"/>
    <w:rsid w:val="00B636DC"/>
    <w:rsid w:val="00B678FE"/>
    <w:rsid w:val="00B7727A"/>
    <w:rsid w:val="00B95365"/>
    <w:rsid w:val="00BC799A"/>
    <w:rsid w:val="00BD6998"/>
    <w:rsid w:val="00BE444E"/>
    <w:rsid w:val="00C0568B"/>
    <w:rsid w:val="00C2268C"/>
    <w:rsid w:val="00C36C5B"/>
    <w:rsid w:val="00C528A3"/>
    <w:rsid w:val="00C650E5"/>
    <w:rsid w:val="00C84BCD"/>
    <w:rsid w:val="00C953C7"/>
    <w:rsid w:val="00CA01C9"/>
    <w:rsid w:val="00CA4458"/>
    <w:rsid w:val="00CB6A4F"/>
    <w:rsid w:val="00CC55BF"/>
    <w:rsid w:val="00CE3CBE"/>
    <w:rsid w:val="00D40A6A"/>
    <w:rsid w:val="00D76901"/>
    <w:rsid w:val="00D82406"/>
    <w:rsid w:val="00DB1581"/>
    <w:rsid w:val="00DB57CD"/>
    <w:rsid w:val="00DF57E3"/>
    <w:rsid w:val="00E04B17"/>
    <w:rsid w:val="00E33FD4"/>
    <w:rsid w:val="00E52D41"/>
    <w:rsid w:val="00E6669C"/>
    <w:rsid w:val="00E85F75"/>
    <w:rsid w:val="00E93DA9"/>
    <w:rsid w:val="00E94BA8"/>
    <w:rsid w:val="00EB0C9F"/>
    <w:rsid w:val="00EB5869"/>
    <w:rsid w:val="00ED2689"/>
    <w:rsid w:val="00EF7E65"/>
    <w:rsid w:val="00F26CD5"/>
    <w:rsid w:val="00FA5A94"/>
    <w:rsid w:val="00FA6E1C"/>
    <w:rsid w:val="00FB5A21"/>
    <w:rsid w:val="00FE396A"/>
    <w:rsid w:val="00FF38C2"/>
    <w:rsid w:val="00FF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C71AB"/>
  <w15:chartTrackingRefBased/>
  <w15:docId w15:val="{F592529A-4B5D-4EAE-B507-1EBCD3FEE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B7727A"/>
    <w:pPr>
      <w:keepNext/>
      <w:keepLines/>
      <w:spacing w:before="240" w:after="0"/>
      <w:outlineLvl w:val="0"/>
    </w:pPr>
    <w:rPr>
      <w:rFonts w:asciiTheme="majorHAnsi" w:eastAsiaTheme="majorEastAsia" w:hAnsiTheme="majorHAnsi" w:cstheme="majorBidi"/>
      <w:b/>
      <w:bCs/>
      <w:color w:val="C00000"/>
      <w:sz w:val="36"/>
      <w:szCs w:val="32"/>
    </w:rPr>
  </w:style>
  <w:style w:type="paragraph" w:styleId="u2">
    <w:name w:val="heading 2"/>
    <w:basedOn w:val="Binhthng"/>
    <w:next w:val="Binhthng"/>
    <w:link w:val="u2Char"/>
    <w:autoRedefine/>
    <w:uiPriority w:val="9"/>
    <w:unhideWhenUsed/>
    <w:qFormat/>
    <w:rsid w:val="00B7727A"/>
    <w:pPr>
      <w:keepNext/>
      <w:keepLines/>
      <w:spacing w:before="40" w:after="0"/>
      <w:outlineLvl w:val="1"/>
    </w:pPr>
    <w:rPr>
      <w:rFonts w:asciiTheme="majorHAnsi" w:eastAsiaTheme="majorEastAsia" w:hAnsiTheme="majorHAnsi" w:cstheme="majorBidi"/>
      <w:b/>
      <w:sz w:val="28"/>
      <w:szCs w:val="26"/>
    </w:rPr>
  </w:style>
  <w:style w:type="paragraph" w:styleId="u3">
    <w:name w:val="heading 3"/>
    <w:basedOn w:val="Binhthng"/>
    <w:next w:val="Binhthng"/>
    <w:link w:val="u3Char"/>
    <w:autoRedefine/>
    <w:uiPriority w:val="9"/>
    <w:unhideWhenUsed/>
    <w:qFormat/>
    <w:rsid w:val="00B7727A"/>
    <w:pPr>
      <w:keepNext/>
      <w:keepLines/>
      <w:spacing w:before="40" w:after="0"/>
      <w:outlineLvl w:val="2"/>
    </w:pPr>
    <w:rPr>
      <w:rFonts w:asciiTheme="majorHAnsi" w:eastAsiaTheme="majorEastAsia" w:hAnsiTheme="majorHAnsi" w:cstheme="majorBidi"/>
      <w:b/>
      <w:sz w:val="26"/>
      <w:szCs w:val="24"/>
    </w:rPr>
  </w:style>
  <w:style w:type="paragraph" w:styleId="u4">
    <w:name w:val="heading 4"/>
    <w:basedOn w:val="Binhthng"/>
    <w:next w:val="Binhthng"/>
    <w:link w:val="u4Char"/>
    <w:autoRedefine/>
    <w:uiPriority w:val="9"/>
    <w:unhideWhenUsed/>
    <w:qFormat/>
    <w:rsid w:val="00B7727A"/>
    <w:pPr>
      <w:keepNext/>
      <w:keepLines/>
      <w:spacing w:before="40" w:after="0"/>
      <w:outlineLvl w:val="3"/>
    </w:pPr>
    <w:rPr>
      <w:rFonts w:asciiTheme="majorHAnsi" w:eastAsiaTheme="majorEastAsia" w:hAnsiTheme="majorHAnsi" w:cstheme="majorBidi"/>
      <w:b/>
      <w:i/>
      <w:iCs/>
    </w:rPr>
  </w:style>
  <w:style w:type="paragraph" w:styleId="u5">
    <w:name w:val="heading 5"/>
    <w:basedOn w:val="Binhthng"/>
    <w:next w:val="Binhthng"/>
    <w:link w:val="u5Char"/>
    <w:autoRedefine/>
    <w:uiPriority w:val="9"/>
    <w:unhideWhenUsed/>
    <w:qFormat/>
    <w:rsid w:val="006368ED"/>
    <w:pPr>
      <w:keepNext/>
      <w:keepLines/>
      <w:spacing w:before="40" w:after="0"/>
      <w:outlineLvl w:val="4"/>
    </w:pPr>
    <w:rPr>
      <w:rFonts w:asciiTheme="majorHAnsi" w:eastAsiaTheme="majorEastAsia" w:hAnsiTheme="majorHAnsi" w:cstheme="majorBidi"/>
      <w:b/>
      <w:color w:val="2E74B5"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7727A"/>
    <w:rPr>
      <w:rFonts w:asciiTheme="majorHAnsi" w:eastAsiaTheme="majorEastAsia" w:hAnsiTheme="majorHAnsi" w:cstheme="majorBidi"/>
      <w:b/>
      <w:bCs/>
      <w:color w:val="C00000"/>
      <w:sz w:val="36"/>
      <w:szCs w:val="32"/>
    </w:rPr>
  </w:style>
  <w:style w:type="character" w:customStyle="1" w:styleId="u2Char">
    <w:name w:val="Đầu đề 2 Char"/>
    <w:basedOn w:val="Phngmcinhcuaoanvn"/>
    <w:link w:val="u2"/>
    <w:uiPriority w:val="9"/>
    <w:rsid w:val="00B7727A"/>
    <w:rPr>
      <w:rFonts w:asciiTheme="majorHAnsi" w:eastAsiaTheme="majorEastAsia" w:hAnsiTheme="majorHAnsi" w:cstheme="majorBidi"/>
      <w:b/>
      <w:sz w:val="28"/>
      <w:szCs w:val="26"/>
    </w:rPr>
  </w:style>
  <w:style w:type="character" w:customStyle="1" w:styleId="u3Char">
    <w:name w:val="Đầu đề 3 Char"/>
    <w:basedOn w:val="Phngmcinhcuaoanvn"/>
    <w:link w:val="u3"/>
    <w:uiPriority w:val="9"/>
    <w:rsid w:val="00B7727A"/>
    <w:rPr>
      <w:rFonts w:asciiTheme="majorHAnsi" w:eastAsiaTheme="majorEastAsia" w:hAnsiTheme="majorHAnsi" w:cstheme="majorBidi"/>
      <w:b/>
      <w:sz w:val="26"/>
      <w:szCs w:val="24"/>
    </w:rPr>
  </w:style>
  <w:style w:type="character" w:customStyle="1" w:styleId="u4Char">
    <w:name w:val="Đầu đề 4 Char"/>
    <w:basedOn w:val="Phngmcinhcuaoanvn"/>
    <w:link w:val="u4"/>
    <w:uiPriority w:val="9"/>
    <w:rsid w:val="00B7727A"/>
    <w:rPr>
      <w:rFonts w:asciiTheme="majorHAnsi" w:eastAsiaTheme="majorEastAsia" w:hAnsiTheme="majorHAnsi" w:cstheme="majorBidi"/>
      <w:b/>
      <w:i/>
      <w:iCs/>
    </w:rPr>
  </w:style>
  <w:style w:type="table" w:styleId="LiBang">
    <w:name w:val="Table Grid"/>
    <w:basedOn w:val="BangThngthng"/>
    <w:uiPriority w:val="39"/>
    <w:rsid w:val="00282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A22B37"/>
    <w:pPr>
      <w:ind w:left="720"/>
      <w:contextualSpacing/>
    </w:pPr>
  </w:style>
  <w:style w:type="character" w:customStyle="1" w:styleId="u5Char">
    <w:name w:val="Đầu đề 5 Char"/>
    <w:basedOn w:val="Phngmcinhcuaoanvn"/>
    <w:link w:val="u5"/>
    <w:uiPriority w:val="9"/>
    <w:rsid w:val="006368ED"/>
    <w:rPr>
      <w:rFonts w:asciiTheme="majorHAnsi" w:eastAsiaTheme="majorEastAsia" w:hAnsiTheme="majorHAnsi" w:cstheme="majorBidi"/>
      <w:b/>
      <w:color w:val="2E74B5" w:themeColor="accent1" w:themeShade="BF"/>
    </w:rPr>
  </w:style>
  <w:style w:type="paragraph" w:customStyle="1" w:styleId="BodyTextArial">
    <w:name w:val="Body Text + Arial"/>
    <w:aliases w:val="9 pt,Italic,Blue,Left  1.63 ch"/>
    <w:basedOn w:val="Binhthng"/>
    <w:rsid w:val="005D278A"/>
    <w:pPr>
      <w:widowControl w:val="0"/>
      <w:spacing w:before="120" w:after="0" w:line="240" w:lineRule="auto"/>
      <w:ind w:leftChars="163" w:left="359" w:firstLine="1"/>
    </w:pPr>
    <w:rPr>
      <w:rFonts w:ascii="Arial" w:eastAsia="MS Mincho" w:hAnsi="Arial" w:cs="Arial"/>
      <w:i/>
      <w:color w:val="0000FF"/>
      <w:sz w:val="18"/>
      <w:szCs w:val="18"/>
    </w:rPr>
  </w:style>
  <w:style w:type="paragraph" w:customStyle="1" w:styleId="TableCaption">
    <w:name w:val="TableCaption"/>
    <w:basedOn w:val="ThutlBinhthng"/>
    <w:rsid w:val="00CC55BF"/>
    <w:pPr>
      <w:widowControl w:val="0"/>
      <w:spacing w:before="120" w:after="0" w:line="240" w:lineRule="auto"/>
      <w:ind w:left="-14" w:right="14"/>
    </w:pPr>
    <w:rPr>
      <w:rFonts w:ascii="Tahoma" w:eastAsia="MS Mincho" w:hAnsi="Tahoma" w:cs="Arial"/>
      <w:b/>
      <w:snapToGrid w:val="0"/>
      <w:sz w:val="20"/>
      <w:szCs w:val="20"/>
    </w:rPr>
  </w:style>
  <w:style w:type="paragraph" w:customStyle="1" w:styleId="comment">
    <w:name w:val="comment"/>
    <w:basedOn w:val="Binhthng"/>
    <w:rsid w:val="00CC55BF"/>
    <w:pPr>
      <w:spacing w:before="120" w:after="0" w:line="360" w:lineRule="auto"/>
      <w:ind w:left="720"/>
    </w:pPr>
    <w:rPr>
      <w:rFonts w:ascii="Tahoma" w:eastAsia="MS Mincho" w:hAnsi="Tahoma" w:cs="Arial"/>
      <w:bCs/>
      <w:i/>
      <w:snapToGrid w:val="0"/>
      <w:color w:val="808080"/>
      <w:sz w:val="20"/>
      <w:szCs w:val="20"/>
      <w:lang w:eastAsia="ja-JP"/>
    </w:rPr>
  </w:style>
  <w:style w:type="paragraph" w:styleId="ThutlBinhthng">
    <w:name w:val="Normal Indent"/>
    <w:basedOn w:val="Binhthng"/>
    <w:uiPriority w:val="99"/>
    <w:semiHidden/>
    <w:unhideWhenUsed/>
    <w:rsid w:val="00CC55BF"/>
    <w:pPr>
      <w:ind w:left="720"/>
    </w:pPr>
  </w:style>
  <w:style w:type="paragraph" w:styleId="uMucluc">
    <w:name w:val="TOC Heading"/>
    <w:basedOn w:val="u1"/>
    <w:next w:val="Binhthng"/>
    <w:uiPriority w:val="39"/>
    <w:unhideWhenUsed/>
    <w:qFormat/>
    <w:rsid w:val="0064654D"/>
    <w:pPr>
      <w:outlineLvl w:val="9"/>
    </w:pPr>
    <w:rPr>
      <w:b w:val="0"/>
      <w:bCs w:val="0"/>
      <w:color w:val="2E74B5" w:themeColor="accent1" w:themeShade="BF"/>
      <w:sz w:val="32"/>
    </w:rPr>
  </w:style>
  <w:style w:type="paragraph" w:styleId="Mucluc1">
    <w:name w:val="toc 1"/>
    <w:basedOn w:val="Binhthng"/>
    <w:next w:val="Binhthng"/>
    <w:autoRedefine/>
    <w:uiPriority w:val="39"/>
    <w:unhideWhenUsed/>
    <w:rsid w:val="0064654D"/>
    <w:pPr>
      <w:spacing w:after="100"/>
    </w:pPr>
  </w:style>
  <w:style w:type="paragraph" w:styleId="Mucluc2">
    <w:name w:val="toc 2"/>
    <w:basedOn w:val="Binhthng"/>
    <w:next w:val="Binhthng"/>
    <w:autoRedefine/>
    <w:uiPriority w:val="39"/>
    <w:unhideWhenUsed/>
    <w:rsid w:val="0064654D"/>
    <w:pPr>
      <w:spacing w:after="100"/>
      <w:ind w:left="220"/>
    </w:pPr>
  </w:style>
  <w:style w:type="paragraph" w:styleId="Mucluc3">
    <w:name w:val="toc 3"/>
    <w:basedOn w:val="Binhthng"/>
    <w:next w:val="Binhthng"/>
    <w:autoRedefine/>
    <w:uiPriority w:val="39"/>
    <w:unhideWhenUsed/>
    <w:rsid w:val="0064654D"/>
    <w:pPr>
      <w:spacing w:after="100"/>
      <w:ind w:left="440"/>
    </w:pPr>
  </w:style>
  <w:style w:type="character" w:styleId="Siuktni">
    <w:name w:val="Hyperlink"/>
    <w:basedOn w:val="Phngmcinhcuaoanvn"/>
    <w:uiPriority w:val="99"/>
    <w:unhideWhenUsed/>
    <w:rsid w:val="0064654D"/>
    <w:rPr>
      <w:color w:val="0563C1" w:themeColor="hyperlink"/>
      <w:u w:val="single"/>
    </w:rPr>
  </w:style>
  <w:style w:type="paragraph" w:customStyle="1" w:styleId="Bang">
    <w:name w:val="Bang"/>
    <w:basedOn w:val="Binhthng"/>
    <w:autoRedefine/>
    <w:rsid w:val="0037513C"/>
    <w:pPr>
      <w:spacing w:before="80" w:after="80" w:line="240" w:lineRule="auto"/>
    </w:pPr>
    <w:rPr>
      <w:rFonts w:ascii="Tahoma" w:eastAsia="Times New Roman" w:hAnsi="Tahoma" w:cs="Tahoma"/>
      <w:sz w:val="18"/>
      <w:szCs w:val="18"/>
    </w:rPr>
  </w:style>
  <w:style w:type="paragraph" w:customStyle="1" w:styleId="HeadingLv1">
    <w:name w:val="Heading Lv1"/>
    <w:basedOn w:val="Binhthng"/>
    <w:autoRedefine/>
    <w:rsid w:val="0037513C"/>
    <w:pPr>
      <w:widowControl w:val="0"/>
      <w:spacing w:before="120" w:after="60" w:line="240" w:lineRule="auto"/>
      <w:jc w:val="center"/>
    </w:pPr>
    <w:rPr>
      <w:rFonts w:ascii="Tahoma" w:eastAsia="Times New Roman" w:hAnsi="Tahoma" w:cs="Tahoma"/>
      <w:b/>
      <w:snapToGrid w:val="0"/>
      <w:color w:val="6E25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3066595">
      <w:bodyDiv w:val="1"/>
      <w:marLeft w:val="0"/>
      <w:marRight w:val="0"/>
      <w:marTop w:val="0"/>
      <w:marBottom w:val="0"/>
      <w:divBdr>
        <w:top w:val="none" w:sz="0" w:space="0" w:color="auto"/>
        <w:left w:val="none" w:sz="0" w:space="0" w:color="auto"/>
        <w:bottom w:val="none" w:sz="0" w:space="0" w:color="auto"/>
        <w:right w:val="none" w:sz="0" w:space="0" w:color="auto"/>
      </w:divBdr>
    </w:div>
    <w:div w:id="1703435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B0B4C-D744-4C0B-91C5-2D77EB450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975</TotalTime>
  <Pages>14</Pages>
  <Words>1869</Words>
  <Characters>10654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HẢI HÀ</cp:lastModifiedBy>
  <cp:revision>82</cp:revision>
  <dcterms:created xsi:type="dcterms:W3CDTF">2020-06-17T07:32:00Z</dcterms:created>
  <dcterms:modified xsi:type="dcterms:W3CDTF">2026-08-16T00:10:00Z</dcterms:modified>
</cp:coreProperties>
</file>