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18" w:rsidRPr="00A80118" w:rsidRDefault="00A80118" w:rsidP="00A80118">
      <w:pPr>
        <w:pStyle w:val="PlainText"/>
        <w:jc w:val="both"/>
        <w:rPr>
          <w:rFonts w:ascii="Courier New" w:hAnsi="Courier New" w:cs="Courier New"/>
          <w:b/>
          <w:sz w:val="24"/>
          <w:szCs w:val="24"/>
        </w:rPr>
      </w:pPr>
      <w:r w:rsidRPr="00A80118">
        <w:rPr>
          <w:rFonts w:ascii="Courier New" w:hAnsi="Courier New" w:cs="Courier New"/>
          <w:b/>
          <w:sz w:val="24"/>
          <w:szCs w:val="24"/>
        </w:rPr>
        <w:t>Course: Advanced Bioinformatics</w:t>
      </w:r>
    </w:p>
    <w:p w:rsidR="00A80118" w:rsidRPr="00A80118" w:rsidRDefault="00A80118" w:rsidP="00A80118">
      <w:pPr>
        <w:pStyle w:val="PlainText"/>
        <w:jc w:val="both"/>
        <w:rPr>
          <w:rFonts w:ascii="Courier New" w:hAnsi="Courier New" w:cs="Courier New"/>
          <w:b/>
          <w:sz w:val="24"/>
          <w:szCs w:val="24"/>
        </w:rPr>
      </w:pPr>
      <w:r w:rsidRPr="00A80118">
        <w:rPr>
          <w:rFonts w:ascii="Courier New" w:hAnsi="Courier New" w:cs="Courier New"/>
          <w:b/>
          <w:sz w:val="24"/>
          <w:szCs w:val="24"/>
        </w:rPr>
        <w:t>Module title: MSA other Methods</w:t>
      </w:r>
    </w:p>
    <w:p w:rsidR="00A80118" w:rsidRPr="00A80118" w:rsidRDefault="00A80118" w:rsidP="00A80118">
      <w:pPr>
        <w:pStyle w:val="PlainText"/>
        <w:jc w:val="both"/>
        <w:rPr>
          <w:rFonts w:ascii="Courier New" w:hAnsi="Courier New" w:cs="Courier New"/>
          <w:b/>
          <w:sz w:val="24"/>
          <w:szCs w:val="24"/>
        </w:rPr>
      </w:pPr>
      <w:r w:rsidRPr="00A80118">
        <w:rPr>
          <w:rFonts w:ascii="Courier New" w:hAnsi="Courier New" w:cs="Courier New"/>
          <w:b/>
          <w:sz w:val="24"/>
          <w:szCs w:val="24"/>
        </w:rPr>
        <w:t>Module no. :</w:t>
      </w:r>
      <w:r w:rsidR="005F644B">
        <w:rPr>
          <w:rFonts w:ascii="Courier New" w:hAnsi="Courier New" w:cs="Courier New"/>
          <w:b/>
          <w:sz w:val="24"/>
          <w:szCs w:val="24"/>
        </w:rPr>
        <w:t xml:space="preserve"> 40</w:t>
      </w:r>
    </w:p>
    <w:p w:rsidR="00A80118" w:rsidRPr="00A80118" w:rsidRDefault="00A80118" w:rsidP="00A80118">
      <w:pPr>
        <w:pStyle w:val="Heading3"/>
        <w:jc w:val="both"/>
        <w:rPr>
          <w:rFonts w:ascii="Courier New" w:hAnsi="Courier New" w:cs="Courier New"/>
          <w:sz w:val="21"/>
          <w:szCs w:val="21"/>
        </w:rPr>
      </w:pPr>
    </w:p>
    <w:p w:rsidR="00192BC7" w:rsidRPr="00A80118" w:rsidRDefault="00A80118" w:rsidP="00A80118">
      <w:pPr>
        <w:pStyle w:val="Heading3"/>
        <w:jc w:val="both"/>
        <w:rPr>
          <w:rFonts w:ascii="Courier New" w:hAnsi="Courier New" w:cs="Courier New"/>
          <w:b w:val="0"/>
          <w:sz w:val="21"/>
          <w:szCs w:val="21"/>
        </w:rPr>
      </w:pPr>
      <w:r w:rsidRPr="00A80118">
        <w:rPr>
          <w:rFonts w:ascii="Courier New" w:hAnsi="Courier New" w:cs="Courier New"/>
          <w:b w:val="0"/>
          <w:sz w:val="21"/>
          <w:szCs w:val="21"/>
        </w:rPr>
        <w:t xml:space="preserve">In this module, discussion involves the </w:t>
      </w:r>
      <w:r w:rsidR="00931944" w:rsidRPr="00A80118">
        <w:rPr>
          <w:rFonts w:ascii="Courier New" w:hAnsi="Courier New" w:cs="Courier New"/>
          <w:b w:val="0"/>
          <w:sz w:val="21"/>
          <w:szCs w:val="21"/>
        </w:rPr>
        <w:t>other</w:t>
      </w:r>
      <w:r w:rsidR="00192BC7" w:rsidRPr="00A80118">
        <w:rPr>
          <w:rFonts w:ascii="Courier New" w:hAnsi="Courier New" w:cs="Courier New"/>
          <w:b w:val="0"/>
          <w:sz w:val="21"/>
          <w:szCs w:val="21"/>
        </w:rPr>
        <w:t xml:space="preserve"> methods for multiple sequence alignment</w:t>
      </w:r>
    </w:p>
    <w:p w:rsidR="00192BC7" w:rsidRPr="00A80118" w:rsidRDefault="00192BC7" w:rsidP="00A80118">
      <w:pPr>
        <w:jc w:val="both"/>
        <w:rPr>
          <w:rFonts w:ascii="Courier New" w:hAnsi="Courier New" w:cs="Courier New"/>
          <w:sz w:val="21"/>
          <w:szCs w:val="21"/>
        </w:rPr>
      </w:pPr>
    </w:p>
    <w:p w:rsidR="00192BC7" w:rsidRPr="00A80118" w:rsidRDefault="00192BC7" w:rsidP="00A80118">
      <w:pPr>
        <w:pStyle w:val="Heading4"/>
        <w:jc w:val="both"/>
        <w:rPr>
          <w:rFonts w:ascii="Courier New" w:hAnsi="Courier New" w:cs="Courier New"/>
          <w:sz w:val="21"/>
          <w:szCs w:val="21"/>
        </w:rPr>
      </w:pPr>
      <w:r w:rsidRPr="00A80118">
        <w:rPr>
          <w:rFonts w:ascii="Courier New" w:hAnsi="Courier New" w:cs="Courier New"/>
          <w:sz w:val="21"/>
          <w:szCs w:val="21"/>
        </w:rPr>
        <w:t>Group approach</w:t>
      </w:r>
    </w:p>
    <w:p w:rsidR="00192BC7" w:rsidRPr="00A80118" w:rsidRDefault="00192BC7" w:rsidP="00A80118">
      <w:pPr>
        <w:jc w:val="both"/>
        <w:rPr>
          <w:rFonts w:ascii="Courier New" w:hAnsi="Courier New" w:cs="Courier New"/>
          <w:sz w:val="21"/>
          <w:szCs w:val="21"/>
        </w:rPr>
      </w:pPr>
    </w:p>
    <w:p w:rsidR="00A80118" w:rsidRDefault="00192BC7" w:rsidP="00A80118">
      <w:pPr>
        <w:jc w:val="both"/>
        <w:rPr>
          <w:rFonts w:ascii="Courier New" w:hAnsi="Courier New" w:cs="Courier New"/>
          <w:sz w:val="21"/>
          <w:szCs w:val="21"/>
        </w:rPr>
      </w:pPr>
      <w:r w:rsidRPr="00A80118">
        <w:rPr>
          <w:rFonts w:ascii="Courier New" w:hAnsi="Courier New" w:cs="Courier New"/>
          <w:sz w:val="21"/>
          <w:szCs w:val="21"/>
        </w:rPr>
        <w:t>In the group approach, sequences are clustered into related groups.  A consensus sequence is produced to make alignments between the groups.  Examples of programs implementing the group approach are PIMA and MULTAL.</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 xml:space="preserve"> </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PIMA</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MULTAL</w:t>
      </w:r>
    </w:p>
    <w:p w:rsidR="00192BC7" w:rsidRPr="00A80118" w:rsidRDefault="00192BC7" w:rsidP="00A80118">
      <w:pPr>
        <w:jc w:val="both"/>
        <w:rPr>
          <w:rFonts w:ascii="Courier New" w:hAnsi="Courier New" w:cs="Courier New"/>
          <w:sz w:val="21"/>
          <w:szCs w:val="21"/>
        </w:rPr>
      </w:pPr>
    </w:p>
    <w:p w:rsidR="00192BC7" w:rsidRPr="00A80118" w:rsidRDefault="00192BC7" w:rsidP="00A80118">
      <w:pPr>
        <w:pStyle w:val="Heading4"/>
        <w:jc w:val="both"/>
        <w:rPr>
          <w:rFonts w:ascii="Courier New" w:hAnsi="Courier New" w:cs="Courier New"/>
          <w:sz w:val="21"/>
          <w:szCs w:val="21"/>
        </w:rPr>
      </w:pPr>
      <w:r w:rsidRPr="00A80118">
        <w:rPr>
          <w:rFonts w:ascii="Courier New" w:hAnsi="Courier New" w:cs="Courier New"/>
          <w:sz w:val="21"/>
          <w:szCs w:val="21"/>
        </w:rPr>
        <w:t>Tree approach</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The tree method uses the distance method of phylogenetic analysis to arrange the sequences.  The two closest sequences are then aligned, and the consensus of these two is aligned with the next best sequence (or group of sequences) until an alignment is produced that includes all of the sequences.  This approach is a popular approach used by PILEUP, CLUSTALW and ALIGN.</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TREEALIGN is a program that uses the tree approach, but rearranges the tree as sequences are aligned to produce the tree by maximum parsimony of the tree.</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pStyle w:val="Heading3"/>
        <w:jc w:val="both"/>
        <w:rPr>
          <w:rFonts w:ascii="Courier New" w:hAnsi="Courier New" w:cs="Courier New"/>
          <w:sz w:val="21"/>
          <w:szCs w:val="21"/>
        </w:rPr>
      </w:pPr>
      <w:r w:rsidRPr="00A80118">
        <w:rPr>
          <w:rFonts w:ascii="Courier New" w:hAnsi="Courier New" w:cs="Courier New"/>
          <w:sz w:val="21"/>
          <w:szCs w:val="21"/>
        </w:rPr>
        <w:t>Localized Alignments in sequences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Just like with pairwise alignments, we may not be interested in the global alignment of multiple sequences, but rather only specific regions that are conserved.   For instance, given regions of genomic DNA occurring upstream or before a certain gene, there might be sequences where transcription factors bind to the DNA so that the gene can be transcribed.  Thus, if we are interested in determining if there is any signal in the regions upstream of a certain family of genes across several different organisms, it would be important to only find the conserved region, and not try to align all of the genomic DNA.</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 xml:space="preserve">Localized alignments of protein sequences can yield information about conserved domains found in otherwise unrelated proteins.  </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Programs to detect localized alignments typically use one of the following three approaches:  Profile Analysis; block analysis; pattern-searching or statistical methods</w:t>
      </w:r>
    </w:p>
    <w:p w:rsidR="00192BC7" w:rsidRPr="00A80118" w:rsidRDefault="00192BC7" w:rsidP="00A80118">
      <w:pPr>
        <w:jc w:val="both"/>
        <w:rPr>
          <w:rFonts w:ascii="Courier New" w:hAnsi="Courier New" w:cs="Courier New"/>
          <w:sz w:val="21"/>
          <w:szCs w:val="21"/>
        </w:rPr>
      </w:pPr>
    </w:p>
    <w:p w:rsidR="00192BC7" w:rsidRPr="00A80118" w:rsidRDefault="00192BC7" w:rsidP="00A80118">
      <w:pPr>
        <w:pStyle w:val="Heading3"/>
        <w:jc w:val="both"/>
        <w:rPr>
          <w:rFonts w:ascii="Courier New" w:hAnsi="Courier New" w:cs="Courier New"/>
          <w:sz w:val="21"/>
          <w:szCs w:val="21"/>
        </w:rPr>
      </w:pPr>
      <w:r w:rsidRPr="00A80118">
        <w:rPr>
          <w:rFonts w:ascii="Courier New" w:hAnsi="Courier New" w:cs="Courier New"/>
          <w:sz w:val="21"/>
          <w:szCs w:val="21"/>
        </w:rPr>
        <w:t>Profile analysis</w:t>
      </w:r>
    </w:p>
    <w:p w:rsidR="00192BC7" w:rsidRPr="00A80118" w:rsidRDefault="00192BC7" w:rsidP="00A80118">
      <w:pPr>
        <w:jc w:val="both"/>
        <w:rPr>
          <w:rFonts w:ascii="Courier New" w:hAnsi="Courier New" w:cs="Courier New"/>
          <w:sz w:val="21"/>
          <w:szCs w:val="21"/>
        </w:rPr>
      </w:pPr>
      <w:bookmarkStart w:id="0" w:name="_GoBack"/>
      <w:bookmarkEnd w:id="0"/>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lastRenderedPageBreak/>
        <w:t>Profiles are found by first multiply aligning the sequences, determining which regions are the most highly conserved, and then creating a scoring matrix for the alignment of the highly conserved region.  The profile is composed of columns, and may include matches, mismatches, insertions, and deletions found in a particular column.</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Once a profile is created, it can be used to search a target sequence or database for possible matches to the profile using the profiles scores to evaluate the likelihood at each position.</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The drawback of profiles is that the profile is only as representative as the variation in the sequences used to construct it.  Thus, there is a bias in the profile towards the training data.</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For each position in a profile, there is a column for each amino acid, plus a column for an unknown amino acid (z), and a column for gap opening and gap extension.  There is a row for each position in the multiple alignment.</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Block Analysis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Expectation-Maximization</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Gibbs Sampling</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Hidden Markov Models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Position Specific Scoring Matrix</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Sequence Logos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Profile:  Scores for substitutions and gaps in each column</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 xml:space="preserve">Blocks: </w:t>
      </w:r>
      <w:proofErr w:type="spellStart"/>
      <w:r w:rsidRPr="00A80118">
        <w:rPr>
          <w:rFonts w:ascii="Courier New" w:hAnsi="Courier New" w:cs="Courier New"/>
          <w:sz w:val="21"/>
          <w:szCs w:val="21"/>
        </w:rPr>
        <w:t>ungapped</w:t>
      </w:r>
      <w:proofErr w:type="spellEnd"/>
      <w:r w:rsidRPr="00A80118">
        <w:rPr>
          <w:rFonts w:ascii="Courier New" w:hAnsi="Courier New" w:cs="Courier New"/>
          <w:sz w:val="21"/>
          <w:szCs w:val="21"/>
        </w:rPr>
        <w:t xml:space="preserve"> aligned regions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Alignments based on locally conserved patterns found in the same order in the sequences (</w:t>
      </w:r>
      <w:proofErr w:type="spellStart"/>
      <w:r w:rsidRPr="00A80118">
        <w:rPr>
          <w:rFonts w:ascii="Courier New" w:hAnsi="Courier New" w:cs="Courier New"/>
          <w:sz w:val="21"/>
          <w:szCs w:val="21"/>
        </w:rPr>
        <w:t>synteny</w:t>
      </w:r>
      <w:proofErr w:type="spellEnd"/>
      <w:r w:rsidRPr="00A80118">
        <w:rPr>
          <w:rFonts w:ascii="Courier New" w:hAnsi="Courier New" w:cs="Courier New"/>
          <w:sz w:val="21"/>
          <w:szCs w:val="21"/>
        </w:rPr>
        <w:t>)</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Use of statistical methods and probabilistic models of the sequences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Multiple sequence alignments yield information into the evolutionary history of the sequences – sequences that are most similar are likely to be recently derived from a common ancestor sequence</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If the sequences in a multiple alignment have quite a bit of variation then it is difficult to create a multiple sequence alignment due to the different combinations of substitutions, insertions, and deletions that can be used</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Default="00192BC7" w:rsidP="00A80118">
      <w:pPr>
        <w:jc w:val="both"/>
        <w:rPr>
          <w:rFonts w:ascii="Courier New" w:hAnsi="Courier New" w:cs="Courier New"/>
          <w:sz w:val="21"/>
          <w:szCs w:val="21"/>
        </w:rPr>
      </w:pPr>
      <w:r w:rsidRPr="00A80118">
        <w:rPr>
          <w:rFonts w:ascii="Courier New" w:hAnsi="Courier New" w:cs="Courier New"/>
          <w:sz w:val="21"/>
          <w:szCs w:val="21"/>
        </w:rPr>
        <w:t>Local Alignment of proteins</w:t>
      </w:r>
    </w:p>
    <w:p w:rsidR="00A80118" w:rsidRPr="00A80118" w:rsidRDefault="00A80118"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ECSQ</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SNSG</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SWKN</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SCSN</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Profiles and Position-Specific scoring matrices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Motif-Based Approaches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Gibbs Sampling Algorithm</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Describe this – hand out papers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MEME</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Meta-MEME</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Hidden Markov Models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Scoring Multiple Alignments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Programs for multiple sequence alignment</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Progressive Alignment programs:</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CLUSTALW, CLUSTALX</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MSA</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PRALINE</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Iterative Alignment Programs:</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DIALIGN</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MULTALIGN</w:t>
      </w:r>
    </w:p>
    <w:p w:rsidR="00192BC7" w:rsidRPr="00A80118" w:rsidRDefault="00192BC7" w:rsidP="00A80118">
      <w:pPr>
        <w:pStyle w:val="Heading2"/>
        <w:jc w:val="both"/>
        <w:rPr>
          <w:rFonts w:ascii="Courier New" w:hAnsi="Courier New" w:cs="Courier New"/>
          <w:sz w:val="21"/>
          <w:szCs w:val="21"/>
        </w:rPr>
      </w:pPr>
      <w:r w:rsidRPr="00A80118">
        <w:rPr>
          <w:rFonts w:ascii="Courier New" w:hAnsi="Courier New" w:cs="Courier New"/>
          <w:sz w:val="21"/>
          <w:szCs w:val="21"/>
        </w:rPr>
        <w:t>PRRP</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SAGA</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Local Alignment of proteins</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Asset</w:t>
      </w:r>
    </w:p>
    <w:p w:rsidR="00192BC7" w:rsidRPr="00A80118" w:rsidRDefault="00192BC7" w:rsidP="00A80118">
      <w:pPr>
        <w:jc w:val="both"/>
        <w:rPr>
          <w:rFonts w:ascii="Courier New" w:hAnsi="Courier New" w:cs="Courier New"/>
          <w:sz w:val="21"/>
          <w:szCs w:val="21"/>
        </w:rPr>
      </w:pPr>
      <w:proofErr w:type="spellStart"/>
      <w:r w:rsidRPr="00A80118">
        <w:rPr>
          <w:rFonts w:ascii="Courier New" w:hAnsi="Courier New" w:cs="Courier New"/>
          <w:sz w:val="21"/>
          <w:szCs w:val="21"/>
        </w:rPr>
        <w:t>BLOCkS</w:t>
      </w:r>
      <w:proofErr w:type="spellEnd"/>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EMOTIF</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Gibbs Sampler</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HMMER</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MACAW</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MEME</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SAM</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MSA</w:t>
      </w:r>
    </w:p>
    <w:p w:rsidR="00192BC7" w:rsidRPr="00A80118" w:rsidRDefault="00192BC7" w:rsidP="00A80118">
      <w:pPr>
        <w:jc w:val="both"/>
        <w:rPr>
          <w:rFonts w:ascii="Courier New" w:hAnsi="Courier New" w:cs="Courier New"/>
          <w:sz w:val="21"/>
          <w:szCs w:val="21"/>
        </w:rPr>
      </w:pPr>
      <w:proofErr w:type="spellStart"/>
      <w:r w:rsidRPr="00A80118">
        <w:rPr>
          <w:rFonts w:ascii="Courier New" w:hAnsi="Courier New" w:cs="Courier New"/>
          <w:sz w:val="21"/>
          <w:szCs w:val="21"/>
        </w:rPr>
        <w:t>ClustalX</w:t>
      </w:r>
      <w:proofErr w:type="spellEnd"/>
    </w:p>
    <w:p w:rsidR="00192BC7" w:rsidRPr="00A80118" w:rsidRDefault="00192BC7" w:rsidP="00A80118">
      <w:pPr>
        <w:jc w:val="both"/>
        <w:rPr>
          <w:rFonts w:ascii="Courier New" w:hAnsi="Courier New" w:cs="Courier New"/>
          <w:sz w:val="21"/>
          <w:szCs w:val="21"/>
        </w:rPr>
      </w:pPr>
      <w:proofErr w:type="spellStart"/>
      <w:r w:rsidRPr="00A80118">
        <w:rPr>
          <w:rFonts w:ascii="Courier New" w:hAnsi="Courier New" w:cs="Courier New"/>
          <w:sz w:val="21"/>
          <w:szCs w:val="21"/>
        </w:rPr>
        <w:t>ClustalW</w:t>
      </w:r>
      <w:proofErr w:type="spellEnd"/>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Viewing Multiple Alignments</w:t>
      </w:r>
    </w:p>
    <w:p w:rsidR="00192BC7" w:rsidRPr="00A80118" w:rsidRDefault="00192BC7" w:rsidP="00A80118">
      <w:pPr>
        <w:jc w:val="both"/>
        <w:rPr>
          <w:rFonts w:ascii="Courier New" w:hAnsi="Courier New" w:cs="Courier New"/>
          <w:sz w:val="21"/>
          <w:szCs w:val="21"/>
        </w:rPr>
      </w:pPr>
      <w:proofErr w:type="gramStart"/>
      <w:r w:rsidRPr="00A80118">
        <w:rPr>
          <w:rFonts w:ascii="Courier New" w:hAnsi="Courier New" w:cs="Courier New"/>
          <w:sz w:val="21"/>
          <w:szCs w:val="21"/>
        </w:rPr>
        <w:t>sequence</w:t>
      </w:r>
      <w:proofErr w:type="gramEnd"/>
      <w:r w:rsidRPr="00A80118">
        <w:rPr>
          <w:rFonts w:ascii="Courier New" w:hAnsi="Courier New" w:cs="Courier New"/>
          <w:sz w:val="21"/>
          <w:szCs w:val="21"/>
        </w:rPr>
        <w:t xml:space="preserve"> logos</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Once an alignment is made, they can be compared using Hidden Markov Models</w:t>
      </w: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IBM’s MUSCA</w:t>
      </w:r>
    </w:p>
    <w:p w:rsidR="00192BC7" w:rsidRPr="00A80118" w:rsidRDefault="009F0D4A" w:rsidP="00A80118">
      <w:pPr>
        <w:jc w:val="both"/>
        <w:rPr>
          <w:rFonts w:ascii="Courier New" w:hAnsi="Courier New" w:cs="Courier New"/>
          <w:sz w:val="21"/>
          <w:szCs w:val="21"/>
        </w:rPr>
      </w:pPr>
      <w:hyperlink r:id="rId7" w:history="1">
        <w:r w:rsidR="00192BC7" w:rsidRPr="00A80118">
          <w:rPr>
            <w:rStyle w:val="Hyperlink"/>
            <w:rFonts w:ascii="Courier New" w:hAnsi="Courier New" w:cs="Courier New"/>
            <w:sz w:val="21"/>
            <w:szCs w:val="21"/>
          </w:rPr>
          <w:t>http://cbcsrv.watson.ibm.com/Tmsa.html</w:t>
        </w:r>
      </w:hyperlink>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roofErr w:type="spellStart"/>
      <w:r w:rsidRPr="00A80118">
        <w:rPr>
          <w:rFonts w:ascii="Courier New" w:hAnsi="Courier New" w:cs="Courier New"/>
          <w:sz w:val="21"/>
          <w:szCs w:val="21"/>
        </w:rPr>
        <w:t>ClustalW</w:t>
      </w:r>
      <w:proofErr w:type="spellEnd"/>
    </w:p>
    <w:p w:rsidR="00192BC7" w:rsidRPr="00A80118" w:rsidRDefault="009F0D4A" w:rsidP="00A80118">
      <w:pPr>
        <w:jc w:val="both"/>
        <w:rPr>
          <w:rFonts w:ascii="Courier New" w:hAnsi="Courier New" w:cs="Courier New"/>
          <w:sz w:val="21"/>
          <w:szCs w:val="21"/>
        </w:rPr>
      </w:pPr>
      <w:hyperlink r:id="rId8" w:history="1">
        <w:r w:rsidR="00192BC7" w:rsidRPr="00A80118">
          <w:rPr>
            <w:rStyle w:val="Hyperlink"/>
            <w:rFonts w:ascii="Courier New" w:hAnsi="Courier New" w:cs="Courier New"/>
            <w:sz w:val="21"/>
            <w:szCs w:val="21"/>
          </w:rPr>
          <w:t>http://www.ebi.ac.uk/clustalw/</w:t>
        </w:r>
      </w:hyperlink>
    </w:p>
    <w:p w:rsidR="00192BC7" w:rsidRPr="00A80118" w:rsidRDefault="009F0D4A" w:rsidP="00A80118">
      <w:pPr>
        <w:jc w:val="both"/>
        <w:rPr>
          <w:rFonts w:ascii="Courier New" w:hAnsi="Courier New" w:cs="Courier New"/>
          <w:sz w:val="21"/>
          <w:szCs w:val="21"/>
        </w:rPr>
      </w:pPr>
      <w:hyperlink r:id="rId9" w:history="1">
        <w:r w:rsidR="00192BC7" w:rsidRPr="00A80118">
          <w:rPr>
            <w:rStyle w:val="Hyperlink"/>
            <w:rFonts w:ascii="Courier New" w:hAnsi="Courier New" w:cs="Courier New"/>
            <w:sz w:val="21"/>
            <w:szCs w:val="21"/>
          </w:rPr>
          <w:t>http://clustalw.genome.ad.jp/</w:t>
        </w:r>
      </w:hyperlink>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DIALIGN</w:t>
      </w:r>
    </w:p>
    <w:p w:rsidR="00192BC7" w:rsidRPr="00A80118" w:rsidRDefault="009F0D4A" w:rsidP="00A80118">
      <w:pPr>
        <w:jc w:val="both"/>
        <w:rPr>
          <w:rFonts w:ascii="Courier New" w:hAnsi="Courier New" w:cs="Courier New"/>
          <w:sz w:val="21"/>
          <w:szCs w:val="21"/>
        </w:rPr>
      </w:pPr>
      <w:hyperlink r:id="rId10" w:history="1">
        <w:r w:rsidR="00192BC7" w:rsidRPr="00A80118">
          <w:rPr>
            <w:rStyle w:val="Hyperlink"/>
            <w:rFonts w:ascii="Courier New" w:hAnsi="Courier New" w:cs="Courier New"/>
            <w:sz w:val="21"/>
            <w:szCs w:val="21"/>
          </w:rPr>
          <w:t>http://bibiserv.techfak.uni-bielefeld.de/cgi-bin/dialign_submit</w:t>
        </w:r>
      </w:hyperlink>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Web Logo</w:t>
      </w:r>
    </w:p>
    <w:p w:rsidR="00192BC7" w:rsidRPr="00A80118" w:rsidRDefault="009F0D4A" w:rsidP="00A80118">
      <w:pPr>
        <w:jc w:val="both"/>
        <w:rPr>
          <w:rFonts w:ascii="Courier New" w:hAnsi="Courier New" w:cs="Courier New"/>
          <w:sz w:val="21"/>
          <w:szCs w:val="21"/>
        </w:rPr>
      </w:pPr>
      <w:hyperlink r:id="rId11" w:history="1">
        <w:r w:rsidR="00192BC7" w:rsidRPr="00A80118">
          <w:rPr>
            <w:rStyle w:val="Hyperlink"/>
            <w:rFonts w:ascii="Courier New" w:hAnsi="Courier New" w:cs="Courier New"/>
            <w:sz w:val="21"/>
            <w:szCs w:val="21"/>
          </w:rPr>
          <w:t>http://www.bio.cam.ac.uk/cgi-bin/seqlogo/logo.cgi</w:t>
        </w:r>
      </w:hyperlink>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DNA Sequence Data sets</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Fasta File Format</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GenBank File Format</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ASN.1 File Format</w:t>
      </w:r>
    </w:p>
    <w:p w:rsidR="00192BC7" w:rsidRPr="00A80118" w:rsidRDefault="00192BC7" w:rsidP="00A80118">
      <w:pPr>
        <w:jc w:val="both"/>
        <w:rPr>
          <w:rFonts w:ascii="Courier New" w:hAnsi="Courier New" w:cs="Courier New"/>
          <w:sz w:val="21"/>
          <w:szCs w:val="21"/>
        </w:rPr>
      </w:pPr>
      <w:r w:rsidRPr="00A80118">
        <w:rPr>
          <w:rFonts w:ascii="Courier New" w:hAnsi="Courier New" w:cs="Courier New"/>
          <w:sz w:val="21"/>
          <w:szCs w:val="21"/>
        </w:rPr>
        <w:t>XML File Format</w:t>
      </w:r>
    </w:p>
    <w:p w:rsidR="00192BC7" w:rsidRPr="00A80118" w:rsidRDefault="00192BC7" w:rsidP="00A80118">
      <w:pPr>
        <w:jc w:val="both"/>
        <w:rPr>
          <w:rFonts w:ascii="Courier New" w:hAnsi="Courier New" w:cs="Courier New"/>
          <w:sz w:val="21"/>
          <w:szCs w:val="21"/>
        </w:rPr>
      </w:pPr>
    </w:p>
    <w:p w:rsidR="00397B5A" w:rsidRPr="00A80118" w:rsidRDefault="00397B5A" w:rsidP="00A80118">
      <w:pPr>
        <w:jc w:val="both"/>
        <w:rPr>
          <w:rFonts w:ascii="Courier New" w:hAnsi="Courier New" w:cs="Courier New"/>
          <w:sz w:val="21"/>
          <w:szCs w:val="21"/>
        </w:rPr>
      </w:pPr>
    </w:p>
    <w:sectPr w:rsidR="00397B5A" w:rsidRPr="00A80118">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D4A" w:rsidRDefault="009F0D4A">
      <w:r>
        <w:separator/>
      </w:r>
    </w:p>
  </w:endnote>
  <w:endnote w:type="continuationSeparator" w:id="0">
    <w:p w:rsidR="009F0D4A" w:rsidRDefault="009F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8E" w:rsidRDefault="008C3E8E">
    <w:pPr>
      <w:pStyle w:val="Footer"/>
      <w:rPr>
        <w:rFonts w:ascii="Arial" w:hAnsi="Arial" w:cs="Arial"/>
      </w:rPr>
    </w:pPr>
  </w:p>
  <w:p w:rsidR="008C3E8E" w:rsidRDefault="008C3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D4A" w:rsidRDefault="009F0D4A">
      <w:r>
        <w:separator/>
      </w:r>
    </w:p>
  </w:footnote>
  <w:footnote w:type="continuationSeparator" w:id="0">
    <w:p w:rsidR="009F0D4A" w:rsidRDefault="009F0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6B7F"/>
    <w:rsid w:val="00022467"/>
    <w:rsid w:val="00050AFD"/>
    <w:rsid w:val="00172E65"/>
    <w:rsid w:val="00176B4E"/>
    <w:rsid w:val="00192BC7"/>
    <w:rsid w:val="00196B7F"/>
    <w:rsid w:val="00397B5A"/>
    <w:rsid w:val="005155B1"/>
    <w:rsid w:val="005F644B"/>
    <w:rsid w:val="008C3E8E"/>
    <w:rsid w:val="00931944"/>
    <w:rsid w:val="009F0D4A"/>
    <w:rsid w:val="00A80118"/>
    <w:rsid w:val="00B41083"/>
    <w:rsid w:val="00D62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BC7"/>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2BC7"/>
    <w:pPr>
      <w:keepNext/>
      <w:outlineLvl w:val="1"/>
    </w:pPr>
    <w:rPr>
      <w:sz w:val="24"/>
    </w:rPr>
  </w:style>
  <w:style w:type="paragraph" w:styleId="Heading3">
    <w:name w:val="heading 3"/>
    <w:basedOn w:val="Normal"/>
    <w:next w:val="Normal"/>
    <w:link w:val="Heading3Char"/>
    <w:qFormat/>
    <w:rsid w:val="00192BC7"/>
    <w:pPr>
      <w:keepNext/>
      <w:outlineLvl w:val="2"/>
    </w:pPr>
    <w:rPr>
      <w:rFonts w:ascii="Arial" w:hAnsi="Arial" w:cs="Arial"/>
      <w:b/>
      <w:bCs/>
      <w:sz w:val="24"/>
    </w:rPr>
  </w:style>
  <w:style w:type="paragraph" w:styleId="Heading4">
    <w:name w:val="heading 4"/>
    <w:basedOn w:val="Normal"/>
    <w:next w:val="Normal"/>
    <w:link w:val="Heading4Char"/>
    <w:qFormat/>
    <w:rsid w:val="00192BC7"/>
    <w:pPr>
      <w:keepNext/>
      <w:outlineLvl w:val="3"/>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108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41083"/>
    <w:rPr>
      <w:rFonts w:ascii="Consolas" w:hAnsi="Consolas"/>
      <w:sz w:val="21"/>
      <w:szCs w:val="21"/>
    </w:rPr>
  </w:style>
  <w:style w:type="character" w:customStyle="1" w:styleId="Heading2Char">
    <w:name w:val="Heading 2 Char"/>
    <w:basedOn w:val="DefaultParagraphFont"/>
    <w:link w:val="Heading2"/>
    <w:rsid w:val="00192BC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192BC7"/>
    <w:rPr>
      <w:rFonts w:ascii="Arial" w:eastAsia="Times New Roman" w:hAnsi="Arial" w:cs="Arial"/>
      <w:b/>
      <w:bCs/>
      <w:sz w:val="24"/>
      <w:szCs w:val="20"/>
    </w:rPr>
  </w:style>
  <w:style w:type="character" w:customStyle="1" w:styleId="Heading4Char">
    <w:name w:val="Heading 4 Char"/>
    <w:basedOn w:val="DefaultParagraphFont"/>
    <w:link w:val="Heading4"/>
    <w:rsid w:val="00192BC7"/>
    <w:rPr>
      <w:rFonts w:ascii="Times New Roman" w:eastAsia="Times New Roman" w:hAnsi="Times New Roman" w:cs="Times New Roman"/>
      <w:b/>
      <w:bCs/>
      <w:i/>
      <w:iCs/>
      <w:sz w:val="24"/>
      <w:szCs w:val="20"/>
    </w:rPr>
  </w:style>
  <w:style w:type="paragraph" w:styleId="Footer">
    <w:name w:val="footer"/>
    <w:basedOn w:val="Normal"/>
    <w:link w:val="FooterChar"/>
    <w:semiHidden/>
    <w:rsid w:val="00192BC7"/>
    <w:pPr>
      <w:tabs>
        <w:tab w:val="center" w:pos="4320"/>
        <w:tab w:val="right" w:pos="8640"/>
      </w:tabs>
    </w:pPr>
  </w:style>
  <w:style w:type="character" w:customStyle="1" w:styleId="FooterChar">
    <w:name w:val="Footer Char"/>
    <w:basedOn w:val="DefaultParagraphFont"/>
    <w:link w:val="Footer"/>
    <w:semiHidden/>
    <w:rsid w:val="00192BC7"/>
    <w:rPr>
      <w:rFonts w:ascii="Times New Roman" w:eastAsia="Times New Roman" w:hAnsi="Times New Roman" w:cs="Times New Roman"/>
      <w:sz w:val="20"/>
      <w:szCs w:val="20"/>
    </w:rPr>
  </w:style>
  <w:style w:type="character" w:styleId="Hyperlink">
    <w:name w:val="Hyperlink"/>
    <w:basedOn w:val="DefaultParagraphFont"/>
    <w:semiHidden/>
    <w:rsid w:val="00192BC7"/>
    <w:rPr>
      <w:color w:val="0000FF"/>
      <w:u w:val="single"/>
    </w:rPr>
  </w:style>
  <w:style w:type="paragraph" w:styleId="Header">
    <w:name w:val="header"/>
    <w:basedOn w:val="Normal"/>
    <w:link w:val="HeaderChar"/>
    <w:uiPriority w:val="99"/>
    <w:unhideWhenUsed/>
    <w:rsid w:val="00050AFD"/>
    <w:pPr>
      <w:tabs>
        <w:tab w:val="center" w:pos="4680"/>
        <w:tab w:val="right" w:pos="9360"/>
      </w:tabs>
    </w:pPr>
  </w:style>
  <w:style w:type="character" w:customStyle="1" w:styleId="HeaderChar">
    <w:name w:val="Header Char"/>
    <w:basedOn w:val="DefaultParagraphFont"/>
    <w:link w:val="Header"/>
    <w:uiPriority w:val="99"/>
    <w:rsid w:val="00050AF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clustal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bcsrv.watson.ibm.com/Tmsa.html"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io.cam.ac.uk/cgi-bin/seqlogo/logo.cgi" TargetMode="External"/><Relationship Id="rId5" Type="http://schemas.openxmlformats.org/officeDocument/2006/relationships/footnotes" Target="footnotes.xml"/><Relationship Id="rId10" Type="http://schemas.openxmlformats.org/officeDocument/2006/relationships/hyperlink" Target="http://bibiserv.techfak.uni-bielefeld.de/cgi-bin/dialign_submit" TargetMode="External"/><Relationship Id="rId4" Type="http://schemas.openxmlformats.org/officeDocument/2006/relationships/webSettings" Target="webSettings.xml"/><Relationship Id="rId9" Type="http://schemas.openxmlformats.org/officeDocument/2006/relationships/hyperlink" Target="http://clustalw.genome.ad.j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8</cp:revision>
  <dcterms:created xsi:type="dcterms:W3CDTF">2015-07-10T10:45:00Z</dcterms:created>
  <dcterms:modified xsi:type="dcterms:W3CDTF">2015-11-06T10:29:00Z</dcterms:modified>
</cp:coreProperties>
</file>