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39" w:rsidRDefault="00913F39" w:rsidP="00913F3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913F39" w:rsidRDefault="00913F39" w:rsidP="00913F3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EC2A18">
        <w:rPr>
          <w:rFonts w:ascii="Courier New" w:hAnsi="Courier New" w:cs="Courier New"/>
          <w:b/>
          <w:sz w:val="24"/>
          <w:szCs w:val="24"/>
        </w:rPr>
        <w:t xml:space="preserve">Cloud Deployment Models </w:t>
      </w:r>
    </w:p>
    <w:p w:rsidR="00913F39" w:rsidRDefault="00913F39" w:rsidP="00913F3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500611">
        <w:rPr>
          <w:rFonts w:ascii="Courier New" w:hAnsi="Courier New" w:cs="Courier New"/>
          <w:b/>
          <w:sz w:val="24"/>
          <w:szCs w:val="24"/>
        </w:rPr>
        <w:t xml:space="preserve"> 141</w:t>
      </w:r>
      <w:bookmarkStart w:id="0" w:name="_GoBack"/>
      <w:bookmarkEnd w:id="0"/>
    </w:p>
    <w:p w:rsidR="00913F39" w:rsidRDefault="00913F39" w:rsidP="00705141"/>
    <w:p w:rsidR="00913F39" w:rsidRDefault="00913F39" w:rsidP="00913F39"/>
    <w:p w:rsidR="00913F39" w:rsidRPr="00EC2A18" w:rsidRDefault="00913F39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Deployment Models</w:t>
      </w:r>
    </w:p>
    <w:p w:rsidR="00913F39" w:rsidRPr="00B30337" w:rsidRDefault="00913F39" w:rsidP="00913F39">
      <w:pPr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B30337">
        <w:rPr>
          <w:rFonts w:ascii="Courier New" w:eastAsiaTheme="minorHAnsi" w:hAnsi="Courier New" w:cs="Courier New"/>
          <w:kern w:val="0"/>
          <w:szCs w:val="21"/>
          <w:lang w:eastAsia="en-US"/>
        </w:rPr>
        <w:t>There are different deployment models of cloud computing</w:t>
      </w:r>
    </w:p>
    <w:p w:rsidR="00913F39" w:rsidRPr="00B30337" w:rsidRDefault="003415E5" w:rsidP="00913F39">
      <w:pPr>
        <w:numPr>
          <w:ilvl w:val="0"/>
          <w:numId w:val="1"/>
        </w:numPr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B30337">
        <w:rPr>
          <w:rFonts w:ascii="Courier New" w:eastAsiaTheme="minorHAnsi" w:hAnsi="Courier New" w:cs="Courier New"/>
          <w:kern w:val="0"/>
          <w:szCs w:val="21"/>
          <w:lang w:eastAsia="en-US"/>
        </w:rPr>
        <w:t>Potential stakeholders</w:t>
      </w:r>
    </w:p>
    <w:p w:rsidR="004622EA" w:rsidRPr="003415E5" w:rsidRDefault="003415E5" w:rsidP="00B30337">
      <w:pPr>
        <w:numPr>
          <w:ilvl w:val="0"/>
          <w:numId w:val="1"/>
        </w:numPr>
        <w:rPr>
          <w:rFonts w:asciiTheme="minorHAnsi" w:hAnsiTheme="minorHAnsi"/>
        </w:rPr>
      </w:pPr>
      <w:r w:rsidRPr="003415E5">
        <w:rPr>
          <w:rFonts w:asciiTheme="minorHAnsi" w:hAnsiTheme="minorHAnsi"/>
        </w:rPr>
        <w:t xml:space="preserve"> </w:t>
      </w:r>
      <w:r w:rsidRPr="00B30337">
        <w:rPr>
          <w:rFonts w:ascii="Courier New" w:eastAsiaTheme="minorHAnsi" w:hAnsi="Courier New" w:cs="Courier New"/>
          <w:kern w:val="0"/>
          <w:szCs w:val="21"/>
          <w:lang w:eastAsia="en-US"/>
        </w:rPr>
        <w:t>Owner of infrastructure</w:t>
      </w:r>
    </w:p>
    <w:p w:rsidR="004622EA" w:rsidRPr="003415E5" w:rsidRDefault="003415E5" w:rsidP="00B30337">
      <w:pPr>
        <w:numPr>
          <w:ilvl w:val="0"/>
          <w:numId w:val="1"/>
        </w:numPr>
        <w:rPr>
          <w:rFonts w:asciiTheme="minorHAnsi" w:hAnsiTheme="minorHAnsi"/>
        </w:rPr>
      </w:pPr>
      <w:r w:rsidRPr="003415E5">
        <w:rPr>
          <w:rFonts w:asciiTheme="minorHAnsi" w:hAnsiTheme="minorHAnsi"/>
        </w:rPr>
        <w:t xml:space="preserve"> </w:t>
      </w:r>
      <w:r w:rsidRPr="00B30337">
        <w:rPr>
          <w:rFonts w:ascii="Courier New" w:eastAsiaTheme="minorHAnsi" w:hAnsi="Courier New" w:cs="Courier New"/>
          <w:kern w:val="0"/>
          <w:szCs w:val="21"/>
          <w:lang w:eastAsia="en-US"/>
        </w:rPr>
        <w:t>User of cloud service</w:t>
      </w:r>
    </w:p>
    <w:p w:rsidR="004622EA" w:rsidRPr="003415E5" w:rsidRDefault="003415E5" w:rsidP="00B30337">
      <w:pPr>
        <w:numPr>
          <w:ilvl w:val="0"/>
          <w:numId w:val="1"/>
        </w:numPr>
        <w:rPr>
          <w:rFonts w:asciiTheme="minorHAnsi" w:hAnsiTheme="minorHAnsi"/>
        </w:rPr>
      </w:pPr>
      <w:r w:rsidRPr="003415E5">
        <w:rPr>
          <w:rFonts w:asciiTheme="minorHAnsi" w:hAnsiTheme="minorHAnsi"/>
        </w:rPr>
        <w:t xml:space="preserve"> </w:t>
      </w:r>
      <w:r w:rsidRPr="00B30337">
        <w:rPr>
          <w:rFonts w:ascii="Courier New" w:eastAsiaTheme="minorHAnsi" w:hAnsi="Courier New" w:cs="Courier New"/>
          <w:kern w:val="0"/>
          <w:szCs w:val="21"/>
          <w:lang w:eastAsia="en-US"/>
        </w:rPr>
        <w:t>Location of  cloud infrastructure</w:t>
      </w:r>
    </w:p>
    <w:p w:rsidR="00913F39" w:rsidRPr="003415E5" w:rsidRDefault="003415E5" w:rsidP="00B30337">
      <w:pPr>
        <w:numPr>
          <w:ilvl w:val="0"/>
          <w:numId w:val="1"/>
        </w:numPr>
        <w:rPr>
          <w:rFonts w:asciiTheme="minorHAnsi" w:hAnsiTheme="minorHAnsi"/>
        </w:rPr>
      </w:pPr>
      <w:r w:rsidRPr="003415E5">
        <w:rPr>
          <w:rFonts w:asciiTheme="minorHAnsi" w:hAnsiTheme="minorHAnsi"/>
        </w:rPr>
        <w:t xml:space="preserve"> </w:t>
      </w:r>
      <w:r w:rsidR="00B30337">
        <w:rPr>
          <w:rFonts w:ascii="Courier New" w:eastAsiaTheme="minorHAnsi" w:hAnsi="Courier New" w:cs="Courier New"/>
          <w:kern w:val="0"/>
          <w:szCs w:val="21"/>
          <w:lang w:eastAsia="en-US"/>
        </w:rPr>
        <w:t>Public, Community</w:t>
      </w:r>
      <w:r w:rsidRPr="003415E5">
        <w:rPr>
          <w:rFonts w:asciiTheme="minorHAnsi" w:hAnsiTheme="minorHAnsi"/>
        </w:rPr>
        <w:t xml:space="preserve">  </w:t>
      </w:r>
    </w:p>
    <w:p w:rsidR="00913F39" w:rsidRPr="00B30337" w:rsidRDefault="00913F39" w:rsidP="00B30337">
      <w:pPr>
        <w:numPr>
          <w:ilvl w:val="0"/>
          <w:numId w:val="1"/>
        </w:numPr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B30337">
        <w:rPr>
          <w:rFonts w:ascii="Courier New" w:eastAsiaTheme="minorHAnsi" w:hAnsi="Courier New" w:cs="Courier New"/>
          <w:kern w:val="0"/>
          <w:szCs w:val="21"/>
          <w:lang w:eastAsia="en-US"/>
        </w:rPr>
        <w:t>Private &amp; Hybrid cloud</w:t>
      </w:r>
    </w:p>
    <w:p w:rsidR="00913F39" w:rsidRPr="003415E5" w:rsidRDefault="00913F39" w:rsidP="00705141">
      <w:pPr>
        <w:rPr>
          <w:rFonts w:asciiTheme="minorHAnsi" w:hAnsiTheme="minorHAnsi"/>
        </w:rPr>
      </w:pPr>
    </w:p>
    <w:p w:rsidR="00705141" w:rsidRPr="00EC2A18" w:rsidRDefault="00705141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Public cloud</w:t>
      </w:r>
    </w:p>
    <w:p w:rsidR="00705141" w:rsidRPr="007F3A42" w:rsidRDefault="00705141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Public clouds are owned and operated by companies that offer rapid access over a public network to affordable computing resources. With public cloud services, users don’t need to purchase hardware, software or supporting infrastructure, which is owned and managed by providers.</w:t>
      </w:r>
      <w:r w:rsidR="00913F39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</w:t>
      </w:r>
      <w:proofErr w:type="spellStart"/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SoftLayer</w:t>
      </w:r>
      <w:proofErr w:type="spellEnd"/>
    </w:p>
    <w:p w:rsidR="00705141" w:rsidRPr="003415E5" w:rsidRDefault="00705141" w:rsidP="00705141">
      <w:pPr>
        <w:rPr>
          <w:rFonts w:asciiTheme="minorHAnsi" w:hAnsiTheme="minorHAnsi"/>
        </w:rPr>
      </w:pPr>
    </w:p>
    <w:p w:rsidR="00705141" w:rsidRPr="00EC2A18" w:rsidRDefault="00913F39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Key aspects of Public Cloud</w:t>
      </w:r>
    </w:p>
    <w:p w:rsidR="00705141" w:rsidRPr="007F3A42" w:rsidRDefault="00913F39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It is an 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Innovative 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of 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SaaS business apps for applications ranging from customer resource management (CRM) to transaction management and data analytics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. It is a f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lexible, scalable IaaS for storage and compute services on a moment’s notice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Powerful PaaS for cloud-based application development and deployment environments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Flexibility to access the resources you need, when you need them.</w:t>
      </w:r>
    </w:p>
    <w:p w:rsidR="00705141" w:rsidRPr="00EC2A18" w:rsidRDefault="00705141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Private cloud</w:t>
      </w:r>
    </w:p>
    <w:p w:rsidR="00705141" w:rsidRPr="007F3A42" w:rsidRDefault="00705141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A private cloud is infrastructure operated solely for a single organization, whether managed internally or by a third </w:t>
      </w:r>
      <w:r w:rsidR="007F3A42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party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and hosted either internally or externally. Private clouds can take advantage of cloud’s efficiencies, while providing more control of resources and steering clear of multi-tenancy.</w:t>
      </w:r>
    </w:p>
    <w:p w:rsidR="00705141" w:rsidRPr="007F3A42" w:rsidRDefault="00705141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IBM infrastructure for private cloud</w:t>
      </w:r>
    </w:p>
    <w:p w:rsidR="00996EA0" w:rsidRPr="00EC2A18" w:rsidRDefault="00996EA0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Key aspects of Private Cloud</w:t>
      </w:r>
    </w:p>
    <w:p w:rsidR="00996EA0" w:rsidRPr="007F3A42" w:rsidRDefault="00705141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lastRenderedPageBreak/>
        <w:t>A self-service interface controls services, allowing IT staff to quickly provision, allocate and deliver on-demand IT resources</w:t>
      </w:r>
      <w:r w:rsidR="00996EA0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Highly automated management of resource pools for everything from compute</w:t>
      </w:r>
    </w:p>
    <w:p w:rsidR="00705141" w:rsidRPr="007F3A42" w:rsidRDefault="00996EA0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proofErr w:type="gramStart"/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capability</w:t>
      </w:r>
      <w:proofErr w:type="gramEnd"/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to storage, analytics and middleware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Sophisticated security and governance designed for a company’s specific requirements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 .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The additional level of security you want with the benefits of cloud.</w:t>
      </w:r>
    </w:p>
    <w:p w:rsidR="00705141" w:rsidRPr="00EC2A18" w:rsidRDefault="00705141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Hybrid cloud</w:t>
      </w:r>
    </w:p>
    <w:p w:rsidR="00705141" w:rsidRPr="007F3A42" w:rsidRDefault="00705141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A hybrid cloud uses a private cloud foundation combined with the strategic integration and use of public cloud services. The reality is a private cloud can’t exist in isolation from the rest of a company’s IT resources and the public cloud. Most companies with private clouds will evolve to manage workloads across data centers, private clouds and public clouds—thereby creating hybrid clouds.</w:t>
      </w:r>
    </w:p>
    <w:p w:rsidR="00705141" w:rsidRPr="007F3A42" w:rsidRDefault="00705141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IBM hybrid cloud</w:t>
      </w:r>
    </w:p>
    <w:p w:rsidR="00705141" w:rsidRPr="003415E5" w:rsidRDefault="00705141" w:rsidP="00705141">
      <w:pPr>
        <w:rPr>
          <w:rFonts w:asciiTheme="minorHAnsi" w:hAnsiTheme="minorHAnsi"/>
        </w:rPr>
      </w:pPr>
    </w:p>
    <w:p w:rsidR="00A20690" w:rsidRPr="00EC2A18" w:rsidRDefault="00A20690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Key aspects of Hybrid Cloud</w:t>
      </w:r>
    </w:p>
    <w:p w:rsidR="00705141" w:rsidRPr="007F3A42" w:rsidRDefault="00A20690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It a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llows companies to keep the critical applications and sensitive data in a traditional data center environment or private cloud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 xml:space="preserve">. 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Enables taking advantage of public cloud resources like SaaS, for the latest applications, and IaaS, for elastic virtual resources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. It f</w:t>
      </w:r>
      <w:r w:rsidR="00705141"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acilitates portability of data, apps and services and more choices for deployment models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.</w:t>
      </w:r>
    </w:p>
    <w:p w:rsidR="00A20690" w:rsidRPr="00EC2A18" w:rsidRDefault="00A20690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 xml:space="preserve">Community Cloud </w:t>
      </w:r>
    </w:p>
    <w:p w:rsidR="00A20690" w:rsidRPr="007F3A42" w:rsidRDefault="00A20690" w:rsidP="007F3A42">
      <w:pPr>
        <w:jc w:val="both"/>
        <w:rPr>
          <w:rFonts w:ascii="Courier New" w:eastAsiaTheme="minorHAnsi" w:hAnsi="Courier New" w:cs="Courier New"/>
          <w:kern w:val="0"/>
          <w:szCs w:val="21"/>
          <w:lang w:eastAsia="en-US"/>
        </w:rPr>
      </w:pP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Community cloud is exclusive use by a specific community of consumers from organizations that have shared concerns. Owned, managed, and operated by one or more of the organizations in the community, a third party. Exist on or off premises.</w:t>
      </w:r>
    </w:p>
    <w:p w:rsidR="00A20690" w:rsidRPr="003415E5" w:rsidRDefault="00A20690" w:rsidP="00A20690">
      <w:pPr>
        <w:rPr>
          <w:rFonts w:asciiTheme="minorHAnsi" w:hAnsiTheme="minorHAnsi"/>
        </w:rPr>
      </w:pPr>
    </w:p>
    <w:p w:rsidR="00A20690" w:rsidRPr="00EC2A18" w:rsidRDefault="00A20690" w:rsidP="00EC2A18">
      <w:pPr>
        <w:jc w:val="both"/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>Bio Informatics Cloud</w:t>
      </w:r>
    </w:p>
    <w:p w:rsidR="00A20690" w:rsidRPr="003415E5" w:rsidRDefault="00A20690" w:rsidP="00A20690">
      <w:pPr>
        <w:rPr>
          <w:rFonts w:asciiTheme="minorHAnsi" w:hAnsiTheme="minorHAnsi"/>
        </w:rPr>
      </w:pPr>
      <w:r w:rsidRPr="00EC2A18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 xml:space="preserve">Private cloud: 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personal consumers like lab units, researchers etc. Public cloud will serve needs of potential users</w:t>
      </w:r>
    </w:p>
    <w:p w:rsidR="00A20690" w:rsidRPr="003415E5" w:rsidRDefault="00A20690" w:rsidP="00A20690">
      <w:pPr>
        <w:rPr>
          <w:rFonts w:asciiTheme="minorHAnsi" w:hAnsiTheme="minorHAnsi"/>
        </w:rPr>
      </w:pPr>
      <w:r w:rsidRPr="005731C1">
        <w:rPr>
          <w:rFonts w:ascii="Courier New" w:eastAsiaTheme="minorHAnsi" w:hAnsi="Courier New" w:cs="Courier New"/>
          <w:b/>
          <w:bCs/>
          <w:kern w:val="0"/>
          <w:szCs w:val="21"/>
          <w:lang w:eastAsia="en-US"/>
        </w:rPr>
        <w:t xml:space="preserve">Community cloud: </w:t>
      </w:r>
      <w:r w:rsidRPr="007F3A42">
        <w:rPr>
          <w:rFonts w:ascii="Courier New" w:eastAsiaTheme="minorHAnsi" w:hAnsi="Courier New" w:cs="Courier New"/>
          <w:kern w:val="0"/>
          <w:szCs w:val="21"/>
          <w:lang w:eastAsia="en-US"/>
        </w:rPr>
        <w:t>concerns (e.g. policies, mission, requirements) matches with other research laboratories</w:t>
      </w:r>
    </w:p>
    <w:p w:rsidR="00A20690" w:rsidRPr="003415E5" w:rsidRDefault="00A20690" w:rsidP="00A20690">
      <w:pPr>
        <w:rPr>
          <w:rFonts w:asciiTheme="minorHAnsi" w:hAnsiTheme="minorHAnsi"/>
        </w:rPr>
      </w:pPr>
    </w:p>
    <w:p w:rsidR="00A20690" w:rsidRPr="003415E5" w:rsidRDefault="00A20690" w:rsidP="00705141">
      <w:pPr>
        <w:rPr>
          <w:rFonts w:asciiTheme="minorHAnsi" w:hAnsiTheme="minorHAnsi"/>
        </w:rPr>
      </w:pPr>
    </w:p>
    <w:p w:rsidR="0040180A" w:rsidRPr="003415E5" w:rsidRDefault="0040180A" w:rsidP="00705141">
      <w:pPr>
        <w:rPr>
          <w:rFonts w:asciiTheme="minorHAnsi" w:hAnsiTheme="minorHAnsi"/>
        </w:rPr>
      </w:pPr>
    </w:p>
    <w:sectPr w:rsidR="0040180A" w:rsidRPr="003415E5" w:rsidSect="0040180A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12CC"/>
    <w:multiLevelType w:val="hybridMultilevel"/>
    <w:tmpl w:val="C42EB842"/>
    <w:lvl w:ilvl="0" w:tplc="3800B6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A092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3216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0ED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E51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8BC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E4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2FA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A87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1434"/>
    <w:multiLevelType w:val="hybridMultilevel"/>
    <w:tmpl w:val="75363938"/>
    <w:lvl w:ilvl="0" w:tplc="75800B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EC86D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477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51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8CFE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C704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876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458E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56E8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0180A"/>
    <w:rsid w:val="00154416"/>
    <w:rsid w:val="003415E5"/>
    <w:rsid w:val="0040180A"/>
    <w:rsid w:val="004622EA"/>
    <w:rsid w:val="00500611"/>
    <w:rsid w:val="005731C1"/>
    <w:rsid w:val="00705141"/>
    <w:rsid w:val="007F3A42"/>
    <w:rsid w:val="00913F39"/>
    <w:rsid w:val="00996EA0"/>
    <w:rsid w:val="00A20690"/>
    <w:rsid w:val="00B30337"/>
    <w:rsid w:val="00D96AEC"/>
    <w:rsid w:val="00EC2A18"/>
    <w:rsid w:val="47B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3F0CBB0-D691-401B-A982-54C8B07A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180A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3F39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13F39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 Informatics</dc:title>
  <cp:lastModifiedBy>Pervaiz Iqbal Khan</cp:lastModifiedBy>
  <cp:revision>14</cp:revision>
  <dcterms:created xsi:type="dcterms:W3CDTF">2015-09-02T13:27:00Z</dcterms:created>
  <dcterms:modified xsi:type="dcterms:W3CDTF">2015-12-22T07:29:00Z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