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1F" w:rsidRPr="00F2467B" w:rsidRDefault="003A7A1F" w:rsidP="003A7A1F">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3A7A1F" w:rsidRPr="00F2467B" w:rsidRDefault="003A7A1F" w:rsidP="003A7A1F">
      <w:pPr>
        <w:pStyle w:val="PlainText"/>
        <w:jc w:val="both"/>
        <w:rPr>
          <w:rFonts w:ascii="Courier New" w:hAnsi="Courier New" w:cs="Courier New"/>
          <w:b/>
          <w:sz w:val="24"/>
          <w:szCs w:val="24"/>
        </w:rPr>
      </w:pPr>
      <w:r>
        <w:rPr>
          <w:rFonts w:ascii="Courier New" w:hAnsi="Courier New" w:cs="Courier New"/>
          <w:b/>
          <w:sz w:val="24"/>
          <w:szCs w:val="24"/>
        </w:rPr>
        <w:t>Module title: Bioinformatics Toolbox</w:t>
      </w:r>
    </w:p>
    <w:p w:rsidR="003A7A1F" w:rsidRPr="00F2467B" w:rsidRDefault="003A7A1F" w:rsidP="003A7A1F">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9E1A5F">
        <w:rPr>
          <w:rFonts w:ascii="Courier New" w:hAnsi="Courier New" w:cs="Courier New"/>
          <w:b/>
          <w:sz w:val="24"/>
          <w:szCs w:val="24"/>
        </w:rPr>
        <w:t xml:space="preserve"> 209</w:t>
      </w:r>
    </w:p>
    <w:p w:rsidR="003A7A1F" w:rsidRDefault="003A7A1F" w:rsidP="003A7A1F">
      <w:pPr>
        <w:shd w:val="clear" w:color="auto" w:fill="FFFFFF"/>
        <w:spacing w:after="150" w:line="240" w:lineRule="auto"/>
        <w:jc w:val="both"/>
        <w:rPr>
          <w:rFonts w:ascii="Courier New" w:eastAsia="Times New Roman" w:hAnsi="Courier New" w:cs="Courier New"/>
          <w:color w:val="404040"/>
        </w:rPr>
      </w:pPr>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 xml:space="preserve">Bioinformatics Toolbox provides algorithms and apps for Next Generation Sequencing (NGS), microarray analysis, mass spectrometry, and gene ontology. Using toolbox functions, you can read genomic and proteomic data from standard file formats such as SAM, FASTA, CEL, and CDF, as well as from online databases such as the NCBI Gene Expression Omnibus and GenBank®. You can explore and visualize this data with sequence browsers, spatial </w:t>
      </w:r>
      <w:proofErr w:type="spellStart"/>
      <w:r w:rsidRPr="009E1A5F">
        <w:rPr>
          <w:rFonts w:ascii="Courier New" w:hAnsi="Courier New" w:cs="Courier New"/>
          <w:sz w:val="21"/>
          <w:szCs w:val="21"/>
        </w:rPr>
        <w:t>heatmaps</w:t>
      </w:r>
      <w:proofErr w:type="spellEnd"/>
      <w:r w:rsidRPr="009E1A5F">
        <w:rPr>
          <w:rFonts w:ascii="Courier New" w:hAnsi="Courier New" w:cs="Courier New"/>
          <w:sz w:val="21"/>
          <w:szCs w:val="21"/>
        </w:rPr>
        <w:t xml:space="preserve">, and </w:t>
      </w:r>
      <w:proofErr w:type="spellStart"/>
      <w:r w:rsidRPr="009E1A5F">
        <w:rPr>
          <w:rFonts w:ascii="Courier New" w:hAnsi="Courier New" w:cs="Courier New"/>
          <w:sz w:val="21"/>
          <w:szCs w:val="21"/>
        </w:rPr>
        <w:t>clustergrams</w:t>
      </w:r>
      <w:proofErr w:type="spellEnd"/>
      <w:r w:rsidRPr="009E1A5F">
        <w:rPr>
          <w:rFonts w:ascii="Courier New" w:hAnsi="Courier New" w:cs="Courier New"/>
          <w:sz w:val="21"/>
          <w:szCs w:val="21"/>
        </w:rPr>
        <w:t>. The toolbox also provides statistical techniques for detecting peaks, imputing values for missing data, and selecting features.</w:t>
      </w:r>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 xml:space="preserve">You can combine toolbox functions to support common bioinformatics workflows. You can use </w:t>
      </w:r>
      <w:proofErr w:type="spellStart"/>
      <w:r w:rsidRPr="009E1A5F">
        <w:rPr>
          <w:rFonts w:ascii="Courier New" w:hAnsi="Courier New" w:cs="Courier New"/>
          <w:sz w:val="21"/>
          <w:szCs w:val="21"/>
        </w:rPr>
        <w:t>ChIP</w:t>
      </w:r>
      <w:proofErr w:type="spellEnd"/>
      <w:r w:rsidRPr="009E1A5F">
        <w:rPr>
          <w:rFonts w:ascii="Courier New" w:hAnsi="Courier New" w:cs="Courier New"/>
          <w:sz w:val="21"/>
          <w:szCs w:val="21"/>
        </w:rPr>
        <w:t>-Seq data to identify transcription factors; analyze RNA-Seq data to identify differentially expressed genes; identify copy number variants and SNPs in microarray data; and classify protein profiles using mass spectrometry data.</w:t>
      </w:r>
    </w:p>
    <w:p w:rsidR="000E276C" w:rsidRPr="003A7A1F" w:rsidRDefault="009E1A5F" w:rsidP="003A7A1F">
      <w:pPr>
        <w:shd w:val="clear" w:color="auto" w:fill="FFFFFF"/>
        <w:spacing w:after="0" w:line="277" w:lineRule="atLeast"/>
        <w:jc w:val="both"/>
        <w:outlineLvl w:val="2"/>
        <w:rPr>
          <w:rFonts w:ascii="Courier New" w:eastAsia="Times New Roman" w:hAnsi="Courier New" w:cs="Courier New"/>
          <w:b/>
          <w:bCs/>
          <w:sz w:val="21"/>
          <w:szCs w:val="21"/>
        </w:rPr>
      </w:pPr>
      <w:hyperlink r:id="rId5" w:history="1">
        <w:r w:rsidR="000E276C" w:rsidRPr="003A7A1F">
          <w:rPr>
            <w:rFonts w:ascii="Courier New" w:eastAsia="Times New Roman" w:hAnsi="Courier New" w:cs="Courier New"/>
            <w:b/>
            <w:bCs/>
            <w:sz w:val="21"/>
            <w:szCs w:val="21"/>
          </w:rPr>
          <w:t>High-Throughput Sequencing</w:t>
        </w:r>
      </w:hyperlink>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 xml:space="preserve">Gene expression, transcription factor, and methylation analysis of NGS data, including RNA-Seq and </w:t>
      </w:r>
      <w:proofErr w:type="spellStart"/>
      <w:r w:rsidRPr="009E1A5F">
        <w:rPr>
          <w:rFonts w:ascii="Courier New" w:hAnsi="Courier New" w:cs="Courier New"/>
          <w:sz w:val="21"/>
          <w:szCs w:val="21"/>
        </w:rPr>
        <w:t>ChIP</w:t>
      </w:r>
      <w:proofErr w:type="spellEnd"/>
      <w:r w:rsidRPr="009E1A5F">
        <w:rPr>
          <w:rFonts w:ascii="Courier New" w:hAnsi="Courier New" w:cs="Courier New"/>
          <w:sz w:val="21"/>
          <w:szCs w:val="21"/>
        </w:rPr>
        <w:t>-Seq</w:t>
      </w:r>
    </w:p>
    <w:p w:rsidR="000E276C" w:rsidRPr="003A7A1F" w:rsidRDefault="009E1A5F" w:rsidP="003A7A1F">
      <w:pPr>
        <w:shd w:val="clear" w:color="auto" w:fill="FFFFFF"/>
        <w:spacing w:after="0" w:line="277" w:lineRule="atLeast"/>
        <w:jc w:val="both"/>
        <w:outlineLvl w:val="2"/>
        <w:rPr>
          <w:rFonts w:ascii="Courier New" w:eastAsia="Times New Roman" w:hAnsi="Courier New" w:cs="Courier New"/>
          <w:b/>
          <w:bCs/>
          <w:sz w:val="21"/>
          <w:szCs w:val="21"/>
        </w:rPr>
      </w:pPr>
      <w:hyperlink r:id="rId6" w:history="1">
        <w:r w:rsidR="000E276C" w:rsidRPr="003A7A1F">
          <w:rPr>
            <w:rFonts w:ascii="Courier New" w:eastAsia="Times New Roman" w:hAnsi="Courier New" w:cs="Courier New"/>
            <w:b/>
            <w:bCs/>
            <w:sz w:val="21"/>
            <w:szCs w:val="21"/>
          </w:rPr>
          <w:t>Microarray Analysis</w:t>
        </w:r>
      </w:hyperlink>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Gene expression and genetic variant analysis of microarray data</w:t>
      </w:r>
    </w:p>
    <w:p w:rsidR="000E276C" w:rsidRPr="003A7A1F" w:rsidRDefault="009E1A5F" w:rsidP="003A7A1F">
      <w:pPr>
        <w:shd w:val="clear" w:color="auto" w:fill="FFFFFF"/>
        <w:spacing w:after="0" w:line="277" w:lineRule="atLeast"/>
        <w:jc w:val="both"/>
        <w:outlineLvl w:val="2"/>
        <w:rPr>
          <w:rFonts w:ascii="Courier New" w:eastAsia="Times New Roman" w:hAnsi="Courier New" w:cs="Courier New"/>
          <w:b/>
          <w:bCs/>
          <w:sz w:val="21"/>
          <w:szCs w:val="21"/>
        </w:rPr>
      </w:pPr>
      <w:hyperlink r:id="rId7" w:history="1">
        <w:r w:rsidR="000E276C" w:rsidRPr="003A7A1F">
          <w:rPr>
            <w:rFonts w:ascii="Courier New" w:eastAsia="Times New Roman" w:hAnsi="Courier New" w:cs="Courier New"/>
            <w:b/>
            <w:bCs/>
            <w:sz w:val="21"/>
            <w:szCs w:val="21"/>
          </w:rPr>
          <w:t>Sequence Analysis</w:t>
        </w:r>
      </w:hyperlink>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 xml:space="preserve">Genomic and proteomic sequences, alignment, and </w:t>
      </w:r>
      <w:proofErr w:type="spellStart"/>
      <w:r w:rsidRPr="009E1A5F">
        <w:rPr>
          <w:rFonts w:ascii="Courier New" w:hAnsi="Courier New" w:cs="Courier New"/>
          <w:sz w:val="21"/>
          <w:szCs w:val="21"/>
        </w:rPr>
        <w:t>phylogenetics</w:t>
      </w:r>
      <w:proofErr w:type="spellEnd"/>
    </w:p>
    <w:p w:rsidR="000E276C" w:rsidRPr="003A7A1F" w:rsidRDefault="009E1A5F" w:rsidP="003A7A1F">
      <w:pPr>
        <w:shd w:val="clear" w:color="auto" w:fill="FFFFFF"/>
        <w:spacing w:after="0" w:line="277" w:lineRule="atLeast"/>
        <w:jc w:val="both"/>
        <w:outlineLvl w:val="2"/>
        <w:rPr>
          <w:rFonts w:ascii="Courier New" w:eastAsia="Times New Roman" w:hAnsi="Courier New" w:cs="Courier New"/>
          <w:b/>
          <w:bCs/>
          <w:sz w:val="21"/>
          <w:szCs w:val="21"/>
        </w:rPr>
      </w:pPr>
      <w:hyperlink r:id="rId8" w:history="1">
        <w:r w:rsidR="000E276C" w:rsidRPr="003A7A1F">
          <w:rPr>
            <w:rFonts w:ascii="Courier New" w:eastAsia="Times New Roman" w:hAnsi="Courier New" w:cs="Courier New"/>
            <w:b/>
            <w:bCs/>
            <w:sz w:val="21"/>
            <w:szCs w:val="21"/>
          </w:rPr>
          <w:t>Structural Analysis</w:t>
        </w:r>
      </w:hyperlink>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Visualize and manipulate 3-D chemical structure of proteins and other biomolecules; RNA secondary structure prediction and visualization</w:t>
      </w:r>
    </w:p>
    <w:p w:rsidR="000E276C" w:rsidRPr="003A7A1F" w:rsidRDefault="000E276C" w:rsidP="003A7A1F">
      <w:pPr>
        <w:shd w:val="clear" w:color="auto" w:fill="FFFFFF"/>
        <w:spacing w:after="0" w:line="277" w:lineRule="atLeast"/>
        <w:jc w:val="both"/>
        <w:outlineLvl w:val="2"/>
        <w:rPr>
          <w:rFonts w:ascii="Courier New" w:eastAsia="Times New Roman" w:hAnsi="Courier New" w:cs="Courier New"/>
          <w:b/>
          <w:bCs/>
          <w:sz w:val="21"/>
          <w:szCs w:val="21"/>
        </w:rPr>
      </w:pPr>
      <w:r w:rsidRPr="003A7A1F">
        <w:rPr>
          <w:rFonts w:ascii="Courier New" w:eastAsia="Times New Roman" w:hAnsi="Courier New" w:cs="Courier New"/>
          <w:b/>
          <w:bCs/>
          <w:sz w:val="21"/>
          <w:szCs w:val="21"/>
        </w:rPr>
        <w:t xml:space="preserve">Mass Spectrometry and </w:t>
      </w:r>
      <w:proofErr w:type="spellStart"/>
      <w:r w:rsidRPr="003A7A1F">
        <w:rPr>
          <w:rFonts w:ascii="Courier New" w:eastAsia="Times New Roman" w:hAnsi="Courier New" w:cs="Courier New"/>
          <w:b/>
          <w:bCs/>
          <w:sz w:val="21"/>
          <w:szCs w:val="21"/>
        </w:rPr>
        <w:t>Bioanalytics</w:t>
      </w:r>
      <w:proofErr w:type="spellEnd"/>
    </w:p>
    <w:p w:rsidR="000E276C" w:rsidRPr="009E1A5F" w:rsidRDefault="000E276C" w:rsidP="003A7A1F">
      <w:pPr>
        <w:shd w:val="clear" w:color="auto" w:fill="FFFFFF"/>
        <w:spacing w:after="150" w:line="240" w:lineRule="auto"/>
        <w:jc w:val="both"/>
        <w:rPr>
          <w:rFonts w:ascii="Courier New" w:hAnsi="Courier New" w:cs="Courier New"/>
          <w:sz w:val="21"/>
          <w:szCs w:val="21"/>
        </w:rPr>
      </w:pPr>
      <w:r w:rsidRPr="009E1A5F">
        <w:rPr>
          <w:rFonts w:ascii="Courier New" w:hAnsi="Courier New" w:cs="Courier New"/>
          <w:sz w:val="21"/>
          <w:szCs w:val="21"/>
        </w:rPr>
        <w:t>Data from separation techniques that produce traces with peaks, including MS, LC/MS, NMR, chromatography, and electrophoresis</w:t>
      </w:r>
    </w:p>
    <w:p w:rsidR="00D60AE1" w:rsidRPr="003A7A1F" w:rsidRDefault="00D60AE1" w:rsidP="003A7A1F">
      <w:pPr>
        <w:jc w:val="both"/>
        <w:rPr>
          <w:rFonts w:ascii="Courier New" w:hAnsi="Courier New" w:cs="Courier New"/>
          <w:sz w:val="21"/>
          <w:szCs w:val="21"/>
        </w:rPr>
      </w:pP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Bioinformatics Toolbox provides algorithms and apps for Next Generation Sequencing (NGS), microarray analysis, mass spectrometry, and gene ontology. Using toolbox functions, you can read genomic and proteomic data from standard file formats such as SAM, FASTA, CEL, and CDF, as well as from online databases such as the NCBI Gene Expression Omnibus and GenBank</w:t>
      </w:r>
      <w:proofErr w:type="gramStart"/>
      <w:r w:rsidRPr="003A7A1F">
        <w:rPr>
          <w:rFonts w:ascii="Courier New" w:hAnsi="Courier New" w:cs="Courier New"/>
          <w:sz w:val="21"/>
          <w:szCs w:val="21"/>
        </w:rPr>
        <w:t>® .</w:t>
      </w:r>
      <w:proofErr w:type="gramEnd"/>
      <w:r w:rsidRPr="003A7A1F">
        <w:rPr>
          <w:rFonts w:ascii="Courier New" w:hAnsi="Courier New" w:cs="Courier New"/>
          <w:sz w:val="21"/>
          <w:szCs w:val="21"/>
        </w:rPr>
        <w:t xml:space="preserve"> You can explore and visualize this data with sequence browsers, spatial </w:t>
      </w:r>
      <w:proofErr w:type="spellStart"/>
      <w:r w:rsidRPr="003A7A1F">
        <w:rPr>
          <w:rFonts w:ascii="Courier New" w:hAnsi="Courier New" w:cs="Courier New"/>
          <w:sz w:val="21"/>
          <w:szCs w:val="21"/>
        </w:rPr>
        <w:t>heatmaps</w:t>
      </w:r>
      <w:proofErr w:type="spellEnd"/>
      <w:r w:rsidRPr="003A7A1F">
        <w:rPr>
          <w:rFonts w:ascii="Courier New" w:hAnsi="Courier New" w:cs="Courier New"/>
          <w:sz w:val="21"/>
          <w:szCs w:val="21"/>
        </w:rPr>
        <w:t xml:space="preserve">, and </w:t>
      </w:r>
      <w:proofErr w:type="spellStart"/>
      <w:r w:rsidRPr="003A7A1F">
        <w:rPr>
          <w:rFonts w:ascii="Courier New" w:hAnsi="Courier New" w:cs="Courier New"/>
          <w:sz w:val="21"/>
          <w:szCs w:val="21"/>
        </w:rPr>
        <w:t>clustergrams</w:t>
      </w:r>
      <w:proofErr w:type="spellEnd"/>
      <w:r w:rsidRPr="003A7A1F">
        <w:rPr>
          <w:rFonts w:ascii="Courier New" w:hAnsi="Courier New" w:cs="Courier New"/>
          <w:sz w:val="21"/>
          <w:szCs w:val="21"/>
        </w:rPr>
        <w:t xml:space="preserve">. The toolbox also provides statistical techniques for detecting peaks, imputing values for missing data, and selecting features. You can combine toolbox functions to support common bioinformatics workflows. You can use </w:t>
      </w:r>
      <w:proofErr w:type="spellStart"/>
      <w:r w:rsidRPr="003A7A1F">
        <w:rPr>
          <w:rFonts w:ascii="Courier New" w:hAnsi="Courier New" w:cs="Courier New"/>
          <w:sz w:val="21"/>
          <w:szCs w:val="21"/>
        </w:rPr>
        <w:t>ChIP</w:t>
      </w:r>
      <w:proofErr w:type="spellEnd"/>
      <w:r w:rsidRPr="003A7A1F">
        <w:rPr>
          <w:rFonts w:ascii="Courier New" w:hAnsi="Courier New" w:cs="Courier New"/>
          <w:sz w:val="21"/>
          <w:szCs w:val="21"/>
        </w:rPr>
        <w:t xml:space="preserve">-Seq data to identify transcription factors; analyze RNA-Seq data to identify differentially expressed genes; identify copy number variants and SNPs in </w:t>
      </w:r>
      <w:r w:rsidRPr="003A7A1F">
        <w:rPr>
          <w:rFonts w:ascii="Courier New" w:hAnsi="Courier New" w:cs="Courier New"/>
          <w:sz w:val="21"/>
          <w:szCs w:val="21"/>
        </w:rPr>
        <w:lastRenderedPageBreak/>
        <w:t xml:space="preserve">microarray data; and classify protein profiles using mass spectrometry data. </w:t>
      </w:r>
    </w:p>
    <w:p w:rsidR="000E276C" w:rsidRPr="003A7A1F" w:rsidRDefault="000E276C" w:rsidP="003A7A1F">
      <w:pPr>
        <w:jc w:val="both"/>
        <w:rPr>
          <w:rFonts w:ascii="Courier New" w:hAnsi="Courier New" w:cs="Courier New"/>
          <w:sz w:val="21"/>
          <w:szCs w:val="21"/>
        </w:rPr>
      </w:pPr>
      <w:bookmarkStart w:id="0" w:name="_GoBack"/>
      <w:bookmarkEnd w:id="0"/>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xml:space="preserve">Key Features </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Next Generation Sequencing analysis and browser</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xml:space="preserve"> • Sequence analysis and visualization, including pairwise and multiple sequence alignment and peak detection</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xml:space="preserve"> • Microarray data analysis, including reading, filtering, normalizing, and visualization </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xml:space="preserve">• Mass spectrometry analysis, including preprocessing, classification, and marker identification </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Phylogenetic tree analysis</w:t>
      </w:r>
    </w:p>
    <w:p w:rsidR="000E276C"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xml:space="preserve"> • Graph theory functions, including interaction maps, hierarchy plots, and pathways </w:t>
      </w:r>
    </w:p>
    <w:p w:rsidR="00D60AE1" w:rsidRPr="003A7A1F" w:rsidRDefault="000E276C" w:rsidP="003A7A1F">
      <w:pPr>
        <w:jc w:val="both"/>
        <w:rPr>
          <w:rFonts w:ascii="Courier New" w:hAnsi="Courier New" w:cs="Courier New"/>
          <w:sz w:val="21"/>
          <w:szCs w:val="21"/>
        </w:rPr>
      </w:pPr>
      <w:r w:rsidRPr="003A7A1F">
        <w:rPr>
          <w:rFonts w:ascii="Courier New" w:hAnsi="Courier New" w:cs="Courier New"/>
          <w:sz w:val="21"/>
          <w:szCs w:val="21"/>
        </w:rPr>
        <w:t>• Data import from genomic, proteomic, and gene expression files, including SAM, FASTA, CEL, and CDF, and from databases such as NCBI and GenBank</w:t>
      </w:r>
    </w:p>
    <w:p w:rsidR="00D60AE1" w:rsidRPr="003A7A1F" w:rsidRDefault="00D60AE1" w:rsidP="003A7A1F">
      <w:pPr>
        <w:jc w:val="both"/>
        <w:rPr>
          <w:rFonts w:ascii="Courier New" w:hAnsi="Courier New" w:cs="Courier New"/>
          <w:sz w:val="21"/>
          <w:szCs w:val="21"/>
        </w:rPr>
      </w:pPr>
    </w:p>
    <w:p w:rsidR="00D60AE1" w:rsidRPr="003A7A1F" w:rsidRDefault="00D60AE1" w:rsidP="003A7A1F">
      <w:pPr>
        <w:jc w:val="both"/>
        <w:rPr>
          <w:rFonts w:ascii="Courier New" w:hAnsi="Courier New" w:cs="Courier New"/>
          <w:sz w:val="21"/>
          <w:szCs w:val="21"/>
        </w:rPr>
      </w:pPr>
    </w:p>
    <w:p w:rsidR="00AF0C96" w:rsidRPr="003A7A1F" w:rsidRDefault="00AF0C96" w:rsidP="003A7A1F">
      <w:pPr>
        <w:jc w:val="both"/>
        <w:rPr>
          <w:rFonts w:ascii="Courier New" w:hAnsi="Courier New" w:cs="Courier New"/>
          <w:b/>
          <w:sz w:val="21"/>
          <w:szCs w:val="21"/>
        </w:rPr>
      </w:pPr>
      <w:r w:rsidRPr="003A7A1F">
        <w:rPr>
          <w:rFonts w:ascii="Courier New" w:hAnsi="Courier New" w:cs="Courier New"/>
          <w:b/>
          <w:sz w:val="21"/>
          <w:szCs w:val="21"/>
        </w:rPr>
        <w:t xml:space="preserve">Installing </w:t>
      </w:r>
    </w:p>
    <w:p w:rsidR="00D60AE1" w:rsidRPr="003A7A1F" w:rsidRDefault="00AF0C96" w:rsidP="003A7A1F">
      <w:pPr>
        <w:jc w:val="both"/>
        <w:rPr>
          <w:rFonts w:ascii="Courier New" w:hAnsi="Courier New" w:cs="Courier New"/>
          <w:sz w:val="21"/>
          <w:szCs w:val="21"/>
        </w:rPr>
      </w:pPr>
      <w:r w:rsidRPr="003A7A1F">
        <w:rPr>
          <w:rFonts w:ascii="Courier New" w:hAnsi="Courier New" w:cs="Courier New"/>
          <w:sz w:val="21"/>
          <w:szCs w:val="21"/>
        </w:rPr>
        <w:t xml:space="preserve">Install the Bioinformatics Toolbox software from a DVD or Web release using the </w:t>
      </w:r>
      <w:proofErr w:type="spellStart"/>
      <w:r w:rsidRPr="003A7A1F">
        <w:rPr>
          <w:rFonts w:ascii="Courier New" w:hAnsi="Courier New" w:cs="Courier New"/>
          <w:sz w:val="21"/>
          <w:szCs w:val="21"/>
        </w:rPr>
        <w:t>MathWorks</w:t>
      </w:r>
      <w:proofErr w:type="spellEnd"/>
      <w:r w:rsidRPr="003A7A1F">
        <w:rPr>
          <w:rFonts w:ascii="Courier New" w:hAnsi="Courier New" w:cs="Courier New"/>
          <w:sz w:val="21"/>
          <w:szCs w:val="21"/>
        </w:rPr>
        <w:t xml:space="preserve"> Installer. </w:t>
      </w:r>
    </w:p>
    <w:p w:rsidR="00D60AE1" w:rsidRPr="003A7A1F" w:rsidRDefault="00AF0C96" w:rsidP="003A7A1F">
      <w:pPr>
        <w:jc w:val="both"/>
        <w:rPr>
          <w:rFonts w:ascii="Courier New" w:hAnsi="Courier New" w:cs="Courier New"/>
          <w:sz w:val="21"/>
          <w:szCs w:val="21"/>
        </w:rPr>
      </w:pPr>
      <w:r w:rsidRPr="003A7A1F">
        <w:rPr>
          <w:rFonts w:ascii="Courier New" w:hAnsi="Courier New" w:cs="Courier New"/>
          <w:b/>
          <w:sz w:val="21"/>
          <w:szCs w:val="21"/>
        </w:rPr>
        <w:t>Required Software:</w:t>
      </w:r>
      <w:r w:rsidRPr="003A7A1F">
        <w:rPr>
          <w:rFonts w:ascii="Courier New" w:hAnsi="Courier New" w:cs="Courier New"/>
          <w:sz w:val="21"/>
          <w:szCs w:val="21"/>
        </w:rPr>
        <w:t xml:space="preserve">  The Bioinformatics Toolbox software requires the following </w:t>
      </w:r>
      <w:proofErr w:type="spellStart"/>
      <w:r w:rsidRPr="003A7A1F">
        <w:rPr>
          <w:rFonts w:ascii="Courier New" w:hAnsi="Courier New" w:cs="Courier New"/>
          <w:sz w:val="21"/>
          <w:szCs w:val="21"/>
        </w:rPr>
        <w:t>MathWorks</w:t>
      </w:r>
      <w:proofErr w:type="spellEnd"/>
      <w:r w:rsidRPr="003A7A1F">
        <w:rPr>
          <w:rFonts w:ascii="Courier New" w:hAnsi="Courier New" w:cs="Courier New"/>
          <w:sz w:val="21"/>
          <w:szCs w:val="21"/>
        </w:rPr>
        <w:t xml:space="preserve"> products to be installed on your computer.</w:t>
      </w:r>
    </w:p>
    <w:p w:rsidR="00D60AE1" w:rsidRPr="003A7A1F" w:rsidRDefault="00AF0C96" w:rsidP="003A7A1F">
      <w:pPr>
        <w:jc w:val="both"/>
        <w:rPr>
          <w:rFonts w:ascii="Courier New" w:hAnsi="Courier New" w:cs="Courier New"/>
          <w:sz w:val="21"/>
          <w:szCs w:val="21"/>
        </w:rPr>
      </w:pPr>
      <w:r w:rsidRPr="003A7A1F">
        <w:rPr>
          <w:rFonts w:ascii="Courier New" w:hAnsi="Courier New" w:cs="Courier New"/>
          <w:noProof/>
          <w:sz w:val="21"/>
          <w:szCs w:val="21"/>
        </w:rPr>
        <w:drawing>
          <wp:inline distT="0" distB="0" distL="0" distR="0">
            <wp:extent cx="5305425" cy="1905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05425" cy="1905000"/>
                    </a:xfrm>
                    <a:prstGeom prst="rect">
                      <a:avLst/>
                    </a:prstGeom>
                    <a:noFill/>
                    <a:ln w="9525">
                      <a:noFill/>
                      <a:miter lim="800000"/>
                      <a:headEnd/>
                      <a:tailEnd/>
                    </a:ln>
                  </pic:spPr>
                </pic:pic>
              </a:graphicData>
            </a:graphic>
          </wp:inline>
        </w:drawing>
      </w:r>
    </w:p>
    <w:p w:rsidR="00D60AE1" w:rsidRPr="003A7A1F" w:rsidRDefault="00D60AE1" w:rsidP="003A7A1F">
      <w:pPr>
        <w:jc w:val="both"/>
        <w:rPr>
          <w:rFonts w:ascii="Courier New" w:hAnsi="Courier New" w:cs="Courier New"/>
          <w:sz w:val="21"/>
          <w:szCs w:val="21"/>
        </w:rPr>
      </w:pPr>
    </w:p>
    <w:p w:rsidR="00D60AE1" w:rsidRPr="003A7A1F" w:rsidRDefault="00AF0C96" w:rsidP="003A7A1F">
      <w:pPr>
        <w:jc w:val="both"/>
        <w:rPr>
          <w:rFonts w:ascii="Courier New" w:hAnsi="Courier New" w:cs="Courier New"/>
          <w:sz w:val="21"/>
          <w:szCs w:val="21"/>
        </w:rPr>
      </w:pPr>
      <w:r w:rsidRPr="003A7A1F">
        <w:rPr>
          <w:rFonts w:ascii="Courier New" w:hAnsi="Courier New" w:cs="Courier New"/>
          <w:b/>
          <w:sz w:val="21"/>
          <w:szCs w:val="21"/>
        </w:rPr>
        <w:t xml:space="preserve">Optional Software: </w:t>
      </w:r>
      <w:r w:rsidRPr="003A7A1F">
        <w:rPr>
          <w:rFonts w:ascii="Courier New" w:hAnsi="Courier New" w:cs="Courier New"/>
          <w:sz w:val="21"/>
          <w:szCs w:val="21"/>
        </w:rPr>
        <w:t>Using the Bioinformatics Toolbox software with other MATLAB toolboxes and products will allow you to do advanced algorithm development and solve multidisciplinary problems.   MATLAB and the Bioinformatics Toolbox software environment is open and extensible. In this environment you can interactively explore ideas, prototype new algorithms, and develop complete solutions to problems in bioinformatics. MATLAB facilitates computation, visualization, prototyping, and deployment.</w:t>
      </w:r>
    </w:p>
    <w:p w:rsidR="00D60AE1" w:rsidRPr="003A7A1F" w:rsidRDefault="00AF0C96" w:rsidP="003A7A1F">
      <w:pPr>
        <w:jc w:val="both"/>
        <w:rPr>
          <w:rFonts w:ascii="Courier New" w:hAnsi="Courier New" w:cs="Courier New"/>
          <w:sz w:val="21"/>
          <w:szCs w:val="21"/>
        </w:rPr>
      </w:pPr>
      <w:r w:rsidRPr="003A7A1F">
        <w:rPr>
          <w:rFonts w:ascii="Courier New" w:hAnsi="Courier New" w:cs="Courier New"/>
          <w:noProof/>
          <w:sz w:val="21"/>
          <w:szCs w:val="21"/>
        </w:rPr>
        <w:lastRenderedPageBreak/>
        <w:drawing>
          <wp:inline distT="0" distB="0" distL="0" distR="0" wp14:anchorId="5A28695B" wp14:editId="5B5EABF0">
            <wp:extent cx="5295900" cy="6667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95900" cy="6667500"/>
                    </a:xfrm>
                    <a:prstGeom prst="rect">
                      <a:avLst/>
                    </a:prstGeom>
                    <a:noFill/>
                    <a:ln w="9525">
                      <a:noFill/>
                      <a:miter lim="800000"/>
                      <a:headEnd/>
                      <a:tailEnd/>
                    </a:ln>
                  </pic:spPr>
                </pic:pic>
              </a:graphicData>
            </a:graphic>
          </wp:inline>
        </w:drawing>
      </w:r>
    </w:p>
    <w:sectPr w:rsidR="00D60AE1" w:rsidRPr="003A7A1F" w:rsidSect="00202FD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E276C"/>
    <w:rsid w:val="003A7A1F"/>
    <w:rsid w:val="00684E51"/>
    <w:rsid w:val="00985C43"/>
    <w:rsid w:val="009E1A5F"/>
    <w:rsid w:val="009E6B1C"/>
    <w:rsid w:val="00AF0C96"/>
    <w:rsid w:val="00D6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51"/>
  </w:style>
  <w:style w:type="paragraph" w:styleId="Heading3">
    <w:name w:val="heading 3"/>
    <w:basedOn w:val="Normal"/>
    <w:link w:val="Heading3Char"/>
    <w:uiPriority w:val="9"/>
    <w:qFormat/>
    <w:rsid w:val="000E2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2F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2FDA"/>
    <w:rPr>
      <w:rFonts w:ascii="Consolas" w:hAnsi="Consolas"/>
      <w:sz w:val="21"/>
      <w:szCs w:val="21"/>
    </w:rPr>
  </w:style>
  <w:style w:type="character" w:customStyle="1" w:styleId="Heading3Char">
    <w:name w:val="Heading 3 Char"/>
    <w:basedOn w:val="DefaultParagraphFont"/>
    <w:link w:val="Heading3"/>
    <w:uiPriority w:val="9"/>
    <w:rsid w:val="000E2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2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76C"/>
    <w:rPr>
      <w:color w:val="0000FF"/>
      <w:u w:val="single"/>
    </w:rPr>
  </w:style>
  <w:style w:type="paragraph" w:styleId="BalloonText">
    <w:name w:val="Balloon Text"/>
    <w:basedOn w:val="Normal"/>
    <w:link w:val="BalloonTextChar"/>
    <w:uiPriority w:val="99"/>
    <w:semiHidden/>
    <w:unhideWhenUsed/>
    <w:rsid w:val="00AF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C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771961">
      <w:bodyDiv w:val="1"/>
      <w:marLeft w:val="0"/>
      <w:marRight w:val="0"/>
      <w:marTop w:val="0"/>
      <w:marBottom w:val="0"/>
      <w:divBdr>
        <w:top w:val="none" w:sz="0" w:space="0" w:color="auto"/>
        <w:left w:val="none" w:sz="0" w:space="0" w:color="auto"/>
        <w:bottom w:val="none" w:sz="0" w:space="0" w:color="auto"/>
        <w:right w:val="none" w:sz="0" w:space="0" w:color="auto"/>
      </w:divBdr>
      <w:divsChild>
        <w:div w:id="1850481103">
          <w:marLeft w:val="-225"/>
          <w:marRight w:val="-225"/>
          <w:marTop w:val="0"/>
          <w:marBottom w:val="0"/>
          <w:divBdr>
            <w:top w:val="none" w:sz="0" w:space="0" w:color="auto"/>
            <w:left w:val="none" w:sz="0" w:space="0" w:color="auto"/>
            <w:bottom w:val="none" w:sz="0" w:space="0" w:color="auto"/>
            <w:right w:val="none" w:sz="0" w:space="0" w:color="auto"/>
          </w:divBdr>
          <w:divsChild>
            <w:div w:id="9082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bioinfo/structural-analysis.html" TargetMode="External"/><Relationship Id="rId3" Type="http://schemas.openxmlformats.org/officeDocument/2006/relationships/settings" Target="settings.xml"/><Relationship Id="rId7" Type="http://schemas.openxmlformats.org/officeDocument/2006/relationships/hyperlink" Target="http://www.mathworks.com/help/bioinfo/sequence-analysi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thworks.com/help/bioinfo/microarray-analysis.html" TargetMode="External"/><Relationship Id="rId11" Type="http://schemas.openxmlformats.org/officeDocument/2006/relationships/fontTable" Target="fontTable.xml"/><Relationship Id="rId5" Type="http://schemas.openxmlformats.org/officeDocument/2006/relationships/hyperlink" Target="http://www.mathworks.com/help/bioinfo/high-throughput-sequencing.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6</cp:revision>
  <dcterms:created xsi:type="dcterms:W3CDTF">2015-08-01T07:21:00Z</dcterms:created>
  <dcterms:modified xsi:type="dcterms:W3CDTF">2015-11-07T10:56:00Z</dcterms:modified>
</cp:coreProperties>
</file>