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23E8" w14:textId="13A51486" w:rsidR="006A3A9B" w:rsidRPr="00E45121" w:rsidRDefault="006A3A9B" w:rsidP="00335B88">
      <w:pPr>
        <w:pStyle w:val="Title"/>
      </w:pPr>
      <w:r w:rsidRPr="00E45121">
        <w:t xml:space="preserve">Reducing Chinook Salmon </w:t>
      </w:r>
      <w:r>
        <w:t>Bycatch</w:t>
      </w:r>
      <w:r w:rsidRPr="00E45121">
        <w:t xml:space="preserve"> with Market-Based Incentives: </w:t>
      </w:r>
      <w:r>
        <w:t xml:space="preserve">Individual </w:t>
      </w:r>
      <w:r w:rsidRPr="00E45121">
        <w:t>Tradable Encounter Credits</w:t>
      </w:r>
    </w:p>
    <w:p w14:paraId="6F78230E" w14:textId="7C1E83B7" w:rsidR="0065374C" w:rsidRDefault="0065374C"/>
    <w:p w14:paraId="6EE5B29D" w14:textId="649C3B6B" w:rsidR="006647C8" w:rsidRDefault="00ED6779">
      <w:r>
        <w:t>George Sugihara</w:t>
      </w:r>
      <w:r w:rsidR="0052574E" w:rsidRPr="0052574E">
        <w:rPr>
          <w:vertAlign w:val="superscript"/>
        </w:rPr>
        <w:t>1</w:t>
      </w:r>
      <w:r w:rsidR="0052574E">
        <w:rPr>
          <w:vertAlign w:val="superscript"/>
        </w:rPr>
        <w:t>,</w:t>
      </w:r>
      <w:r w:rsidR="00376B19" w:rsidRPr="00376B19">
        <w:rPr>
          <w:vertAlign w:val="superscript"/>
        </w:rPr>
        <w:t>*</w:t>
      </w:r>
      <w:r>
        <w:t xml:space="preserve"> </w:t>
      </w:r>
      <w:r w:rsidR="006A3A9B">
        <w:t>&amp; Hao Ye</w:t>
      </w:r>
      <w:r w:rsidR="0052574E" w:rsidRPr="0052574E">
        <w:rPr>
          <w:vertAlign w:val="superscript"/>
        </w:rPr>
        <w:t>1</w:t>
      </w:r>
    </w:p>
    <w:p w14:paraId="7D022BD7" w14:textId="2CBF8F6F" w:rsidR="00376B19" w:rsidRDefault="00376B19"/>
    <w:p w14:paraId="7C34A144" w14:textId="4508092D" w:rsidR="0052574E" w:rsidRPr="0052574E" w:rsidRDefault="0052574E">
      <w:r w:rsidRPr="0052574E">
        <w:rPr>
          <w:vertAlign w:val="superscript"/>
        </w:rPr>
        <w:t>1</w:t>
      </w:r>
      <w:r>
        <w:t xml:space="preserve"> Scripps Institution of Oceanography</w:t>
      </w:r>
      <w:r w:rsidR="00FC3087">
        <w:t xml:space="preserve">, </w:t>
      </w:r>
      <w:r>
        <w:t>University of California San Diego</w:t>
      </w:r>
    </w:p>
    <w:p w14:paraId="3CAE0CFA" w14:textId="06ADFB76" w:rsidR="0052574E" w:rsidRPr="0052574E" w:rsidRDefault="0052574E"/>
    <w:p w14:paraId="5758CC38" w14:textId="77777777" w:rsidR="00376B19" w:rsidRPr="0052574E" w:rsidRDefault="00376B19">
      <w:r w:rsidRPr="0052574E">
        <w:rPr>
          <w:vertAlign w:val="superscript"/>
        </w:rPr>
        <w:t>*</w:t>
      </w:r>
      <w:r w:rsidRPr="0052574E">
        <w:t xml:space="preserve"> corresponding author</w:t>
      </w:r>
    </w:p>
    <w:p w14:paraId="049F5697" w14:textId="53252C02" w:rsidR="00376B19" w:rsidRPr="00376B19" w:rsidRDefault="00376B19" w:rsidP="00376B19">
      <w:r>
        <w:t xml:space="preserve">email: </w:t>
      </w:r>
      <w:r w:rsidRPr="00376B19">
        <w:t>gsugihara@ucsd.edu</w:t>
      </w:r>
    </w:p>
    <w:p w14:paraId="6FC994F3" w14:textId="7931D3C1" w:rsidR="00376B19" w:rsidRDefault="00376B19" w:rsidP="00376B19"/>
    <w:p w14:paraId="23643407" w14:textId="1334CFC1" w:rsidR="00376B19" w:rsidRPr="00376B19" w:rsidRDefault="00376B19" w:rsidP="00376B19">
      <w:r w:rsidRPr="00376B19">
        <w:t>University of California San Diego</w:t>
      </w:r>
    </w:p>
    <w:p w14:paraId="562CACDC" w14:textId="70D3287A" w:rsidR="006647C8" w:rsidRPr="00376B19" w:rsidRDefault="006647C8">
      <w:r w:rsidRPr="00376B19">
        <w:t>Scripps Institution of Oceanography</w:t>
      </w:r>
    </w:p>
    <w:p w14:paraId="0AF0563B" w14:textId="77777777" w:rsidR="0065374C" w:rsidRPr="00376B19" w:rsidRDefault="00376B19">
      <w:r w:rsidRPr="00376B19">
        <w:t>9500 Gilman Drive #0202</w:t>
      </w:r>
    </w:p>
    <w:p w14:paraId="4128D4E6" w14:textId="7EEE9975" w:rsidR="00376B19" w:rsidRPr="00376B19" w:rsidRDefault="00376B19">
      <w:r w:rsidRPr="00376B19">
        <w:t>La Jolla CA 92093-0202</w:t>
      </w:r>
    </w:p>
    <w:p w14:paraId="567C4FA0" w14:textId="5BFDFEFC" w:rsidR="00376B19" w:rsidRDefault="00376B19"/>
    <w:p w14:paraId="7A077F51" w14:textId="3784BAD2" w:rsidR="00376B19" w:rsidRDefault="00335B88" w:rsidP="00335B88">
      <w:pPr>
        <w:pStyle w:val="Heading1"/>
      </w:pPr>
      <w:r>
        <w:t>Abstract</w:t>
      </w:r>
    </w:p>
    <w:p w14:paraId="141DF77D" w14:textId="69D29E53" w:rsidR="00D55741" w:rsidRPr="00D55741" w:rsidRDefault="007E12B2" w:rsidP="00D55741">
      <w:pPr>
        <w:rPr>
          <w:lang w:bidi="en-US"/>
        </w:rPr>
      </w:pPr>
      <w:r>
        <w:t>Despite</w:t>
      </w:r>
      <w:r w:rsidR="007A6D6B">
        <w:t xml:space="preserve"> popular appeal</w:t>
      </w:r>
      <w:r w:rsidR="00EC77F0">
        <w:t>, m</w:t>
      </w:r>
      <w:r w:rsidR="006647C8">
        <w:t>anaging fishery bycatch with restrictiv</w:t>
      </w:r>
      <w:r w:rsidR="00944827">
        <w:t>e hard</w:t>
      </w:r>
      <w:r w:rsidR="00335B88">
        <w:t xml:space="preserve"> </w:t>
      </w:r>
      <w:r w:rsidR="00944827">
        <w:t>caps</w:t>
      </w:r>
      <w:r w:rsidR="00FC4D2E">
        <w:t xml:space="preserve"> </w:t>
      </w:r>
      <w:r w:rsidR="007A6D6B">
        <w:t>is a</w:t>
      </w:r>
      <w:r w:rsidR="00376874">
        <w:t xml:space="preserve"> </w:t>
      </w:r>
      <w:r w:rsidR="006E2DFB">
        <w:t xml:space="preserve">strategy that </w:t>
      </w:r>
      <w:r w:rsidR="00FC4D2E">
        <w:t>can produce</w:t>
      </w:r>
      <w:r w:rsidR="006E2DFB">
        <w:t xml:space="preserve"> </w:t>
      </w:r>
      <w:r w:rsidR="007B7714">
        <w:t xml:space="preserve">unexpected </w:t>
      </w:r>
      <w:r w:rsidR="006E2DFB">
        <w:t>negative outcomes</w:t>
      </w:r>
      <w:r w:rsidR="00944827">
        <w:t xml:space="preserve"> (such as</w:t>
      </w:r>
      <w:r w:rsidR="007B7714">
        <w:t xml:space="preserve"> the race for</w:t>
      </w:r>
      <w:r w:rsidR="006647C8">
        <w:t xml:space="preserve"> tur</w:t>
      </w:r>
      <w:r w:rsidR="00FC4D2E">
        <w:t xml:space="preserve">tle bycatch seen in </w:t>
      </w:r>
      <w:r w:rsidR="00944827">
        <w:t>the Hawaiian swordfish fleet</w:t>
      </w:r>
      <w:r w:rsidR="00EC7D08">
        <w:t xml:space="preserve"> in 2006</w:t>
      </w:r>
      <w:r w:rsidR="00944827">
        <w:t>). This is particularly true when the prohibited species catch exhibits wide variation in numbers</w:t>
      </w:r>
      <w:r w:rsidR="006E2DFB">
        <w:t xml:space="preserve"> from year to year</w:t>
      </w:r>
      <w:r w:rsidR="00944827">
        <w:t xml:space="preserve"> as with </w:t>
      </w:r>
      <w:r w:rsidR="00335B88">
        <w:t>Chinook salmon bycatch in the Be</w:t>
      </w:r>
      <w:r w:rsidR="00944827">
        <w:t xml:space="preserve">ring Sea </w:t>
      </w:r>
      <w:r w:rsidR="00335B88">
        <w:t xml:space="preserve">walleye </w:t>
      </w:r>
      <w:r w:rsidR="00944827">
        <w:t>pollock</w:t>
      </w:r>
      <w:r w:rsidR="006E2DFB">
        <w:t xml:space="preserve"> fishery. In this case</w:t>
      </w:r>
      <w:r w:rsidR="007B7714">
        <w:t>,</w:t>
      </w:r>
      <w:r w:rsidR="006E2DFB">
        <w:t xml:space="preserve"> the</w:t>
      </w:r>
      <w:r w:rsidR="00050C1F">
        <w:t xml:space="preserve"> fundamental</w:t>
      </w:r>
      <w:r>
        <w:t xml:space="preserve"> weakness of</w:t>
      </w:r>
      <w:r w:rsidR="006E2DFB">
        <w:t xml:space="preserve"> a restrictive</w:t>
      </w:r>
      <w:r w:rsidR="00944827">
        <w:t xml:space="preserve"> hard cap</w:t>
      </w:r>
      <w:r w:rsidR="006E2DFB">
        <w:t xml:space="preserve"> is that it</w:t>
      </w:r>
      <w:r w:rsidR="00142B0C">
        <w:t xml:space="preserve"> </w:t>
      </w:r>
      <w:r w:rsidR="00944827">
        <w:t xml:space="preserve">protects Chinook populations </w:t>
      </w:r>
      <w:r w:rsidR="006E2DFB">
        <w:t xml:space="preserve">exactly </w:t>
      </w:r>
      <w:r w:rsidR="00944827">
        <w:t>when they need it least (whe</w:t>
      </w:r>
      <w:r w:rsidR="006E2DFB">
        <w:t xml:space="preserve">n they are most abundant) and offers no protection when </w:t>
      </w:r>
      <w:r w:rsidR="00335B88">
        <w:t>C</w:t>
      </w:r>
      <w:r w:rsidR="006E2DFB">
        <w:t xml:space="preserve">hinook populations are most vulnerable (when they are least abundant, and encounters are low). </w:t>
      </w:r>
      <w:r w:rsidR="00944827">
        <w:t xml:space="preserve">Though intuitively appealing, such </w:t>
      </w:r>
      <w:r w:rsidR="006E2DFB">
        <w:t xml:space="preserve">simple </w:t>
      </w:r>
      <w:r w:rsidR="00944827">
        <w:t xml:space="preserve">measures </w:t>
      </w:r>
      <w:r w:rsidR="006E2DFB">
        <w:t xml:space="preserve">can actually harm </w:t>
      </w:r>
      <w:r w:rsidR="00FC4D2E">
        <w:t>Chinook salmon</w:t>
      </w:r>
      <w:r w:rsidR="00142B0C">
        <w:t xml:space="preserve"> populations</w:t>
      </w:r>
      <w:r w:rsidR="00FC4D2E">
        <w:t xml:space="preserve"> </w:t>
      </w:r>
      <w:r w:rsidR="007B7714">
        <w:t xml:space="preserve">by </w:t>
      </w:r>
      <w:r w:rsidR="006E2DFB">
        <w:t xml:space="preserve">encouraging </w:t>
      </w:r>
      <w:r w:rsidR="00142B0C">
        <w:t>more careless fishing exactly when encounter rat</w:t>
      </w:r>
      <w:r w:rsidR="007B7714">
        <w:t xml:space="preserve">es should be </w:t>
      </w:r>
      <w:r w:rsidR="002E3BED">
        <w:t>lowest (</w:t>
      </w:r>
      <w:r w:rsidR="00EC7D08">
        <w:t>provoking a higher overall bycatch rate than would occur otherwise</w:t>
      </w:r>
      <w:r w:rsidR="00BB77F3">
        <w:t>).</w:t>
      </w:r>
      <w:r w:rsidR="00142B0C">
        <w:t xml:space="preserve"> </w:t>
      </w:r>
      <w:r w:rsidR="006C0C5A">
        <w:t>They create a mismatch bet</w:t>
      </w:r>
      <w:r w:rsidR="00D55741">
        <w:t xml:space="preserve">ween penalties and infractions. </w:t>
      </w:r>
      <w:r w:rsidR="00D55741" w:rsidRPr="00D55741">
        <w:rPr>
          <w:lang w:val="en-GB"/>
        </w:rPr>
        <w:t>We show that a particular form of individual bycatch quota, the Individual Tradable Encounter Credit (ITEC)</w:t>
      </w:r>
      <w:r w:rsidR="00790D36">
        <w:rPr>
          <w:lang w:val="en-GB"/>
        </w:rPr>
        <w:t xml:space="preserve"> </w:t>
      </w:r>
      <w:r w:rsidR="00D55741">
        <w:rPr>
          <w:lang w:val="en-GB"/>
        </w:rPr>
        <w:t>provid</w:t>
      </w:r>
      <w:r w:rsidR="00790D36">
        <w:rPr>
          <w:lang w:val="en-GB"/>
        </w:rPr>
        <w:t>es</w:t>
      </w:r>
      <w:r w:rsidR="00D55741" w:rsidRPr="00D55741">
        <w:rPr>
          <w:lang w:val="en-GB"/>
        </w:rPr>
        <w:t xml:space="preserve"> an incentive to avoid Chinook salmon bycatch even when the hard cap is not binding, while concurrently minimizing the cost of Chinook salmon avoidance.</w:t>
      </w:r>
    </w:p>
    <w:p w14:paraId="70CBEEBE" w14:textId="70D582A3" w:rsidR="00D55741" w:rsidRDefault="00D55741">
      <w:r>
        <w:br w:type="page"/>
      </w:r>
    </w:p>
    <w:p w14:paraId="246D236B" w14:textId="6447E788" w:rsidR="000F4DA4" w:rsidRDefault="00B529FF" w:rsidP="004130B4">
      <w:pPr>
        <w:pStyle w:val="Heading1"/>
      </w:pPr>
      <w:r>
        <w:lastRenderedPageBreak/>
        <w:t xml:space="preserve">1. </w:t>
      </w:r>
      <w:r w:rsidR="00CD6E30">
        <w:t>Introduction</w:t>
      </w:r>
    </w:p>
    <w:p w14:paraId="420ED15B" w14:textId="26E338E5" w:rsidR="006A3A9B" w:rsidRDefault="006A3A9B" w:rsidP="006A3A9B">
      <w:pPr>
        <w:widowControl w:val="0"/>
        <w:autoSpaceDE w:val="0"/>
        <w:autoSpaceDN w:val="0"/>
        <w:adjustRightInd w:val="0"/>
      </w:pPr>
      <w:r>
        <w:t>Regional pollution credits trading schemes have been shown to provide effective financial incentives to allow industries over time to evolve new behaviors to minimize emissions, and do so with minimal financial stress</w:t>
      </w:r>
      <w:r w:rsidR="00D248F3">
        <w:t xml:space="preserve">. </w:t>
      </w:r>
      <w:r>
        <w:t>A hallmark example is the New England sulfide emissions market, created in 1990 to regulate atmospheric SO</w:t>
      </w:r>
      <w:r>
        <w:rPr>
          <w:vertAlign w:val="subscript"/>
        </w:rPr>
        <w:t>2</w:t>
      </w:r>
      <w:r>
        <w:t xml:space="preserve"> released by the smoke stack power industry (namely coal-burning power plants that contributed to acid rain)</w:t>
      </w:r>
      <w:r w:rsidR="00671026">
        <w:t xml:space="preserve">. </w:t>
      </w:r>
      <w:r w:rsidR="00D248F3">
        <w:t>In this system,</w:t>
      </w:r>
      <w:r>
        <w:t xml:space="preserve"> polluters are able to buy credits from non-polluters to offset their excess emissions allowing the industry to retool gradually without dismantling or taxing the industry externally to drain revenues</w:t>
      </w:r>
      <w:r w:rsidR="00A02FAF">
        <w:t xml:space="preserve">. </w:t>
      </w:r>
      <w:r>
        <w:t xml:space="preserve">Regulators set a cap on emissions and the individual entities are allowed to trade offsets to </w:t>
      </w:r>
      <w:r w:rsidR="006178EB">
        <w:t>stay</w:t>
      </w:r>
      <w:r>
        <w:t xml:space="preserve"> below the cap</w:t>
      </w:r>
      <w:r w:rsidR="00B744A4">
        <w:t xml:space="preserve">. </w:t>
      </w:r>
      <w:r>
        <w:t>Non-polluters are rewarded by collecting revenues from sales of credits while emitters are penalized by buying credits to offset their sulfide emissions</w:t>
      </w:r>
      <w:r w:rsidR="00C27298">
        <w:t xml:space="preserve">. </w:t>
      </w:r>
      <w:r>
        <w:t xml:space="preserve">This market-based system provides </w:t>
      </w:r>
      <w:r w:rsidR="00C27298">
        <w:t xml:space="preserve">incentives to </w:t>
      </w:r>
      <w:r>
        <w:t>individual firm</w:t>
      </w:r>
      <w:r w:rsidR="00C27298">
        <w:t>s</w:t>
      </w:r>
      <w:r>
        <w:t xml:space="preserve"> to dramatically reduce sulfide emissions</w:t>
      </w:r>
      <w:r w:rsidR="00C27298">
        <w:t xml:space="preserve"> for the industry as a whole</w:t>
      </w:r>
      <w:r w:rsidR="00535FE6">
        <w:t>.</w:t>
      </w:r>
      <w:r w:rsidR="00671026">
        <w:t xml:space="preserve"> </w:t>
      </w:r>
      <w:r>
        <w:t>It is estimated that in the first decade the emissions trading system resulted in</w:t>
      </w:r>
      <w:r w:rsidRPr="0062509E">
        <w:t xml:space="preserve"> SO</w:t>
      </w:r>
      <w:r w:rsidRPr="00535FE6">
        <w:rPr>
          <w:vertAlign w:val="subscript"/>
        </w:rPr>
        <w:t>2</w:t>
      </w:r>
      <w:r w:rsidRPr="0062509E">
        <w:t xml:space="preserve"> reductions, totaling a 40% reduction from 1980 </w:t>
      </w:r>
      <w:r w:rsidR="0073488B" w:rsidRPr="0062509E">
        <w:t>levels (</w:t>
      </w:r>
      <w:r w:rsidR="00A4180C">
        <w:t xml:space="preserve">an annual reduction of </w:t>
      </w:r>
      <w:r w:rsidRPr="0062509E">
        <w:t>10 million ton</w:t>
      </w:r>
      <w:r w:rsidR="00A4180C">
        <w:t>s</w:t>
      </w:r>
      <w:r w:rsidRPr="0062509E">
        <w:t>), the largest and most successful program of its kind designed to date</w:t>
      </w:r>
      <w:r w:rsidR="00A4180C">
        <w:t xml:space="preserve">. </w:t>
      </w:r>
      <w:r w:rsidRPr="0062509E">
        <w:t>This market-based incentive system has shown the potential to save up to half of the compliance costs associated with more traditional source-by-source emission limit programs</w:t>
      </w:r>
      <w:r w:rsidR="00A4180C">
        <w:t xml:space="preserve"> (Rico 1995)</w:t>
      </w:r>
      <w:r w:rsidRPr="0062509E">
        <w:t>.</w:t>
      </w:r>
      <w:r w:rsidR="0063556E">
        <w:t xml:space="preserve"> In general</w:t>
      </w:r>
      <w:r w:rsidR="00A4180C">
        <w:t>,</w:t>
      </w:r>
      <w:r w:rsidR="0063556E">
        <w:t xml:space="preserve"> o</w:t>
      </w:r>
      <w:r w:rsidR="00623998">
        <w:t>pen market-incentive systems can be</w:t>
      </w:r>
      <w:r w:rsidR="0063556E">
        <w:t xml:space="preserve"> relatively inexpensive to implement and enforc</w:t>
      </w:r>
      <w:r w:rsidR="00162171">
        <w:t xml:space="preserve">e, </w:t>
      </w:r>
      <w:r w:rsidR="00A04C65">
        <w:t xml:space="preserve">in part </w:t>
      </w:r>
      <w:r w:rsidR="00162171">
        <w:t>because</w:t>
      </w:r>
      <w:r w:rsidR="00DB4BBD">
        <w:t xml:space="preserve"> as a</w:t>
      </w:r>
      <w:r w:rsidR="00A4180C">
        <w:t xml:space="preserve"> many-</w:t>
      </w:r>
      <w:r w:rsidR="00DB4BBD">
        <w:t>player game, they</w:t>
      </w:r>
      <w:r w:rsidR="00623998">
        <w:t xml:space="preserve"> are not</w:t>
      </w:r>
      <w:r w:rsidR="00A04C65">
        <w:t xml:space="preserve"> easily manipulated.</w:t>
      </w:r>
    </w:p>
    <w:p w14:paraId="4D826002" w14:textId="77777777" w:rsidR="006A3A9B" w:rsidRDefault="006A3A9B"/>
    <w:p w14:paraId="1DA9FF4D" w14:textId="706C5FA4" w:rsidR="00B672D0" w:rsidRDefault="006A3A9B">
      <w:r>
        <w:t xml:space="preserve">Here we will examine a new market-incentive system to reduce </w:t>
      </w:r>
      <w:r w:rsidR="00BD5F36">
        <w:t>Chinook</w:t>
      </w:r>
      <w:r>
        <w:t xml:space="preserve"> salmon bycatch that is</w:t>
      </w:r>
      <w:bookmarkStart w:id="0" w:name="_GoBack"/>
      <w:bookmarkEnd w:id="0"/>
      <w:r>
        <w:t xml:space="preserve"> analogous to the</w:t>
      </w:r>
      <w:r w:rsidR="007F0365">
        <w:t xml:space="preserve"> sulfide offsets trading scheme</w:t>
      </w:r>
      <w:r w:rsidR="00992C2F">
        <w:t xml:space="preserve">, </w:t>
      </w:r>
      <w:r>
        <w:t>in its use of credits trading to create</w:t>
      </w:r>
      <w:r w:rsidR="00992C2F">
        <w:t xml:space="preserve"> </w:t>
      </w:r>
      <w:r w:rsidR="00992C2F" w:rsidRPr="005D2DBA">
        <w:rPr>
          <w:i/>
        </w:rPr>
        <w:t>short-term</w:t>
      </w:r>
      <w:r>
        <w:t xml:space="preserve"> </w:t>
      </w:r>
      <w:r w:rsidR="008F0B52" w:rsidRPr="008F0B52">
        <w:rPr>
          <w:i/>
        </w:rPr>
        <w:t>incentives</w:t>
      </w:r>
      <w:r w:rsidR="008F0B52">
        <w:t xml:space="preserve"> for </w:t>
      </w:r>
      <w:r>
        <w:t>individual vessel</w:t>
      </w:r>
      <w:r w:rsidR="008F0B52">
        <w:t>s</w:t>
      </w:r>
      <w:r>
        <w:t xml:space="preserve"> to reduce </w:t>
      </w:r>
      <w:r w:rsidR="00BD5F36">
        <w:t>Chinook</w:t>
      </w:r>
      <w:r>
        <w:t xml:space="preserve"> encounter rates</w:t>
      </w:r>
      <w:r w:rsidR="00A4180C">
        <w:t xml:space="preserve"> (the rate at which Chinook bycatch occurs relative to pollock catch)</w:t>
      </w:r>
      <w:r w:rsidR="00671026">
        <w:t xml:space="preserve">. </w:t>
      </w:r>
      <w:r w:rsidR="00842E2F">
        <w:t>M</w:t>
      </w:r>
      <w:r w:rsidR="00AD320A">
        <w:t>ore significant</w:t>
      </w:r>
      <w:r w:rsidR="00992C2F">
        <w:t xml:space="preserve"> individual</w:t>
      </w:r>
      <w:r w:rsidR="00AD320A">
        <w:t xml:space="preserve"> inc</w:t>
      </w:r>
      <w:r w:rsidR="00992C2F">
        <w:t xml:space="preserve">entives of this </w:t>
      </w:r>
      <w:r w:rsidR="00A4180C">
        <w:t>p</w:t>
      </w:r>
      <w:r w:rsidR="00992C2F">
        <w:t>lan come from an annual allocation scheme</w:t>
      </w:r>
      <w:r>
        <w:t xml:space="preserve"> for credits (individual tradable encounter credits or ITEC) that creates </w:t>
      </w:r>
      <w:r>
        <w:rPr>
          <w:i/>
        </w:rPr>
        <w:t>long</w:t>
      </w:r>
      <w:r w:rsidR="006A37CD">
        <w:rPr>
          <w:i/>
        </w:rPr>
        <w:t>-</w:t>
      </w:r>
      <w:r>
        <w:rPr>
          <w:i/>
        </w:rPr>
        <w:t>term</w:t>
      </w:r>
      <w:r>
        <w:t xml:space="preserve"> </w:t>
      </w:r>
      <w:r w:rsidRPr="004276A1">
        <w:rPr>
          <w:i/>
        </w:rPr>
        <w:t>accountability</w:t>
      </w:r>
      <w:r>
        <w:t xml:space="preserve"> for current behavior or “insurance-like” incentives to reduce bycatch</w:t>
      </w:r>
      <w:r w:rsidR="006A2516">
        <w:t xml:space="preserve">. </w:t>
      </w:r>
      <w:r>
        <w:t>These allocation incentives promote responsible behavior, are cumulative</w:t>
      </w:r>
      <w:r w:rsidR="0073488B">
        <w:t>,</w:t>
      </w:r>
      <w:r>
        <w:t xml:space="preserve"> and </w:t>
      </w:r>
      <w:r w:rsidR="005D2DBA">
        <w:t>as required by the C-2 Motion</w:t>
      </w:r>
      <w:r w:rsidR="004856D8">
        <w:t xml:space="preserve"> they </w:t>
      </w:r>
      <w:r>
        <w:t>operate at all levels of salmon encounter</w:t>
      </w:r>
      <w:r w:rsidR="006A2516">
        <w:t xml:space="preserve">. </w:t>
      </w:r>
      <w:r w:rsidR="008426E5">
        <w:t>Most significantly</w:t>
      </w:r>
      <w:r w:rsidR="004856D8">
        <w:t>, the</w:t>
      </w:r>
      <w:r w:rsidR="00E84717">
        <w:t xml:space="preserve"> </w:t>
      </w:r>
      <w:r w:rsidR="0073488B">
        <w:t>incentives for byca</w:t>
      </w:r>
      <w:r>
        <w:t xml:space="preserve">tch avoidance </w:t>
      </w:r>
      <w:r w:rsidR="00AB1210">
        <w:t xml:space="preserve">created </w:t>
      </w:r>
      <w:r w:rsidR="0073488B">
        <w:t>are strongest at low level</w:t>
      </w:r>
      <w:r w:rsidR="004856D8">
        <w:t>s</w:t>
      </w:r>
      <w:r w:rsidR="0073488B">
        <w:t xml:space="preserve"> of salmon encounter</w:t>
      </w:r>
      <w:r w:rsidR="00DE440A">
        <w:t xml:space="preserve">: </w:t>
      </w:r>
      <w:r w:rsidR="008426E5">
        <w:t>times when Chinook populations may be most vulnerable</w:t>
      </w:r>
      <w:r w:rsidR="00E5263C">
        <w:t>.</w:t>
      </w:r>
    </w:p>
    <w:p w14:paraId="1DB3E6E5" w14:textId="77777777" w:rsidR="00B672D0" w:rsidRDefault="00B672D0"/>
    <w:p w14:paraId="19ADA254" w14:textId="3A7A94BA" w:rsidR="00987B17" w:rsidRDefault="004856D8">
      <w:r>
        <w:t>In effect, a</w:t>
      </w:r>
      <w:r w:rsidR="006A3A9B">
        <w:t xml:space="preserve">voiding bycatch in low encounter years </w:t>
      </w:r>
      <w:r w:rsidR="00B672D0">
        <w:t xml:space="preserve">enhances a vessel’s subsequent ITEC allocations and </w:t>
      </w:r>
      <w:r w:rsidR="006A3A9B">
        <w:t xml:space="preserve">creates “insurance” for moderate-to-high-encounter years when credits </w:t>
      </w:r>
      <w:r w:rsidR="00623998">
        <w:t>may otherwise be unavailable; times</w:t>
      </w:r>
      <w:r w:rsidR="00DE440A">
        <w:t xml:space="preserve"> </w:t>
      </w:r>
      <w:r w:rsidR="006A3A9B">
        <w:t xml:space="preserve">when many vessels would otherwise deplete their encounter credits before they can fully harvest their </w:t>
      </w:r>
      <w:r w:rsidR="008F0B52">
        <w:t>share of the pollock</w:t>
      </w:r>
      <w:r w:rsidR="006A3A9B">
        <w:t xml:space="preserve"> </w:t>
      </w:r>
      <w:r w:rsidR="008F0B52">
        <w:t>catch</w:t>
      </w:r>
      <w:r w:rsidR="00671026">
        <w:t xml:space="preserve">. </w:t>
      </w:r>
      <w:r w:rsidR="006A3A9B">
        <w:t>With this allocation scheme, the financial benefits of having additional encounter credits can be considerable</w:t>
      </w:r>
      <w:r w:rsidR="008B2328">
        <w:t xml:space="preserve">, and </w:t>
      </w:r>
      <w:r w:rsidR="00B672D0">
        <w:t>the costs of having a reduced ITEC allocation can be high.</w:t>
      </w:r>
    </w:p>
    <w:p w14:paraId="353940C4" w14:textId="77777777" w:rsidR="00987B17" w:rsidRDefault="00987B17"/>
    <w:p w14:paraId="70766748" w14:textId="5852CB59" w:rsidR="006A3A9B" w:rsidRDefault="00524B76">
      <w:r>
        <w:t>O</w:t>
      </w:r>
      <w:r w:rsidR="00AC4644">
        <w:t>ne of the</w:t>
      </w:r>
      <w:r w:rsidR="00950B76">
        <w:t xml:space="preserve"> more interesting things we fin</w:t>
      </w:r>
      <w:r w:rsidR="00AC4644">
        <w:t xml:space="preserve">d is that even without any incentives operating in the historical data, the </w:t>
      </w:r>
      <w:r w:rsidR="00950B76">
        <w:t xml:space="preserve">ITEC </w:t>
      </w:r>
      <w:r w:rsidR="00AC4644">
        <w:t xml:space="preserve">reallocation scheme </w:t>
      </w:r>
      <w:r w:rsidR="00950B76">
        <w:t xml:space="preserve">alone </w:t>
      </w:r>
      <w:r>
        <w:t>actually results</w:t>
      </w:r>
      <w:r w:rsidR="00AC4644">
        <w:t xml:space="preserve"> in lower bycatch and higher</w:t>
      </w:r>
      <w:r w:rsidR="00E876F5">
        <w:t xml:space="preserve"> industry revenues (Figure 6</w:t>
      </w:r>
      <w:r w:rsidR="00950B76">
        <w:t>)</w:t>
      </w:r>
      <w:r w:rsidR="009E335D">
        <w:t xml:space="preserve">. </w:t>
      </w:r>
      <w:r w:rsidR="00950B76">
        <w:t>This occurs because</w:t>
      </w:r>
      <w:r w:rsidR="00AC4644">
        <w:t xml:space="preserve"> </w:t>
      </w:r>
      <w:r w:rsidR="00950B76">
        <w:t>vessels already show some consistency in bycatch behavior (in the historical non-incentivized data), and the allocation scheme tends to move credits away from poor performing ve</w:t>
      </w:r>
      <w:r w:rsidR="009E335D">
        <w:t xml:space="preserve">ssels toward cleaner vessels. </w:t>
      </w:r>
      <w:r w:rsidR="00F61851">
        <w:t>Not surprisingly, m</w:t>
      </w:r>
      <w:r w:rsidR="00950B76">
        <w:t xml:space="preserve">ore </w:t>
      </w:r>
      <w:r w:rsidR="006A3A9B">
        <w:t>dramatic cumulative benefits accrue when the incentives are explicitly acknowledged</w:t>
      </w:r>
      <w:r w:rsidR="00E876F5">
        <w:t xml:space="preserve"> (Figure 9</w:t>
      </w:r>
      <w:r w:rsidR="00950B76">
        <w:t>)</w:t>
      </w:r>
      <w:r w:rsidR="009E335D">
        <w:t xml:space="preserve">. </w:t>
      </w:r>
      <w:r>
        <w:t>Moreover, t</w:t>
      </w:r>
      <w:r w:rsidR="00F61851">
        <w:t xml:space="preserve">he magnitudes of </w:t>
      </w:r>
      <w:r>
        <w:t xml:space="preserve">these incentives and of </w:t>
      </w:r>
      <w:r w:rsidR="00F61851">
        <w:t>the</w:t>
      </w:r>
      <w:r w:rsidR="00D810B3">
        <w:t xml:space="preserve"> consequent bycatch reduction</w:t>
      </w:r>
      <w:r w:rsidR="00F61851">
        <w:t xml:space="preserve"> can be adjusted with monitoring and experimentation to fit </w:t>
      </w:r>
      <w:r>
        <w:t>most reasonable</w:t>
      </w:r>
      <w:r w:rsidR="00F61851">
        <w:t xml:space="preserve"> standard</w:t>
      </w:r>
      <w:r>
        <w:t>s</w:t>
      </w:r>
      <w:r w:rsidR="00F61851">
        <w:t>.</w:t>
      </w:r>
      <w:r w:rsidR="006C3EAC">
        <w:t xml:space="preserve">  Because of the complexities of human </w:t>
      </w:r>
      <w:r>
        <w:t xml:space="preserve">behavior, we believe that </w:t>
      </w:r>
      <w:r w:rsidR="006C3EAC">
        <w:t>the magnitudes of bycatch</w:t>
      </w:r>
      <w:r>
        <w:t xml:space="preserve"> reduction in any plan cannot be</w:t>
      </w:r>
      <w:r w:rsidR="006C3EAC">
        <w:t xml:space="preserve"> determined </w:t>
      </w:r>
      <w:r w:rsidR="006C3EAC" w:rsidRPr="006C3EAC">
        <w:rPr>
          <w:i/>
        </w:rPr>
        <w:t>ex ante</w:t>
      </w:r>
      <w:r w:rsidR="006C3EAC">
        <w:t>, but will require monitoring</w:t>
      </w:r>
      <w:r w:rsidR="00D810B3">
        <w:t xml:space="preserve"> and evaluation.  An advantage (and political liability) of this plan is it</w:t>
      </w:r>
      <w:r w:rsidR="006C3EAC">
        <w:t>s flexibility with regard to parameterizat</w:t>
      </w:r>
      <w:r w:rsidR="00D810B3">
        <w:t>ion</w:t>
      </w:r>
      <w:r>
        <w:t xml:space="preserve"> </w:t>
      </w:r>
      <w:r w:rsidR="00D810B3">
        <w:t xml:space="preserve">to accommodate </w:t>
      </w:r>
      <w:r w:rsidR="006C3EAC">
        <w:t>adjustments</w:t>
      </w:r>
      <w:r>
        <w:t xml:space="preserve"> if</w:t>
      </w:r>
      <w:r w:rsidR="00C84FC5">
        <w:t xml:space="preserve"> necessary</w:t>
      </w:r>
      <w:r w:rsidR="006C3EAC">
        <w:t>.</w:t>
      </w:r>
    </w:p>
    <w:p w14:paraId="09652B52" w14:textId="77777777" w:rsidR="006A3A9B" w:rsidRDefault="006A3A9B"/>
    <w:p w14:paraId="093BAD81" w14:textId="77777777" w:rsidR="00E140C3" w:rsidRDefault="006A3A9B">
      <w:r>
        <w:t xml:space="preserve">This analysis will focus on the Inshore </w:t>
      </w:r>
      <w:r w:rsidR="00335029">
        <w:t>Catcher-Vessel s</w:t>
      </w:r>
      <w:r w:rsidR="001B4E14">
        <w:t>ector using annual</w:t>
      </w:r>
      <w:r>
        <w:t xml:space="preserve"> data on </w:t>
      </w:r>
      <w:r w:rsidR="00BD5F36">
        <w:t>Pollock</w:t>
      </w:r>
      <w:r>
        <w:t xml:space="preserve"> harvests and </w:t>
      </w:r>
      <w:r w:rsidR="00BD5F36">
        <w:t>Chinook</w:t>
      </w:r>
      <w:r>
        <w:t xml:space="preserve"> encounters from 2003-2007, and in part from dai</w:t>
      </w:r>
      <w:r w:rsidR="00D810B3">
        <w:t>ly data from 2000-2007</w:t>
      </w:r>
      <w:r>
        <w:t>.</w:t>
      </w:r>
      <w:r w:rsidR="0020009E">
        <w:t xml:space="preserve"> These data show that </w:t>
      </w:r>
      <w:r w:rsidR="00D810B3">
        <w:t xml:space="preserve">without behavioral changes, </w:t>
      </w:r>
      <w:r w:rsidR="0020009E">
        <w:t>vessels will run out of credits under the PPA hard cap even in low abundance years</w:t>
      </w:r>
      <w:r w:rsidR="00C14C50">
        <w:t xml:space="preserve"> (</w:t>
      </w:r>
      <w:r w:rsidR="00866D32">
        <w:fldChar w:fldCharType="begin"/>
      </w:r>
      <w:r w:rsidR="00C14C50">
        <w:instrText xml:space="preserve"> REF _Ref220714027 \h </w:instrText>
      </w:r>
      <w:r w:rsidR="00866D32">
        <w:fldChar w:fldCharType="separate"/>
      </w:r>
      <w:r w:rsidR="001B0374" w:rsidRPr="00956519">
        <w:t xml:space="preserve">Figure </w:t>
      </w:r>
      <w:r w:rsidR="001B0374">
        <w:rPr>
          <w:bCs/>
          <w:noProof/>
        </w:rPr>
        <w:t>1</w:t>
      </w:r>
      <w:r w:rsidR="00866D32">
        <w:fldChar w:fldCharType="end"/>
      </w:r>
      <w:r w:rsidR="00350EDC">
        <w:t>)</w:t>
      </w:r>
      <w:r w:rsidR="0020009E">
        <w:t>.  If ITEC are expensive or unavailable for sale, the</w:t>
      </w:r>
      <w:r w:rsidR="0020009E" w:rsidRPr="00842E2F">
        <w:t xml:space="preserve"> cost of unfished Pollock due to a shortage of credits can be considerable</w:t>
      </w:r>
      <w:r w:rsidR="007B1F22">
        <w:t xml:space="preserve"> (see pp</w:t>
      </w:r>
      <w:r w:rsidR="00C21770">
        <w:t xml:space="preserve">t </w:t>
      </w:r>
      <w:r w:rsidR="00F04F84">
        <w:t>slides 21 &amp; 22</w:t>
      </w:r>
      <w:r w:rsidR="00E876F5">
        <w:t xml:space="preserve"> and figure 5 &amp; 8</w:t>
      </w:r>
      <w:r w:rsidR="00C21770">
        <w:t>)</w:t>
      </w:r>
      <w:r w:rsidR="001B4E14">
        <w:t xml:space="preserve">.  </w:t>
      </w:r>
      <w:r w:rsidR="001B4E14" w:rsidRPr="00F5173B">
        <w:rPr>
          <w:i/>
        </w:rPr>
        <w:t>Therefore, i</w:t>
      </w:r>
      <w:r w:rsidR="0020009E" w:rsidRPr="00F5173B">
        <w:rPr>
          <w:i/>
        </w:rPr>
        <w:t>n the Recommended Industry Market-Incentive Plan the best position for a vessel owner to be in is to</w:t>
      </w:r>
      <w:r w:rsidR="001B0374">
        <w:rPr>
          <w:i/>
        </w:rPr>
        <w:t xml:space="preserve"> have</w:t>
      </w:r>
      <w:r w:rsidR="004D58DD" w:rsidRPr="00F5173B">
        <w:rPr>
          <w:i/>
        </w:rPr>
        <w:t xml:space="preserve"> sufficient </w:t>
      </w:r>
      <w:r w:rsidR="00ED7777" w:rsidRPr="00F5173B">
        <w:rPr>
          <w:i/>
        </w:rPr>
        <w:t xml:space="preserve">ITEC in </w:t>
      </w:r>
      <w:r w:rsidR="004D58DD" w:rsidRPr="00F5173B">
        <w:rPr>
          <w:i/>
        </w:rPr>
        <w:t>reserve so as to</w:t>
      </w:r>
      <w:r w:rsidR="00E96C98" w:rsidRPr="00F5173B">
        <w:rPr>
          <w:i/>
        </w:rPr>
        <w:t xml:space="preserve"> </w:t>
      </w:r>
      <w:r w:rsidR="0020009E" w:rsidRPr="00F5173B">
        <w:rPr>
          <w:i/>
        </w:rPr>
        <w:t>never have to buy credits</w:t>
      </w:r>
      <w:r w:rsidR="001B4E14" w:rsidRPr="00F5173B">
        <w:rPr>
          <w:i/>
        </w:rPr>
        <w:t>,</w:t>
      </w:r>
      <w:r w:rsidR="0020009E" w:rsidRPr="00F5173B">
        <w:rPr>
          <w:i/>
        </w:rPr>
        <w:t xml:space="preserve"> and have the option of</w:t>
      </w:r>
      <w:r w:rsidR="00E96C98" w:rsidRPr="00F5173B">
        <w:rPr>
          <w:i/>
        </w:rPr>
        <w:t xml:space="preserve"> gaining extra revenue by</w:t>
      </w:r>
      <w:r w:rsidR="0020009E" w:rsidRPr="00F5173B">
        <w:rPr>
          <w:i/>
        </w:rPr>
        <w:t xml:space="preserve"> selli</w:t>
      </w:r>
      <w:r w:rsidR="004D58DD" w:rsidRPr="00F5173B">
        <w:rPr>
          <w:i/>
        </w:rPr>
        <w:t>ng unused credits</w:t>
      </w:r>
      <w:r w:rsidR="0020009E" w:rsidRPr="00F5173B">
        <w:rPr>
          <w:i/>
        </w:rPr>
        <w:t>.</w:t>
      </w:r>
      <w:r w:rsidR="001B4E14">
        <w:t xml:space="preserve">  These aims can be accomplished with bycatch avoidance.</w:t>
      </w:r>
    </w:p>
    <w:p w14:paraId="517BD0A1" w14:textId="77777777" w:rsidR="00031D73" w:rsidRDefault="00031D73" w:rsidP="00ED0D55"/>
    <w:p w14:paraId="15FF951F" w14:textId="77777777" w:rsidR="00031D73" w:rsidRDefault="000778CB" w:rsidP="00ED0D55">
      <w:r w:rsidRPr="000778CB">
        <w:rPr>
          <w:noProof/>
        </w:rPr>
        <w:drawing>
          <wp:inline distT="0" distB="0" distL="0" distR="0" wp14:anchorId="5201316A" wp14:editId="12D18D3F">
            <wp:extent cx="5486400" cy="3730625"/>
            <wp:effectExtent l="0" t="0" r="0" b="0"/>
            <wp:docPr id="30" name="C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9087791" w14:textId="77777777" w:rsidR="00FE2FB5" w:rsidRDefault="00F86CFC" w:rsidP="00F86CFC">
      <w:pPr>
        <w:pStyle w:val="Caption"/>
        <w:ind w:left="720"/>
        <w:rPr>
          <w:b w:val="0"/>
          <w:bCs w:val="0"/>
          <w:sz w:val="24"/>
        </w:rPr>
      </w:pPr>
      <w:bookmarkStart w:id="1" w:name="_Ref220714027"/>
      <w:r w:rsidRPr="00956519">
        <w:rPr>
          <w:bCs w:val="0"/>
          <w:sz w:val="24"/>
        </w:rPr>
        <w:t xml:space="preserve">Figure </w:t>
      </w:r>
      <w:r w:rsidR="00866D32" w:rsidRPr="00956519">
        <w:rPr>
          <w:bCs w:val="0"/>
          <w:sz w:val="24"/>
        </w:rPr>
        <w:fldChar w:fldCharType="begin"/>
      </w:r>
      <w:r w:rsidRPr="00956519">
        <w:rPr>
          <w:bCs w:val="0"/>
          <w:sz w:val="24"/>
        </w:rPr>
        <w:instrText xml:space="preserve"> SEQ Figure \* ARABIC </w:instrText>
      </w:r>
      <w:r w:rsidR="00866D32" w:rsidRPr="00956519">
        <w:rPr>
          <w:bCs w:val="0"/>
          <w:sz w:val="24"/>
        </w:rPr>
        <w:fldChar w:fldCharType="separate"/>
      </w:r>
      <w:r w:rsidR="001B0374">
        <w:rPr>
          <w:bCs w:val="0"/>
          <w:noProof/>
          <w:sz w:val="24"/>
        </w:rPr>
        <w:t>1</w:t>
      </w:r>
      <w:r w:rsidR="00866D32" w:rsidRPr="00956519">
        <w:rPr>
          <w:bCs w:val="0"/>
          <w:sz w:val="24"/>
        </w:rPr>
        <w:fldChar w:fldCharType="end"/>
      </w:r>
      <w:bookmarkEnd w:id="1"/>
      <w:r>
        <w:rPr>
          <w:bCs w:val="0"/>
          <w:sz w:val="24"/>
        </w:rPr>
        <w:t xml:space="preserve">.  </w:t>
      </w:r>
      <w:r w:rsidRPr="00ED0D55">
        <w:rPr>
          <w:b w:val="0"/>
          <w:bCs w:val="0"/>
          <w:sz w:val="24"/>
        </w:rPr>
        <w:t xml:space="preserve">Timing and cumulative numbers of vessels in each season that would have run out of encounter credits under the </w:t>
      </w:r>
      <w:r w:rsidR="00C3410C">
        <w:rPr>
          <w:b w:val="0"/>
          <w:bCs w:val="0"/>
          <w:sz w:val="24"/>
        </w:rPr>
        <w:t>PPA hardcap</w:t>
      </w:r>
      <w:r w:rsidR="00647124">
        <w:rPr>
          <w:b w:val="0"/>
          <w:bCs w:val="0"/>
          <w:sz w:val="24"/>
        </w:rPr>
        <w:t xml:space="preserve"> </w:t>
      </w:r>
      <w:r w:rsidR="00CC5997">
        <w:rPr>
          <w:b w:val="0"/>
          <w:bCs w:val="0"/>
          <w:sz w:val="24"/>
        </w:rPr>
        <w:t>with no trading</w:t>
      </w:r>
      <w:r w:rsidR="00F04F84">
        <w:rPr>
          <w:b w:val="0"/>
          <w:bCs w:val="0"/>
          <w:sz w:val="24"/>
        </w:rPr>
        <w:t xml:space="preserve"> and without behavior changes</w:t>
      </w:r>
      <w:r w:rsidR="008F134E">
        <w:rPr>
          <w:b w:val="0"/>
          <w:bCs w:val="0"/>
          <w:sz w:val="24"/>
        </w:rPr>
        <w:t xml:space="preserve">. </w:t>
      </w:r>
      <w:r w:rsidR="00CC5997">
        <w:rPr>
          <w:b w:val="0"/>
          <w:bCs w:val="0"/>
          <w:sz w:val="24"/>
        </w:rPr>
        <w:t xml:space="preserve"> </w:t>
      </w:r>
      <w:r w:rsidR="00647124">
        <w:rPr>
          <w:b w:val="0"/>
          <w:bCs w:val="0"/>
          <w:sz w:val="24"/>
        </w:rPr>
        <w:t xml:space="preserve">(from </w:t>
      </w:r>
      <w:r w:rsidR="000778CB">
        <w:rPr>
          <w:b w:val="0"/>
          <w:bCs w:val="0"/>
          <w:sz w:val="24"/>
        </w:rPr>
        <w:t xml:space="preserve">Inshore sector </w:t>
      </w:r>
      <w:r w:rsidRPr="00ED0D55">
        <w:rPr>
          <w:b w:val="0"/>
          <w:bCs w:val="0"/>
          <w:sz w:val="24"/>
        </w:rPr>
        <w:t>daily data</w:t>
      </w:r>
      <w:r w:rsidR="00F04F84">
        <w:rPr>
          <w:b w:val="0"/>
          <w:bCs w:val="0"/>
          <w:sz w:val="24"/>
        </w:rPr>
        <w:t xml:space="preserve">).  </w:t>
      </w:r>
      <w:r w:rsidR="00D25C76">
        <w:rPr>
          <w:b w:val="0"/>
          <w:bCs w:val="0"/>
          <w:sz w:val="24"/>
        </w:rPr>
        <w:t xml:space="preserve">Note that vessels </w:t>
      </w:r>
      <w:r w:rsidR="00EA2FBB">
        <w:rPr>
          <w:b w:val="0"/>
          <w:bCs w:val="0"/>
          <w:sz w:val="24"/>
        </w:rPr>
        <w:t xml:space="preserve">can </w:t>
      </w:r>
      <w:r w:rsidR="00D25C76">
        <w:rPr>
          <w:b w:val="0"/>
          <w:bCs w:val="0"/>
          <w:sz w:val="24"/>
        </w:rPr>
        <w:t>run out of credits e</w:t>
      </w:r>
      <w:r w:rsidR="00AA184A">
        <w:rPr>
          <w:b w:val="0"/>
          <w:bCs w:val="0"/>
          <w:sz w:val="24"/>
        </w:rPr>
        <w:t xml:space="preserve">ven in </w:t>
      </w:r>
      <w:r w:rsidR="00AA184A" w:rsidRPr="006F37CC">
        <w:rPr>
          <w:b w:val="0"/>
          <w:bCs w:val="0"/>
          <w:sz w:val="24"/>
        </w:rPr>
        <w:t xml:space="preserve">low encounter years </w:t>
      </w:r>
      <w:r w:rsidR="00AA184A">
        <w:rPr>
          <w:b w:val="0"/>
          <w:bCs w:val="0"/>
          <w:sz w:val="24"/>
        </w:rPr>
        <w:t>(e.g. 2002, 20</w:t>
      </w:r>
      <w:r w:rsidR="002A648E">
        <w:rPr>
          <w:b w:val="0"/>
          <w:bCs w:val="0"/>
          <w:sz w:val="24"/>
        </w:rPr>
        <w:t>03).</w:t>
      </w:r>
      <w:r w:rsidR="00CB6E8A">
        <w:rPr>
          <w:b w:val="0"/>
          <w:bCs w:val="0"/>
          <w:sz w:val="24"/>
        </w:rPr>
        <w:t xml:space="preserve"> </w:t>
      </w:r>
    </w:p>
    <w:p w14:paraId="24DFBD16" w14:textId="77777777" w:rsidR="00FE2FB5" w:rsidRDefault="00FE2FB5" w:rsidP="00F86CFC">
      <w:pPr>
        <w:pStyle w:val="Caption"/>
        <w:ind w:left="720"/>
        <w:rPr>
          <w:b w:val="0"/>
          <w:bCs w:val="0"/>
          <w:sz w:val="24"/>
        </w:rPr>
      </w:pPr>
    </w:p>
    <w:p w14:paraId="3665AC71" w14:textId="77777777" w:rsidR="00936519" w:rsidRPr="00F86CFC" w:rsidRDefault="00CB6E8A" w:rsidP="00F86CFC">
      <w:pPr>
        <w:pStyle w:val="Caption"/>
        <w:ind w:left="720"/>
        <w:rPr>
          <w:b w:val="0"/>
          <w:bCs w:val="0"/>
          <w:sz w:val="24"/>
        </w:rPr>
      </w:pPr>
      <w:r>
        <w:rPr>
          <w:b w:val="0"/>
          <w:bCs w:val="0"/>
          <w:sz w:val="24"/>
        </w:rPr>
        <w:t xml:space="preserve">This is </w:t>
      </w:r>
      <w:r w:rsidR="00FE2FB5">
        <w:rPr>
          <w:b w:val="0"/>
          <w:bCs w:val="0"/>
          <w:sz w:val="24"/>
        </w:rPr>
        <w:t xml:space="preserve">clearly </w:t>
      </w:r>
      <w:r w:rsidR="003843A8">
        <w:rPr>
          <w:b w:val="0"/>
          <w:bCs w:val="0"/>
          <w:sz w:val="24"/>
        </w:rPr>
        <w:t>only an</w:t>
      </w:r>
      <w:r>
        <w:rPr>
          <w:b w:val="0"/>
          <w:bCs w:val="0"/>
          <w:sz w:val="24"/>
        </w:rPr>
        <w:t xml:space="preserve"> indication</w:t>
      </w:r>
      <w:r w:rsidR="00FE2FB5">
        <w:rPr>
          <w:b w:val="0"/>
          <w:bCs w:val="0"/>
          <w:sz w:val="24"/>
        </w:rPr>
        <w:t xml:space="preserve"> as it is hard to predict how people would behave with a hard cap in place.  The 2006 experience with Hawaiian Swordfish and turtles produced a race for bycatch. Still the graph is instructive as it gives an indication of what might happen in the neutral case, “with all things being equal.”</w:t>
      </w:r>
    </w:p>
    <w:p w14:paraId="75952E69" w14:textId="77777777" w:rsidR="00936519" w:rsidRDefault="00936519" w:rsidP="00ED0D55"/>
    <w:p w14:paraId="7722574B" w14:textId="77777777" w:rsidR="006A3A9B" w:rsidRPr="00392BD2" w:rsidRDefault="00936519" w:rsidP="00ED0D55">
      <w:pPr>
        <w:rPr>
          <w:sz w:val="28"/>
        </w:rPr>
      </w:pPr>
      <w:r>
        <w:t>I</w:t>
      </w:r>
      <w:r w:rsidR="006A3A9B" w:rsidRPr="00ED0D55">
        <w:t>I</w:t>
      </w:r>
      <w:r w:rsidR="00350EDC">
        <w:t xml:space="preserve">.  </w:t>
      </w:r>
      <w:r w:rsidR="004A7770" w:rsidRPr="004A7770">
        <w:rPr>
          <w:sz w:val="28"/>
        </w:rPr>
        <w:t>Basic Elements of the Plan</w:t>
      </w:r>
    </w:p>
    <w:p w14:paraId="7B7BE0D6" w14:textId="77777777" w:rsidR="006A3A9B" w:rsidRDefault="006A3A9B"/>
    <w:p w14:paraId="5A6D770A" w14:textId="77777777" w:rsidR="006A3A9B" w:rsidRPr="003904C4" w:rsidRDefault="004A7770" w:rsidP="006A3A9B">
      <w:pPr>
        <w:rPr>
          <w:b/>
        </w:rPr>
      </w:pPr>
      <w:r w:rsidRPr="004A7770">
        <w:rPr>
          <w:b/>
        </w:rPr>
        <w:t>1) Initial Sector Allocation:</w:t>
      </w:r>
    </w:p>
    <w:p w14:paraId="347C99DE" w14:textId="77777777" w:rsidR="006A3A9B" w:rsidRDefault="006A3A9B" w:rsidP="00ED0D55"/>
    <w:p w14:paraId="2B27AE52" w14:textId="77777777" w:rsidR="006A3A9B" w:rsidRDefault="006A3A9B" w:rsidP="00ED0D55">
      <w:r>
        <w:t xml:space="preserve">Sectors are given fixed annual allocations of salmon encounter (bycatch) credits (1 ITEC = 1 </w:t>
      </w:r>
      <w:r w:rsidR="00BD5F36">
        <w:t>Chinook</w:t>
      </w:r>
      <w:r>
        <w:t>) in amounts as described in the C-2 motion document under the industry-wide hardcap of 68,392</w:t>
      </w:r>
      <w:r w:rsidR="00671026">
        <w:t xml:space="preserve">.  </w:t>
      </w:r>
      <w:r>
        <w:t>For this analysis, the Inshore Catcher</w:t>
      </w:r>
      <w:r w:rsidR="006274FB">
        <w:t xml:space="preserve">-Vessel </w:t>
      </w:r>
      <w:r>
        <w:t>sector receives 38,059 credits</w:t>
      </w:r>
      <w:r w:rsidR="00A50BAC">
        <w:t>,</w:t>
      </w:r>
      <w:r>
        <w:t xml:space="preserve"> of which 23,841 are reserved for the A-season and an additional 14,218 credits are allotted at the start of the B-season</w:t>
      </w:r>
      <w:r w:rsidR="00671026">
        <w:t xml:space="preserve">.  </w:t>
      </w:r>
    </w:p>
    <w:p w14:paraId="2C573D02" w14:textId="77777777" w:rsidR="006A3A9B" w:rsidRDefault="006A3A9B" w:rsidP="00ED0D55"/>
    <w:p w14:paraId="29CC3890" w14:textId="77777777" w:rsidR="00C64617" w:rsidRDefault="004A7770" w:rsidP="006A3A9B">
      <w:pPr>
        <w:rPr>
          <w:b/>
        </w:rPr>
      </w:pPr>
      <w:r w:rsidRPr="004A7770">
        <w:rPr>
          <w:b/>
        </w:rPr>
        <w:t>2) Legacy Vessel Allocation: (a key element)</w:t>
      </w:r>
    </w:p>
    <w:p w14:paraId="1AA2C70E" w14:textId="77777777" w:rsidR="006A3A9B" w:rsidRPr="003904C4" w:rsidRDefault="006A3A9B" w:rsidP="00ED0D55">
      <w:pPr>
        <w:rPr>
          <w:b/>
        </w:rPr>
      </w:pPr>
    </w:p>
    <w:p w14:paraId="71BB1649" w14:textId="77777777" w:rsidR="006A3A9B" w:rsidRDefault="006A3A9B" w:rsidP="00392BD2">
      <w:r>
        <w:t>Individual vessel allocations of ITEC are made separately for each season (A and B-season computed separately)</w:t>
      </w:r>
      <w:r w:rsidRPr="003E17F5">
        <w:rPr>
          <w:vertAlign w:val="superscript"/>
        </w:rPr>
        <w:footnoteReference w:id="1"/>
      </w:r>
      <w:r w:rsidRPr="003E17F5">
        <w:rPr>
          <w:vertAlign w:val="superscript"/>
        </w:rPr>
        <w:t xml:space="preserve"> </w:t>
      </w:r>
      <w:r>
        <w:t>and it is assumed that 100% of any remaining A-season credits are carried forward to the B-season</w:t>
      </w:r>
      <w:r w:rsidR="00671026">
        <w:t xml:space="preserve">.  </w:t>
      </w:r>
      <w:r w:rsidR="000915B1">
        <w:t xml:space="preserve">A </w:t>
      </w:r>
      <w:r>
        <w:t xml:space="preserve">100% carry-forward </w:t>
      </w:r>
      <w:r w:rsidR="000915B1">
        <w:t>rule creates</w:t>
      </w:r>
      <w:r>
        <w:t xml:space="preserve"> incentive to avoid bycatch in the A-season and keeps ITEC prices high at the end of A-season because of the uncertainty in bycatch levels that will occur in the B season</w:t>
      </w:r>
      <w:r w:rsidR="00671026">
        <w:t xml:space="preserve">.  </w:t>
      </w:r>
      <w:r w:rsidR="00392BD2">
        <w:t>It builds additional incentive for careful fishing (conservation of salmon credits) in the A-season, by providing additional insurance for completing the B-season pollock harvest.</w:t>
      </w:r>
      <w:r w:rsidR="00CB4892">
        <w:t xml:space="preserve">  As </w:t>
      </w:r>
      <w:r w:rsidR="00BB42E8">
        <w:t>we discuss</w:t>
      </w:r>
      <w:r w:rsidR="00CB4892">
        <w:t xml:space="preserve"> below, careful fishing in the B-season is incentivized mainly </w:t>
      </w:r>
      <w:r w:rsidR="00F510A7">
        <w:t>by the Legacy A</w:t>
      </w:r>
      <w:r w:rsidR="00ED7777">
        <w:t>llocation scheme as well as</w:t>
      </w:r>
      <w:r w:rsidR="00CB4892">
        <w:t xml:space="preserve"> by the rewards and penalties associated with trading ITEC.</w:t>
      </w:r>
    </w:p>
    <w:p w14:paraId="3152E32F" w14:textId="77777777" w:rsidR="006A3A9B" w:rsidRDefault="006A3A9B" w:rsidP="00ED0D55"/>
    <w:p w14:paraId="53E254DE" w14:textId="77777777" w:rsidR="006A3A9B" w:rsidRPr="00D34365" w:rsidRDefault="006A3A9B" w:rsidP="00ED0D55">
      <w:pPr>
        <w:rPr>
          <w:i/>
        </w:rPr>
      </w:pPr>
      <w:r>
        <w:t xml:space="preserve">A key provision is a formula to reward vessels with low </w:t>
      </w:r>
      <w:r w:rsidR="00BD5F36">
        <w:t>Chinook</w:t>
      </w:r>
      <w:r>
        <w:t xml:space="preserve"> encounter rates by reallocating extra encounter credits the following year, and conversely penalize vessels with high </w:t>
      </w:r>
      <w:r w:rsidR="00281777">
        <w:t xml:space="preserve">encounter </w:t>
      </w:r>
      <w:r>
        <w:t>rates</w:t>
      </w:r>
      <w:r w:rsidR="00671026">
        <w:t xml:space="preserve">.  </w:t>
      </w:r>
      <w:r>
        <w:t xml:space="preserve">This creates several different incentives to lower bycatch, including having extra credits as insurance against costly moderate to high salmon abundance years (times when </w:t>
      </w:r>
      <w:r w:rsidR="00381AFF">
        <w:t>additional</w:t>
      </w:r>
      <w:r w:rsidR="005268EA">
        <w:t xml:space="preserve"> </w:t>
      </w:r>
      <w:r w:rsidR="00381AFF">
        <w:t xml:space="preserve">ITEC </w:t>
      </w:r>
      <w:r>
        <w:t xml:space="preserve">are needed to finish </w:t>
      </w:r>
      <w:r w:rsidR="00381AFF">
        <w:t>one’s Pollock allocation</w:t>
      </w:r>
      <w:r>
        <w:t xml:space="preserve">, </w:t>
      </w:r>
      <w:r w:rsidR="00381AFF">
        <w:t>but</w:t>
      </w:r>
      <w:r w:rsidR="005268EA">
        <w:t xml:space="preserve"> </w:t>
      </w:r>
      <w:r>
        <w:t>may not be widely available for sale).</w:t>
      </w:r>
      <w:r w:rsidR="00F510A7">
        <w:t xml:space="preserve"> </w:t>
      </w:r>
      <w:r w:rsidR="003D735B" w:rsidRPr="003D735B">
        <w:rPr>
          <w:u w:val="single"/>
        </w:rPr>
        <w:t>The cost of unfished Pollock due to a shortage of credits can be considerable.</w:t>
      </w:r>
      <w:r w:rsidR="003D735B" w:rsidRPr="003D735B">
        <w:t xml:space="preserve">  </w:t>
      </w:r>
      <w:r w:rsidR="003D735B" w:rsidRPr="00D34365">
        <w:rPr>
          <w:i/>
        </w:rPr>
        <w:t xml:space="preserve">The allocation </w:t>
      </w:r>
      <w:r w:rsidR="00F510A7" w:rsidRPr="00D34365">
        <w:rPr>
          <w:i/>
        </w:rPr>
        <w:t>scheme uses these potential costs as incentive for individual vessels to maintain a maximal reserve of credits.</w:t>
      </w:r>
    </w:p>
    <w:p w14:paraId="2CDEBDD6" w14:textId="77777777" w:rsidR="006A3A9B" w:rsidRPr="00D34365" w:rsidRDefault="006A3A9B" w:rsidP="00ED0D55"/>
    <w:p w14:paraId="782597E0" w14:textId="77777777" w:rsidR="006A3A9B" w:rsidRDefault="006A3A9B" w:rsidP="00ED0D55">
      <w:r>
        <w:t xml:space="preserve">At the start of each season credits are distributed to the individual vessels via the coops according to an allocation formula that takes three factors into account for that vessel: </w:t>
      </w:r>
    </w:p>
    <w:p w14:paraId="5540641C" w14:textId="77777777" w:rsidR="006A3A9B" w:rsidRDefault="006A3A9B" w:rsidP="00ED0D55"/>
    <w:p w14:paraId="224D6A34" w14:textId="77777777" w:rsidR="006A3A9B" w:rsidRDefault="00BD5F36" w:rsidP="0071302D">
      <w:pPr>
        <w:pStyle w:val="ListParagraph"/>
        <w:numPr>
          <w:ilvl w:val="0"/>
          <w:numId w:val="26"/>
        </w:numPr>
        <w:tabs>
          <w:tab w:val="left" w:pos="900"/>
        </w:tabs>
        <w:ind w:left="900" w:hanging="540"/>
      </w:pPr>
      <w:r>
        <w:t>Pollock</w:t>
      </w:r>
      <w:r w:rsidR="006A3A9B">
        <w:t xml:space="preserve"> quota for the season</w:t>
      </w:r>
    </w:p>
    <w:p w14:paraId="0EF0132D" w14:textId="77777777" w:rsidR="006A3A9B" w:rsidRDefault="00D34365" w:rsidP="0071302D">
      <w:pPr>
        <w:pStyle w:val="ListParagraph"/>
        <w:numPr>
          <w:ilvl w:val="0"/>
          <w:numId w:val="26"/>
        </w:numPr>
        <w:tabs>
          <w:tab w:val="left" w:pos="900"/>
        </w:tabs>
        <w:ind w:left="900" w:hanging="540"/>
      </w:pPr>
      <w:r>
        <w:t>Pr</w:t>
      </w:r>
      <w:r w:rsidR="006A3A9B">
        <w:t xml:space="preserve">evious year’s </w:t>
      </w:r>
      <w:r w:rsidR="00D233B0">
        <w:t>proportional</w:t>
      </w:r>
      <w:r w:rsidR="00FD3C03">
        <w:t xml:space="preserve"> </w:t>
      </w:r>
      <w:r w:rsidR="00F267B1">
        <w:t>allocation factor</w:t>
      </w:r>
      <w:r w:rsidR="006A3A9B">
        <w:t xml:space="preserve"> for the season (season specific legacy)</w:t>
      </w:r>
    </w:p>
    <w:p w14:paraId="2B1C675C" w14:textId="77777777" w:rsidR="006A3A9B" w:rsidRDefault="00D34365" w:rsidP="0071302D">
      <w:pPr>
        <w:pStyle w:val="ListParagraph"/>
        <w:numPr>
          <w:ilvl w:val="0"/>
          <w:numId w:val="26"/>
        </w:numPr>
        <w:tabs>
          <w:tab w:val="left" w:pos="900"/>
        </w:tabs>
        <w:ind w:left="900" w:hanging="540"/>
      </w:pPr>
      <w:r>
        <w:t>P</w:t>
      </w:r>
      <w:r w:rsidR="006A3A9B">
        <w:t xml:space="preserve">revious year’s </w:t>
      </w:r>
      <w:r w:rsidR="00401C8E">
        <w:t xml:space="preserve">relative </w:t>
      </w:r>
      <w:r w:rsidR="006A3A9B">
        <w:t>bycatch rate for the season (season specific bycatch)</w:t>
      </w:r>
    </w:p>
    <w:p w14:paraId="7BB60F3B" w14:textId="77777777" w:rsidR="006A3A9B" w:rsidRDefault="006A3A9B" w:rsidP="00ED0D55"/>
    <w:p w14:paraId="12735055" w14:textId="77777777" w:rsidR="006A3A9B" w:rsidRDefault="006A3A9B" w:rsidP="00ED0D55">
      <w:r>
        <w:t>This is summarized in the following general formula:</w:t>
      </w:r>
    </w:p>
    <w:p w14:paraId="6CDD9721" w14:textId="77777777" w:rsidR="006A3A9B" w:rsidRDefault="006A3A9B" w:rsidP="00ED0D55"/>
    <w:p w14:paraId="0BFBCD6B" w14:textId="77777777" w:rsidR="006A3A9B" w:rsidRDefault="006A3A9B" w:rsidP="00ED0D55">
      <w:r>
        <w:t>P</w:t>
      </w:r>
      <w:r w:rsidR="0069763A">
        <w:rPr>
          <w:vertAlign w:val="subscript"/>
        </w:rPr>
        <w:t>s,</w:t>
      </w:r>
      <w:r w:rsidR="00277D1E">
        <w:rPr>
          <w:vertAlign w:val="subscript"/>
        </w:rPr>
        <w:t xml:space="preserve"> </w:t>
      </w:r>
      <w:r w:rsidRPr="0069763A">
        <w:rPr>
          <w:vertAlign w:val="subscript"/>
        </w:rPr>
        <w:t>y, i</w:t>
      </w:r>
      <w:r>
        <w:t xml:space="preserve"> =  α+ β</w:t>
      </w:r>
      <w:r w:rsidR="004D730D">
        <w:t xml:space="preserve"> </w:t>
      </w:r>
      <w:r>
        <w:t>P</w:t>
      </w:r>
      <w:r w:rsidRPr="0069763A">
        <w:rPr>
          <w:vertAlign w:val="subscript"/>
        </w:rPr>
        <w:t>s, y-1, i</w:t>
      </w:r>
      <w:r>
        <w:t xml:space="preserve"> + γ</w:t>
      </w:r>
      <w:r w:rsidR="004D730D">
        <w:t xml:space="preserve"> </w:t>
      </w:r>
      <w:r>
        <w:t>Q</w:t>
      </w:r>
      <w:r w:rsidRPr="0069763A">
        <w:rPr>
          <w:vertAlign w:val="subscript"/>
        </w:rPr>
        <w:t xml:space="preserve">s, y-1, </w:t>
      </w:r>
      <w:r w:rsidR="00AC3605" w:rsidRPr="0069763A">
        <w:rPr>
          <w:vertAlign w:val="subscript"/>
        </w:rPr>
        <w:t>i</w:t>
      </w:r>
      <w:r w:rsidR="00AC3605">
        <w:tab/>
      </w:r>
      <w:r w:rsidR="00907C81">
        <w:tab/>
      </w:r>
      <w:r w:rsidR="00907C81">
        <w:tab/>
      </w:r>
      <w:r w:rsidR="00907C81">
        <w:tab/>
      </w:r>
      <w:r w:rsidR="00907C81">
        <w:tab/>
      </w:r>
      <w:r w:rsidR="00907C81">
        <w:tab/>
      </w:r>
      <w:r w:rsidR="00907C81">
        <w:tab/>
      </w:r>
      <w:r>
        <w:t>(1)</w:t>
      </w:r>
    </w:p>
    <w:p w14:paraId="5604423C" w14:textId="77777777" w:rsidR="006A3A9B" w:rsidRDefault="006A3A9B" w:rsidP="00ED0D55"/>
    <w:p w14:paraId="7C6DD2C2" w14:textId="77777777" w:rsidR="00A3292A" w:rsidRDefault="006A3A9B" w:rsidP="00ED0D55">
      <w:r>
        <w:t>where P</w:t>
      </w:r>
      <w:r w:rsidR="00277D1E" w:rsidRPr="00785993">
        <w:rPr>
          <w:vertAlign w:val="subscript"/>
        </w:rPr>
        <w:t xml:space="preserve">s, </w:t>
      </w:r>
      <w:r w:rsidR="00647DEA" w:rsidRPr="00785993">
        <w:rPr>
          <w:vertAlign w:val="subscript"/>
        </w:rPr>
        <w:t>y</w:t>
      </w:r>
      <w:r w:rsidRPr="00785993">
        <w:rPr>
          <w:vertAlign w:val="subscript"/>
        </w:rPr>
        <w:t>, i</w:t>
      </w:r>
      <w:r w:rsidR="00452978">
        <w:t xml:space="preserve"> is the </w:t>
      </w:r>
      <w:r w:rsidR="003435D1">
        <w:t xml:space="preserve">proportional allocation factor </w:t>
      </w:r>
      <w:r w:rsidR="00BC1485">
        <w:t>for vessel i for</w:t>
      </w:r>
      <w:r>
        <w:t xml:space="preserve"> season s (i.e., A-season or B-season) </w:t>
      </w:r>
      <w:r w:rsidR="00CF4C50">
        <w:t>of</w:t>
      </w:r>
      <w:r>
        <w:t xml:space="preserve"> year y</w:t>
      </w:r>
      <w:r w:rsidR="00671026">
        <w:t xml:space="preserve">.  </w:t>
      </w:r>
      <w:r w:rsidR="00D37381">
        <w:t>T</w:t>
      </w:r>
      <w:r>
        <w:t>he constants α, β and γ are proportional weights that sum to 1 (see Appendix A for complete formula)</w:t>
      </w:r>
      <w:r w:rsidR="005C7254">
        <w:rPr>
          <w:rStyle w:val="FootnoteReference"/>
        </w:rPr>
        <w:footnoteReference w:id="2"/>
      </w:r>
      <w:r w:rsidR="00671026">
        <w:t xml:space="preserve">.  </w:t>
      </w:r>
      <w:r>
        <w:t xml:space="preserve">For simplicity, the analyses based on annual data shown here use yearly averages (dropping </w:t>
      </w:r>
      <w:r w:rsidRPr="00ED0D55">
        <w:t>i</w:t>
      </w:r>
      <w:r>
        <w:t>), and the results have the same qualitative behavior as those based on daily/seasonal data</w:t>
      </w:r>
      <w:r w:rsidR="00671026">
        <w:t xml:space="preserve">.  </w:t>
      </w:r>
      <w:r>
        <w:t xml:space="preserve">The first term α </w:t>
      </w:r>
      <w:r w:rsidR="008C1386">
        <w:t>acts as a fixed constant</w:t>
      </w:r>
      <w:r>
        <w:t xml:space="preserve">, the second term β is the weight given to the previous year’s </w:t>
      </w:r>
      <w:r w:rsidR="005A7B22">
        <w:t xml:space="preserve">proportional </w:t>
      </w:r>
      <w:r>
        <w:t>allocation factor P</w:t>
      </w:r>
      <w:r w:rsidRPr="005A7B22">
        <w:rPr>
          <w:vertAlign w:val="subscript"/>
        </w:rPr>
        <w:t>s, y-1, i</w:t>
      </w:r>
      <w:r>
        <w:t xml:space="preserve"> (the so-called “legacy” term), and γ is the weight given to the bycatch function Q</w:t>
      </w:r>
      <w:r w:rsidRPr="006F3FF7">
        <w:rPr>
          <w:vertAlign w:val="subscript"/>
        </w:rPr>
        <w:t>s,</w:t>
      </w:r>
      <w:r w:rsidR="006F3FF7">
        <w:rPr>
          <w:vertAlign w:val="subscript"/>
        </w:rPr>
        <w:t xml:space="preserve"> </w:t>
      </w:r>
      <w:r w:rsidRPr="006F3FF7">
        <w:rPr>
          <w:vertAlign w:val="subscript"/>
        </w:rPr>
        <w:t xml:space="preserve">y-1, </w:t>
      </w:r>
      <w:r w:rsidR="006F3FF7">
        <w:rPr>
          <w:vertAlign w:val="subscript"/>
        </w:rPr>
        <w:t>i</w:t>
      </w:r>
      <w:r>
        <w:t>, which can take any sensible monotonic form that penalizes high bycatch rates.</w:t>
      </w:r>
      <w:r w:rsidR="00C405C8">
        <w:t xml:space="preserve">  A particularly nice property of (1) is that </w:t>
      </w:r>
      <w:r w:rsidR="0097224F">
        <w:t>(</w:t>
      </w:r>
      <w:r w:rsidR="00C405C8">
        <w:t>for most parameterizations</w:t>
      </w:r>
      <w:r w:rsidR="0097224F">
        <w:t>)</w:t>
      </w:r>
      <w:r w:rsidR="00C405C8">
        <w:t xml:space="preserve"> it is possible to derive asymptot</w:t>
      </w:r>
      <w:r w:rsidR="001D0B5E">
        <w:t>ic up</w:t>
      </w:r>
      <w:r w:rsidR="001A59F0">
        <w:t>per and lower limits for P that</w:t>
      </w:r>
      <w:r w:rsidR="00326DF1">
        <w:t xml:space="preserve"> place bounds on how far the proportional allocations for any vessel can </w:t>
      </w:r>
      <w:r w:rsidR="0097224F">
        <w:t>ultimately deviate</w:t>
      </w:r>
      <w:r w:rsidR="00326DF1">
        <w:t>.</w:t>
      </w:r>
    </w:p>
    <w:p w14:paraId="1C3B49F3" w14:textId="77777777" w:rsidR="00D34365" w:rsidRDefault="00D34365" w:rsidP="00ED0D55"/>
    <w:p w14:paraId="2990B14A" w14:textId="77777777" w:rsidR="008C1386" w:rsidRDefault="008C1386" w:rsidP="00ED0D55">
      <w:r>
        <w:t>The proportional allocation factor reflects a vessel’s allocation relative to its initial allocation.  During the first year of implementation, all vessels would receive an ITEC allocation pro rata to their Pollock allocations and the proportional allocation factor for each vessel would be 1.  In subsequent years, this proportional allocation factor will fluctuate (between some asymptotic bounds) and vessels will receive differing ITEC allocations.  For vessels with the same Pollock allocation, the relative values of their proportional allocation factors will reflect their relative ITEC allocations: if one vessel’s proportional allocation factor is 20% larger than the other vessel, it will receive 20% more credits than the other vessel. (again, assuming that the vessels receive the same Pollock allocation).</w:t>
      </w:r>
    </w:p>
    <w:p w14:paraId="2EEE3EB3" w14:textId="77777777" w:rsidR="008C1386" w:rsidRDefault="008C1386" w:rsidP="00ED0D55"/>
    <w:p w14:paraId="04E81234" w14:textId="77777777" w:rsidR="00A3292A" w:rsidRDefault="00FB13EB" w:rsidP="00ED0D55">
      <w:r>
        <w:rPr>
          <w:b/>
        </w:rPr>
        <w:t xml:space="preserve">II.2.1  </w:t>
      </w:r>
      <w:r w:rsidR="00D34365" w:rsidRPr="00D34365">
        <w:rPr>
          <w:b/>
        </w:rPr>
        <w:t>Note on Potential Flexibility</w:t>
      </w:r>
      <w:r w:rsidR="00D34365">
        <w:t>:</w:t>
      </w:r>
    </w:p>
    <w:p w14:paraId="560EF8B5" w14:textId="77777777" w:rsidR="006A3A9B" w:rsidRDefault="00A3292A" w:rsidP="00ED0D55">
      <w:r>
        <w:t xml:space="preserve">The formula is presented in its most </w:t>
      </w:r>
      <w:r w:rsidR="009258B8">
        <w:t xml:space="preserve">generic and </w:t>
      </w:r>
      <w:r>
        <w:t xml:space="preserve">flexible form to emphasize the fact that </w:t>
      </w:r>
      <w:r w:rsidR="009258B8">
        <w:t xml:space="preserve">with monitoring and feedback on performance, </w:t>
      </w:r>
      <w:r>
        <w:t>it can be adjusted to effect different magnitudes of bycatch reduction</w:t>
      </w:r>
      <w:r w:rsidR="009729E8">
        <w:t xml:space="preserve"> and performance standards</w:t>
      </w:r>
      <w:r w:rsidR="004311C6">
        <w:t xml:space="preserve">. </w:t>
      </w:r>
      <w:r w:rsidR="009729E8">
        <w:t>We note, however that t</w:t>
      </w:r>
      <w:r w:rsidR="009258B8">
        <w:t>he actual magnitude of bycatch reduction</w:t>
      </w:r>
      <w:r w:rsidR="009729E8">
        <w:t xml:space="preserve"> p</w:t>
      </w:r>
      <w:r w:rsidR="00DB62FD">
        <w:t>roduced by any</w:t>
      </w:r>
      <w:r w:rsidR="009729E8">
        <w:t xml:space="preserve"> plan involving complex human behavior</w:t>
      </w:r>
      <w:r w:rsidR="009258B8">
        <w:t xml:space="preserve"> cannot be known </w:t>
      </w:r>
      <w:r w:rsidR="009258B8" w:rsidRPr="00DB62FD">
        <w:rPr>
          <w:i/>
        </w:rPr>
        <w:t>ex ant</w:t>
      </w:r>
      <w:r w:rsidR="009258B8">
        <w:t>e, except by experim</w:t>
      </w:r>
      <w:r w:rsidR="00DB62FD">
        <w:t>ental implementation</w:t>
      </w:r>
      <w:r w:rsidR="009258B8">
        <w:t xml:space="preserve">. </w:t>
      </w:r>
      <w:r w:rsidR="004311C6">
        <w:t>We will return to this issue in the section on “Hypothetical Modeling of Incentives,”</w:t>
      </w:r>
      <w:r w:rsidR="00D63706">
        <w:t xml:space="preserve"> where we present a heuristic</w:t>
      </w:r>
      <w:r w:rsidR="004311C6">
        <w:t xml:space="preserve"> simulation </w:t>
      </w:r>
      <w:r w:rsidR="00DB62FD">
        <w:t xml:space="preserve">and crude estimate </w:t>
      </w:r>
      <w:r w:rsidR="004311C6">
        <w:t>based on what can realistically be known without experimental manipulation.</w:t>
      </w:r>
    </w:p>
    <w:p w14:paraId="17680ADA" w14:textId="77777777" w:rsidR="00D34365" w:rsidRDefault="00D34365" w:rsidP="00ED0D55"/>
    <w:p w14:paraId="0D751189" w14:textId="77777777" w:rsidR="006A3A9B" w:rsidRPr="00D34365" w:rsidRDefault="00FB13EB" w:rsidP="00ED0D55">
      <w:pPr>
        <w:rPr>
          <w:b/>
        </w:rPr>
      </w:pPr>
      <w:r>
        <w:rPr>
          <w:b/>
        </w:rPr>
        <w:t xml:space="preserve">II.2.2  </w:t>
      </w:r>
      <w:r w:rsidR="00D34365" w:rsidRPr="00D34365">
        <w:rPr>
          <w:b/>
        </w:rPr>
        <w:t>Specific Parameterization Used Here:</w:t>
      </w:r>
    </w:p>
    <w:p w14:paraId="5F2E5B0E" w14:textId="77777777" w:rsidR="006A3A9B" w:rsidRDefault="006A3A9B" w:rsidP="00ED0D55">
      <w:r>
        <w:t>Here we will consider the specific case where the bycatch function is linear of the form Q</w:t>
      </w:r>
      <w:r w:rsidR="004D730D" w:rsidRPr="004D730D">
        <w:rPr>
          <w:vertAlign w:val="subscript"/>
        </w:rPr>
        <w:t>s,y-1, i</w:t>
      </w:r>
      <w:r>
        <w:t xml:space="preserve"> = δ + ε</w:t>
      </w:r>
      <w:r w:rsidR="004D730D">
        <w:t xml:space="preserve"> </w:t>
      </w:r>
      <w:r>
        <w:t>p</w:t>
      </w:r>
      <w:r w:rsidRPr="004D730D">
        <w:rPr>
          <w:vertAlign w:val="subscript"/>
        </w:rPr>
        <w:t>i</w:t>
      </w:r>
      <w:r>
        <w:t xml:space="preserve">  where δ and ε are constants and p</w:t>
      </w:r>
      <w:r w:rsidRPr="00925BCD">
        <w:rPr>
          <w:vertAlign w:val="subscript"/>
        </w:rPr>
        <w:t>i</w:t>
      </w:r>
      <w:r>
        <w:t xml:space="preserve"> is the penalty value for vessel i computed via a penalty function dependent upon the relative bycatch rate of vessel i</w:t>
      </w:r>
      <w:r w:rsidR="00671026">
        <w:t xml:space="preserve">.  </w:t>
      </w:r>
      <w:r>
        <w:t xml:space="preserve">(See Appendix A for </w:t>
      </w:r>
      <w:r w:rsidR="00343487">
        <w:t>a detailed description of calculations</w:t>
      </w:r>
      <w:r>
        <w:t>)</w:t>
      </w:r>
      <w:r w:rsidR="00671026">
        <w:t xml:space="preserve">.  </w:t>
      </w:r>
      <w:r>
        <w:t>In addition,</w:t>
      </w:r>
      <w:r w:rsidR="00BB3890">
        <w:t xml:space="preserve"> for heuristics</w:t>
      </w:r>
      <w:r>
        <w:t xml:space="preserve"> two different weighting schemes will be considered that alter the importance of the legacy component: when α=β=γ=1/3 (equal weighting) and α=γ=1/4, β=1/2 (augmented legacy weighting), and where δ=1/3 and ε=4/3</w:t>
      </w:r>
      <w:r w:rsidR="00671026">
        <w:t xml:space="preserve">.  </w:t>
      </w:r>
      <w:r>
        <w:t>That is, we will consider</w:t>
      </w:r>
    </w:p>
    <w:p w14:paraId="10682153" w14:textId="77777777" w:rsidR="006A3A9B" w:rsidRDefault="006A3A9B" w:rsidP="00ED0D55"/>
    <w:p w14:paraId="05D31C96" w14:textId="77777777" w:rsidR="006A3A9B" w:rsidRPr="0062509E" w:rsidRDefault="006A3A9B" w:rsidP="00ED0D55">
      <w:r>
        <w:t>P</w:t>
      </w:r>
      <w:r w:rsidR="00A4190F" w:rsidRPr="00A4190F">
        <w:rPr>
          <w:vertAlign w:val="subscript"/>
        </w:rPr>
        <w:t xml:space="preserve">s, </w:t>
      </w:r>
      <w:r w:rsidRPr="00A4190F">
        <w:rPr>
          <w:vertAlign w:val="subscript"/>
        </w:rPr>
        <w:t>y, i</w:t>
      </w:r>
      <w:r>
        <w:t xml:space="preserve"> = 1/3+ 1/3</w:t>
      </w:r>
      <w:r w:rsidR="00A4190F">
        <w:t xml:space="preserve"> </w:t>
      </w:r>
      <w:r>
        <w:t>P</w:t>
      </w:r>
      <w:r w:rsidRPr="00A4190F">
        <w:rPr>
          <w:vertAlign w:val="subscript"/>
        </w:rPr>
        <w:t>s, y-1, i</w:t>
      </w:r>
      <w:r>
        <w:t xml:space="preserve"> + 1/3</w:t>
      </w:r>
      <w:r w:rsidR="00A4190F">
        <w:t xml:space="preserve"> </w:t>
      </w:r>
      <w:r>
        <w:t>Q</w:t>
      </w:r>
      <w:r w:rsidRPr="00A4190F">
        <w:rPr>
          <w:vertAlign w:val="subscript"/>
        </w:rPr>
        <w:t>s, y-1, i</w:t>
      </w:r>
      <w:r w:rsidR="008F77C6">
        <w:tab/>
      </w:r>
      <w:r w:rsidR="00167642">
        <w:tab/>
      </w:r>
      <w:r w:rsidR="00167642">
        <w:tab/>
      </w:r>
      <w:r w:rsidR="00167642">
        <w:tab/>
      </w:r>
      <w:r w:rsidR="00167642">
        <w:tab/>
      </w:r>
      <w:r w:rsidR="00167642">
        <w:tab/>
      </w:r>
      <w:r w:rsidR="00167642">
        <w:tab/>
      </w:r>
      <w:r>
        <w:t>(2)</w:t>
      </w:r>
    </w:p>
    <w:p w14:paraId="0EFC5926" w14:textId="77777777" w:rsidR="006A3A9B" w:rsidRDefault="006A3A9B" w:rsidP="00ED0D55"/>
    <w:p w14:paraId="01F4B231" w14:textId="77777777" w:rsidR="006A3A9B" w:rsidRDefault="006A3A9B" w:rsidP="00ED0D55">
      <w:r>
        <w:t>or the (1/3</w:t>
      </w:r>
      <w:r w:rsidR="00BA41BA">
        <w:t>,</w:t>
      </w:r>
      <w:r w:rsidR="004029FD">
        <w:t xml:space="preserve"> </w:t>
      </w:r>
      <w:r>
        <w:t>1/3, 1/3) “equal” weighting.</w:t>
      </w:r>
    </w:p>
    <w:p w14:paraId="2364BBCC" w14:textId="77777777" w:rsidR="006A3A9B" w:rsidRDefault="006A3A9B" w:rsidP="00ED0D55"/>
    <w:p w14:paraId="6A854B37" w14:textId="77777777" w:rsidR="006A3A9B" w:rsidRDefault="006A3A9B" w:rsidP="00ED0D55">
      <w:r>
        <w:t>And,</w:t>
      </w:r>
    </w:p>
    <w:p w14:paraId="16A3601D" w14:textId="77777777" w:rsidR="006A3A9B" w:rsidRDefault="006A3A9B" w:rsidP="00ED0D55"/>
    <w:p w14:paraId="14AAF7ED" w14:textId="77777777" w:rsidR="006A3A9B" w:rsidRDefault="00A4190F" w:rsidP="00ED0D55">
      <w:r>
        <w:t>P</w:t>
      </w:r>
      <w:r w:rsidRPr="00A4190F">
        <w:rPr>
          <w:vertAlign w:val="subscript"/>
        </w:rPr>
        <w:t>s, y, i</w:t>
      </w:r>
      <w:r>
        <w:t xml:space="preserve"> </w:t>
      </w:r>
      <w:r w:rsidR="006A3A9B">
        <w:t>= 1/4 + 1/2</w:t>
      </w:r>
      <w:r w:rsidR="00B32860">
        <w:t xml:space="preserve"> </w:t>
      </w:r>
      <w:r w:rsidR="006A3A9B">
        <w:t>P</w:t>
      </w:r>
      <w:r w:rsidR="006A3A9B" w:rsidRPr="00A4190F">
        <w:rPr>
          <w:vertAlign w:val="subscript"/>
        </w:rPr>
        <w:t>s, y-1, i</w:t>
      </w:r>
      <w:r w:rsidR="006A3A9B">
        <w:t xml:space="preserve"> + 1/4</w:t>
      </w:r>
      <w:r>
        <w:t xml:space="preserve"> </w:t>
      </w:r>
      <w:r w:rsidR="006A3A9B">
        <w:t>Q</w:t>
      </w:r>
      <w:r w:rsidR="006A3A9B" w:rsidRPr="00A4190F">
        <w:rPr>
          <w:vertAlign w:val="subscript"/>
        </w:rPr>
        <w:t>s, y-1, i</w:t>
      </w:r>
      <w:r w:rsidR="008F77C6">
        <w:tab/>
      </w:r>
      <w:r w:rsidR="00167642">
        <w:tab/>
      </w:r>
      <w:r w:rsidR="00167642">
        <w:tab/>
      </w:r>
      <w:r w:rsidR="00167642">
        <w:tab/>
      </w:r>
      <w:r w:rsidR="00167642">
        <w:tab/>
      </w:r>
      <w:r w:rsidR="00167642">
        <w:tab/>
      </w:r>
      <w:r w:rsidR="00167642">
        <w:tab/>
      </w:r>
      <w:r w:rsidR="006A3A9B">
        <w:t>(3)</w:t>
      </w:r>
    </w:p>
    <w:p w14:paraId="7DF60C32" w14:textId="77777777" w:rsidR="006A3A9B" w:rsidRDefault="006A3A9B" w:rsidP="00ED0D55"/>
    <w:p w14:paraId="633ED6D8" w14:textId="77777777" w:rsidR="006A3A9B" w:rsidRDefault="00124AE3" w:rsidP="00ED0D55">
      <w:r>
        <w:t xml:space="preserve">or the (1/4, 1/2, </w:t>
      </w:r>
      <w:r w:rsidR="006A3A9B">
        <w:t>1/4) “augmented legacy” weighting.</w:t>
      </w:r>
    </w:p>
    <w:p w14:paraId="7CC4FFE5" w14:textId="77777777" w:rsidR="006A3A9B" w:rsidRDefault="006A3A9B" w:rsidP="00ED0D55"/>
    <w:p w14:paraId="2C99F5D2" w14:textId="77777777" w:rsidR="00C405C8" w:rsidRDefault="006A3A9B" w:rsidP="00ED0C65">
      <w:pPr>
        <w:pStyle w:val="FootnoteText"/>
      </w:pPr>
      <w:r>
        <w:t>Both of these weighting schemes have a lower bound of 2/3 relative to the initial allocation (based on Pollock) and an upper bound of 4/3.</w:t>
      </w:r>
      <w:r w:rsidRPr="00B507C1">
        <w:rPr>
          <w:vertAlign w:val="superscript"/>
        </w:rPr>
        <w:footnoteReference w:id="3"/>
      </w:r>
      <w:r w:rsidR="00B507C1">
        <w:t xml:space="preserve">  </w:t>
      </w:r>
      <w:r>
        <w:t xml:space="preserve">This means that in both formulas (2) and (3) no vessel can lose more than </w:t>
      </w:r>
      <w:r w:rsidR="008401BC">
        <w:t>1</w:t>
      </w:r>
      <w:r>
        <w:t xml:space="preserve">/3 of its initial allocation or gain more than </w:t>
      </w:r>
      <w:r w:rsidR="008401BC">
        <w:t>1</w:t>
      </w:r>
      <w:r>
        <w:t>/3 as insurance against running out of credits in moderate to high salmon abundance years</w:t>
      </w:r>
      <w:r w:rsidR="00671026">
        <w:t xml:space="preserve">.  </w:t>
      </w:r>
      <w:r w:rsidR="00971A90">
        <w:t xml:space="preserve">A swing of 2/3’s in the allocation scheme is reckoned to provide sufficient motivation for the incentives to be effective, however this can be adjusted as necessary </w:t>
      </w:r>
      <w:r>
        <w:t>(See Appendix A for a discussion of bounds and weighting formulas)</w:t>
      </w:r>
      <w:r w:rsidR="00671026">
        <w:t xml:space="preserve">. </w:t>
      </w:r>
      <w:r w:rsidR="00ED0C65" w:rsidRPr="00ED0C65">
        <w:t>The</w:t>
      </w:r>
      <w:r w:rsidR="00C405C8">
        <w:t>se specific bounds [2/3, 4/</w:t>
      </w:r>
      <w:r w:rsidR="00ED0C65" w:rsidRPr="00ED0C65">
        <w:t>3] are the lower and upper b</w:t>
      </w:r>
      <w:r w:rsidR="00BB3890">
        <w:t>ounds recommended to</w:t>
      </w:r>
      <w:r w:rsidR="00971A90">
        <w:t xml:space="preserve"> industry</w:t>
      </w:r>
      <w:r w:rsidR="00BB3890">
        <w:t>, along with augmented legacy weighting.</w:t>
      </w:r>
    </w:p>
    <w:p w14:paraId="2978360F" w14:textId="77777777" w:rsidR="00C405C8" w:rsidRDefault="00C405C8" w:rsidP="00ED0C65">
      <w:pPr>
        <w:pStyle w:val="FootnoteText"/>
      </w:pPr>
    </w:p>
    <w:p w14:paraId="03BE9CD8" w14:textId="77777777" w:rsidR="006A3A9B" w:rsidRDefault="006A3A9B" w:rsidP="00ED0C65">
      <w:pPr>
        <w:pStyle w:val="FootnoteText"/>
      </w:pPr>
      <w:r>
        <w:t>Most of the analys</w:t>
      </w:r>
      <w:r w:rsidR="00DB62FD">
        <w:t>es here are based on the augmented legacy model (3</w:t>
      </w:r>
      <w:r>
        <w:t>)</w:t>
      </w:r>
      <w:r w:rsidR="00671026">
        <w:t xml:space="preserve">.  </w:t>
      </w:r>
      <w:r>
        <w:t>Except for the speed of convergence (speed at which it is possible to recover from a low ranking) the results here do not differ qualitat</w:t>
      </w:r>
      <w:r w:rsidR="00DB62FD">
        <w:t>ively from (2</w:t>
      </w:r>
      <w:r w:rsidR="005E0648">
        <w:t>) (see Appendix A-5</w:t>
      </w:r>
      <w:r>
        <w:t xml:space="preserve"> for a discussion of convergence)</w:t>
      </w:r>
      <w:r w:rsidR="00671026">
        <w:t xml:space="preserve">.  </w:t>
      </w:r>
      <w:r w:rsidR="00DB62FD">
        <w:t>Indeed</w:t>
      </w:r>
      <w:r>
        <w:t>, eqn (3) may be preferable in some cases as discussed below</w:t>
      </w:r>
      <w:r w:rsidR="00671026">
        <w:t xml:space="preserve">.  </w:t>
      </w:r>
      <w:r>
        <w:t>In particular, a higher weight given to the legacy component is a way to minimize the random effects of sampling error in bycatch rates (bad luck encounters) and emphasize the consistent intentional behavioral component of variation in ITEC allocations among vessels</w:t>
      </w:r>
      <w:r w:rsidR="00671026">
        <w:t xml:space="preserve">. </w:t>
      </w:r>
      <w:r w:rsidR="00E42D57">
        <w:t xml:space="preserve">Because the year-to-year changes are smaller, vessels must do consistently well (i.e. lower bycatch) in order to obtain the maximum possible increase in ITEC allocation.  Similarly, vessels which initially have high bycatch are given more opportunities to improve over time.  </w:t>
      </w:r>
      <w:r>
        <w:t>That is, a larger β in eqn (1) helps to sort out the behavioral component from the chance component in determining relative seasonal ITEC allocations (penalties and rewards)</w:t>
      </w:r>
      <w:r w:rsidR="00671026">
        <w:t xml:space="preserve">.  </w:t>
      </w:r>
      <w:r w:rsidR="00E532FF">
        <w:t>However, the smaller value for γ creates less yearly incentive to reduce bycatch, as the changes in proportional allocation factor will be smaller.</w:t>
      </w:r>
      <w:r w:rsidR="006662F2">
        <w:t xml:space="preserve">  One must balance these two factors i</w:t>
      </w:r>
      <w:r w:rsidR="00D65734">
        <w:t>n arriving at a final</w:t>
      </w:r>
      <w:r w:rsidR="006662F2">
        <w:t xml:space="preserve"> model.</w:t>
      </w:r>
      <w:r w:rsidR="00BB3890">
        <w:t xml:space="preserve">  As a starting point we suggest the augmented legacy weighting [1/4,</w:t>
      </w:r>
      <w:r w:rsidR="008C59B0">
        <w:t xml:space="preserve"> </w:t>
      </w:r>
      <w:r w:rsidR="00BB3890">
        <w:t>1/2</w:t>
      </w:r>
      <w:r w:rsidR="00DD785E">
        <w:t>, 1/4</w:t>
      </w:r>
      <w:r w:rsidR="00130D5E">
        <w:t>]</w:t>
      </w:r>
      <w:r w:rsidR="008C59B0">
        <w:t>, and unless otherwise stated, this weighting will be used in our analysis.</w:t>
      </w:r>
    </w:p>
    <w:p w14:paraId="4293B135" w14:textId="77777777" w:rsidR="006A3A9B" w:rsidRDefault="006A3A9B" w:rsidP="00ED0D55"/>
    <w:p w14:paraId="37021492" w14:textId="77777777" w:rsidR="003233DB" w:rsidRDefault="006A3A9B" w:rsidP="00ED0D55">
      <w:r>
        <w:t>Again, it is assumed that these allocation factors are computed separately for each season and that there is100% carry forward of remainder credits from the A-season to the B-season</w:t>
      </w:r>
      <w:r w:rsidR="00671026">
        <w:t xml:space="preserve">.  </w:t>
      </w:r>
      <w:r>
        <w:t xml:space="preserve">In practice, a running tab will be kept </w:t>
      </w:r>
      <w:r w:rsidRPr="00E45121">
        <w:t>to let each vessel know in real-time where it stands with respect to the "expectation" of next year's relative allocation</w:t>
      </w:r>
      <w:r w:rsidR="00671026">
        <w:t xml:space="preserve">.  </w:t>
      </w:r>
      <w:r w:rsidRPr="00E45121">
        <w:t>This way there are no surprises, and people will be informed and better motivated</w:t>
      </w:r>
      <w:r w:rsidR="00671026">
        <w:t xml:space="preserve">.  </w:t>
      </w:r>
      <w:r w:rsidRPr="00E45121">
        <w:t xml:space="preserve">Each vessel can know where it stands </w:t>
      </w:r>
      <w:r w:rsidR="001E4CCE">
        <w:t xml:space="preserve">“on the fly” </w:t>
      </w:r>
      <w:r w:rsidRPr="00E45121">
        <w:t>relative to the sector (</w:t>
      </w:r>
      <w:r>
        <w:t xml:space="preserve">presumably </w:t>
      </w:r>
      <w:r w:rsidR="008401BC">
        <w:t>only the data on fleet-wide bycatch will be available to each vessel, with individual vessel performance remaining private information</w:t>
      </w:r>
      <w:r w:rsidRPr="00E45121">
        <w:t>).</w:t>
      </w:r>
      <w:r w:rsidR="00DB62FD">
        <w:t xml:space="preserve">  It is worth noting that</w:t>
      </w:r>
      <w:r w:rsidR="001E4CCE">
        <w:t xml:space="preserve"> privacy is not essential here. I</w:t>
      </w:r>
      <w:r w:rsidR="00DB62FD">
        <w:t xml:space="preserve">n contrast to UIP/FIP there is </w:t>
      </w:r>
      <w:r w:rsidR="001E4CCE">
        <w:t>no advantage to knowing</w:t>
      </w:r>
      <w:r w:rsidR="00DB62FD">
        <w:t xml:space="preserve"> the rank of </w:t>
      </w:r>
      <w:r w:rsidR="001E4CCE">
        <w:t>others, thus the advantage that larger companies might posses in those systems is moot in the Legacy Plan.</w:t>
      </w:r>
    </w:p>
    <w:p w14:paraId="65DC0878" w14:textId="77777777" w:rsidR="003233DB" w:rsidRDefault="003233DB" w:rsidP="00ED0D55"/>
    <w:p w14:paraId="453DBEDB" w14:textId="77777777" w:rsidR="003643A7" w:rsidRDefault="003233DB" w:rsidP="00ED0D55">
      <w:r>
        <w:t xml:space="preserve">The incentives created by the asymptotic behavior of the </w:t>
      </w:r>
      <w:r w:rsidR="002E105A">
        <w:t xml:space="preserve">Legacy </w:t>
      </w:r>
      <w:r>
        <w:t xml:space="preserve">Allocation model </w:t>
      </w:r>
      <w:r w:rsidR="000B1D7B">
        <w:t>provide</w:t>
      </w:r>
      <w:r>
        <w:t xml:space="preserve"> continual incentive to reduce bycatch and promote consistent good behavior.  Thus, </w:t>
      </w:r>
      <w:r w:rsidRPr="002E105A">
        <w:rPr>
          <w:i/>
        </w:rPr>
        <w:t>if a vessel is n</w:t>
      </w:r>
      <w:r w:rsidR="003643A7">
        <w:rPr>
          <w:i/>
        </w:rPr>
        <w:t>ear the top of the pack,</w:t>
      </w:r>
      <w:r w:rsidRPr="002E105A">
        <w:rPr>
          <w:i/>
        </w:rPr>
        <w:t xml:space="preserve"> then it will remain near t</w:t>
      </w:r>
      <w:r w:rsidR="000B1D7B" w:rsidRPr="002E105A">
        <w:rPr>
          <w:i/>
        </w:rPr>
        <w:t xml:space="preserve">he top of the pack </w:t>
      </w:r>
      <w:r w:rsidR="000B1D7B" w:rsidRPr="00D65734">
        <w:rPr>
          <w:i/>
          <w:u w:val="single"/>
        </w:rPr>
        <w:t>only</w:t>
      </w:r>
      <w:r w:rsidR="000B1D7B" w:rsidRPr="002E105A">
        <w:rPr>
          <w:i/>
        </w:rPr>
        <w:t xml:space="preserve"> if it</w:t>
      </w:r>
      <w:r w:rsidR="003643A7">
        <w:rPr>
          <w:i/>
        </w:rPr>
        <w:t xml:space="preserve"> consistently</w:t>
      </w:r>
      <w:r w:rsidR="000B1D7B" w:rsidRPr="002E105A">
        <w:rPr>
          <w:i/>
        </w:rPr>
        <w:t xml:space="preserve"> continues to perform well relative to the fleet.</w:t>
      </w:r>
      <w:r w:rsidR="000B1D7B">
        <w:t xml:space="preserve">  If a vessel at the top of the pack has an average year (middle of the pack), it will loose </w:t>
      </w:r>
      <w:r w:rsidR="00EF49FC">
        <w:t xml:space="preserve">some </w:t>
      </w:r>
      <w:r w:rsidR="000B1D7B">
        <w:t>credits in the subsequent reallocation</w:t>
      </w:r>
      <w:r w:rsidR="002E105A">
        <w:t>.</w:t>
      </w:r>
      <w:r w:rsidR="000E1298">
        <w:t xml:space="preserve"> It is not possible for vessels to slack off</w:t>
      </w:r>
      <w:r w:rsidR="006662F2">
        <w:t xml:space="preserve"> and main</w:t>
      </w:r>
      <w:r w:rsidR="003643A7">
        <w:t>tain an augmented</w:t>
      </w:r>
      <w:r w:rsidR="006662F2">
        <w:t xml:space="preserve"> ITEC allocation</w:t>
      </w:r>
      <w:r w:rsidR="000E1298">
        <w:t xml:space="preserve">. </w:t>
      </w:r>
      <w:r w:rsidR="00D65734">
        <w:t xml:space="preserve"> </w:t>
      </w:r>
      <w:r w:rsidR="00FF5609">
        <w:rPr>
          <w:i/>
        </w:rPr>
        <w:t xml:space="preserve">Incentives are always present </w:t>
      </w:r>
      <w:r w:rsidR="003643A7">
        <w:rPr>
          <w:i/>
        </w:rPr>
        <w:t>(</w:t>
      </w:r>
      <w:r w:rsidR="00D65734" w:rsidRPr="002B171E">
        <w:rPr>
          <w:i/>
        </w:rPr>
        <w:t xml:space="preserve"> from year 1</w:t>
      </w:r>
      <w:r w:rsidR="002B171E">
        <w:rPr>
          <w:i/>
        </w:rPr>
        <w:t xml:space="preserve"> onwards</w:t>
      </w:r>
      <w:r w:rsidR="003643A7">
        <w:rPr>
          <w:i/>
        </w:rPr>
        <w:t>)</w:t>
      </w:r>
      <w:r w:rsidR="00D65734">
        <w:t>.</w:t>
      </w:r>
      <w:r w:rsidR="000E1298">
        <w:t xml:space="preserve"> This also means that there is consistent</w:t>
      </w:r>
      <w:r w:rsidR="006662F2">
        <w:t xml:space="preserve"> vessel-level incentive for</w:t>
      </w:r>
      <w:r w:rsidR="000E1298">
        <w:t xml:space="preserve"> improvement.</w:t>
      </w:r>
      <w:r w:rsidR="002E105A">
        <w:t xml:space="preserve">  </w:t>
      </w:r>
      <w:r w:rsidR="002B171E">
        <w:t>As credits are transferred away from vessels with high bycatch rates to clean</w:t>
      </w:r>
      <w:r w:rsidR="003643A7">
        <w:t>er vessels, the bycatch rates for</w:t>
      </w:r>
      <w:r w:rsidR="002B171E">
        <w:t xml:space="preserve"> the fleet as a whole will continue to evolve toward lower rates. </w:t>
      </w:r>
    </w:p>
    <w:p w14:paraId="6CCFBA89" w14:textId="77777777" w:rsidR="00E550C0" w:rsidRDefault="00E550C0" w:rsidP="00ED0D55"/>
    <w:p w14:paraId="783417F2" w14:textId="77777777" w:rsidR="00143620" w:rsidRDefault="002E105A" w:rsidP="00ED0D55">
      <w:r>
        <w:t>Conversely, if a vessel is at the bottom of the heap in terms of bycatch avoidance,</w:t>
      </w:r>
      <w:r w:rsidR="003643A7">
        <w:t xml:space="preserve"> </w:t>
      </w:r>
      <w:r>
        <w:t>it will remain there only if</w:t>
      </w:r>
      <w:r w:rsidR="003643A7">
        <w:t xml:space="preserve"> it stays at the bottom relative to other vessels in each year.  It can dig out of this hole by consisten</w:t>
      </w:r>
      <w:r w:rsidR="00514716">
        <w:t>t</w:t>
      </w:r>
      <w:r w:rsidR="00204CDD">
        <w:t>ly moving it</w:t>
      </w:r>
      <w:r w:rsidR="003643A7">
        <w:t>s behavior closer to the mean</w:t>
      </w:r>
      <w:r w:rsidR="00EF49FC">
        <w:t>.</w:t>
      </w:r>
      <w:r w:rsidR="001E4CCE">
        <w:t xml:space="preserve">  The constant competition and a cumulative record of how competitive you are will keep industry motivated toward evolving ever-lower bycatch rates.</w:t>
      </w:r>
    </w:p>
    <w:p w14:paraId="01879AA0" w14:textId="77777777" w:rsidR="009F007E" w:rsidRDefault="009F007E" w:rsidP="00F74532"/>
    <w:p w14:paraId="4A439B68" w14:textId="77777777" w:rsidR="007367A9" w:rsidRDefault="007367A9" w:rsidP="007367A9">
      <w:r>
        <w:t xml:space="preserve">Because of the large variability in Chinook salmon abundance, even vessels at the asymptotic lower limit of ITEC allocation may not be forced to forego Pollock harvest every year.  However, this should </w:t>
      </w:r>
      <w:r>
        <w:rPr>
          <w:i/>
        </w:rPr>
        <w:t>not</w:t>
      </w:r>
      <w:r>
        <w:t xml:space="preserve"> be viewed as a flaw in the legacy plan.  These vessels will likely lose a large amount of potential revenue in mid- and high-encounter years.  During these times, trading of credits will be scarce, so these vessels will be unable to simply purchase more credits to continue fishing Pollock.  The only reasonable plan for these vessels (to avoid revenue losses) is to improve its allocation by reducing bycatch rates.  Due to the nature of the plan, this can be accomplished even with small changes in bycatch rates: such a vessel would not need to reduce bycatch dramatically to see improvements in ITEC allocation (but larger reductions in bycatch would result in larger increases in ITEC allocation).  Thus, these vessels are incentivized to reduce bycatch in all years, even when their allocations may not be binding.</w:t>
      </w:r>
    </w:p>
    <w:p w14:paraId="1EADAFDD" w14:textId="77777777" w:rsidR="007367A9" w:rsidRDefault="007367A9" w:rsidP="007367A9"/>
    <w:p w14:paraId="08407061" w14:textId="77777777" w:rsidR="007367A9" w:rsidRDefault="007367A9" w:rsidP="00F74532">
      <w:r>
        <w:t>Another option to deal with the worst offenders is to consider some sort of special rule (see Appendix D-2), which might prohibit vessels that are the worst offenders in consecutive years from purchasing any credits.  These rules may provide additional incentives for vessels that may be initially unresponsive to the incentives laid out in the legacy plan.</w:t>
      </w:r>
    </w:p>
    <w:p w14:paraId="2B23EA78" w14:textId="77777777" w:rsidR="007367A9" w:rsidRDefault="007367A9" w:rsidP="00F74532"/>
    <w:p w14:paraId="1BE6BE09" w14:textId="77777777" w:rsidR="00143620" w:rsidRPr="009F007E" w:rsidRDefault="00FB13EB" w:rsidP="00F74532">
      <w:pPr>
        <w:rPr>
          <w:u w:val="single"/>
        </w:rPr>
      </w:pPr>
      <w:r>
        <w:rPr>
          <w:b/>
        </w:rPr>
        <w:t xml:space="preserve">II.2.3  </w:t>
      </w:r>
      <w:r w:rsidR="009F007E" w:rsidRPr="006866FD">
        <w:rPr>
          <w:b/>
        </w:rPr>
        <w:t>A “False Legacy” Model</w:t>
      </w:r>
      <w:r w:rsidR="009F007E" w:rsidRPr="009F007E">
        <w:rPr>
          <w:u w:val="single"/>
        </w:rPr>
        <w:t>:</w:t>
      </w:r>
    </w:p>
    <w:p w14:paraId="7E151AD6" w14:textId="77777777" w:rsidR="00143620" w:rsidRDefault="006662F2" w:rsidP="00F74532">
      <w:r>
        <w:t xml:space="preserve">To </w:t>
      </w:r>
      <w:r w:rsidR="00EF49FC">
        <w:t xml:space="preserve">further </w:t>
      </w:r>
      <w:r>
        <w:t>clarify how Legacy allocation works</w:t>
      </w:r>
      <w:r w:rsidR="003643A7">
        <w:t xml:space="preserve"> it</w:t>
      </w:r>
      <w:r>
        <w:t xml:space="preserve"> is</w:t>
      </w:r>
      <w:r w:rsidR="003233DB">
        <w:t xml:space="preserve"> interesting</w:t>
      </w:r>
      <w:r>
        <w:t xml:space="preserve"> to consider a</w:t>
      </w:r>
      <w:r w:rsidR="00C45A8A">
        <w:t xml:space="preserve"> degenerate</w:t>
      </w:r>
      <w:r w:rsidR="00143620">
        <w:t xml:space="preserve"> case of the general </w:t>
      </w:r>
      <w:r w:rsidR="00106929">
        <w:t xml:space="preserve">Legacy Allocation formula (1), </w:t>
      </w:r>
      <w:r w:rsidR="00143620">
        <w:t>P</w:t>
      </w:r>
      <w:r w:rsidR="00106929" w:rsidRPr="00106929">
        <w:rPr>
          <w:vertAlign w:val="subscript"/>
        </w:rPr>
        <w:t xml:space="preserve">s, </w:t>
      </w:r>
      <w:r w:rsidR="00143620" w:rsidRPr="00106929">
        <w:rPr>
          <w:vertAlign w:val="subscript"/>
        </w:rPr>
        <w:t>y, i</w:t>
      </w:r>
      <w:r w:rsidR="00143620">
        <w:t xml:space="preserve"> =  α + </w:t>
      </w:r>
      <w:r w:rsidR="00143620" w:rsidRPr="00143620">
        <w:t>β</w:t>
      </w:r>
      <w:r w:rsidR="00106929">
        <w:t xml:space="preserve"> </w:t>
      </w:r>
      <w:r w:rsidR="00143620">
        <w:t>P</w:t>
      </w:r>
      <w:r w:rsidR="00143620" w:rsidRPr="00106929">
        <w:rPr>
          <w:vertAlign w:val="subscript"/>
        </w:rPr>
        <w:t>s, y-1, i</w:t>
      </w:r>
      <w:r w:rsidR="00143620">
        <w:t xml:space="preserve"> + γ</w:t>
      </w:r>
      <w:r w:rsidR="00106929">
        <w:t xml:space="preserve"> </w:t>
      </w:r>
      <w:r w:rsidR="00143620">
        <w:t>Q</w:t>
      </w:r>
      <w:r w:rsidR="00143620" w:rsidRPr="00106929">
        <w:rPr>
          <w:vertAlign w:val="subscript"/>
        </w:rPr>
        <w:t>s, y-1, i</w:t>
      </w:r>
      <w:r>
        <w:t xml:space="preserve"> ,</w:t>
      </w:r>
      <w:r w:rsidR="00143620">
        <w:t xml:space="preserve"> when α = 0 and </w:t>
      </w:r>
      <w:r w:rsidR="00143620" w:rsidRPr="00143620">
        <w:t>β</w:t>
      </w:r>
      <w:r w:rsidR="00B03642">
        <w:t xml:space="preserve"> = γ</w:t>
      </w:r>
      <w:r w:rsidR="00143620">
        <w:t xml:space="preserve"> = 1</w:t>
      </w:r>
      <w:r w:rsidR="003643A7">
        <w:t xml:space="preserve">, which no longer has the desired </w:t>
      </w:r>
      <w:r w:rsidR="00EF49FC">
        <w:t xml:space="preserve">legacy </w:t>
      </w:r>
      <w:r w:rsidR="003643A7">
        <w:t>behavior</w:t>
      </w:r>
      <w:r w:rsidR="00143620">
        <w:t>:</w:t>
      </w:r>
    </w:p>
    <w:p w14:paraId="0AB36D18" w14:textId="77777777" w:rsidR="00143620" w:rsidRDefault="00143620" w:rsidP="00F74532"/>
    <w:p w14:paraId="206CF42F" w14:textId="77777777" w:rsidR="00143620" w:rsidRPr="00ED0D55" w:rsidRDefault="00143620" w:rsidP="00F74532">
      <w:pPr>
        <w:ind w:firstLine="360"/>
      </w:pPr>
      <w:r>
        <w:t>P</w:t>
      </w:r>
      <w:r w:rsidR="0005214D" w:rsidRPr="0005214D">
        <w:rPr>
          <w:vertAlign w:val="subscript"/>
        </w:rPr>
        <w:t xml:space="preserve">s, </w:t>
      </w:r>
      <w:r w:rsidRPr="0005214D">
        <w:rPr>
          <w:vertAlign w:val="subscript"/>
        </w:rPr>
        <w:t>y, i</w:t>
      </w:r>
      <w:r w:rsidR="0005214D">
        <w:t xml:space="preserve"> =</w:t>
      </w:r>
      <w:r>
        <w:t xml:space="preserve"> P</w:t>
      </w:r>
      <w:r w:rsidRPr="0005214D">
        <w:rPr>
          <w:vertAlign w:val="subscript"/>
        </w:rPr>
        <w:t>s, y-1, i</w:t>
      </w:r>
      <w:r w:rsidR="00B03642">
        <w:t xml:space="preserve"> + </w:t>
      </w:r>
      <w:r>
        <w:t>Q</w:t>
      </w:r>
      <w:r w:rsidRPr="0005214D">
        <w:rPr>
          <w:vertAlign w:val="subscript"/>
        </w:rPr>
        <w:t xml:space="preserve">s, y-1, </w:t>
      </w:r>
      <w:r w:rsidR="00AA6F3F" w:rsidRPr="0005214D">
        <w:rPr>
          <w:vertAlign w:val="subscript"/>
        </w:rPr>
        <w:t>i</w:t>
      </w:r>
      <w:r w:rsidRPr="00ED0D55">
        <w:tab/>
      </w:r>
      <w:r w:rsidRPr="00ED0D55">
        <w:tab/>
      </w:r>
      <w:r w:rsidRPr="00ED0D55">
        <w:tab/>
      </w:r>
      <w:r w:rsidRPr="00ED0D55">
        <w:tab/>
      </w:r>
      <w:r w:rsidRPr="00ED0D55">
        <w:tab/>
      </w:r>
      <w:r w:rsidRPr="00ED0D55">
        <w:tab/>
      </w:r>
      <w:r w:rsidRPr="00ED0D55">
        <w:tab/>
      </w:r>
      <w:r w:rsidR="0005214D">
        <w:tab/>
      </w:r>
      <w:r w:rsidRPr="00143620">
        <w:t>(4)</w:t>
      </w:r>
    </w:p>
    <w:p w14:paraId="0EE066F9" w14:textId="77777777" w:rsidR="00143620" w:rsidRDefault="00143620" w:rsidP="00F74532"/>
    <w:p w14:paraId="51DB2543" w14:textId="77777777" w:rsidR="003233DB" w:rsidRDefault="00AA6F3F" w:rsidP="00F74532">
      <w:r>
        <w:t xml:space="preserve">Here the </w:t>
      </w:r>
      <w:r w:rsidR="00B03642">
        <w:t xml:space="preserve">relative </w:t>
      </w:r>
      <w:r>
        <w:t>legacy</w:t>
      </w:r>
      <w:r w:rsidR="00EF49FC">
        <w:t>-term</w:t>
      </w:r>
      <w:r>
        <w:t xml:space="preserve"> weight is adjusted via the</w:t>
      </w:r>
      <w:r w:rsidR="0006048C">
        <w:t xml:space="preserve"> bycatch function, Q, which will have</w:t>
      </w:r>
      <w:r w:rsidR="00B03642">
        <w:t xml:space="preserve"> a d</w:t>
      </w:r>
      <w:r w:rsidR="00652891">
        <w:t>ifferent form</w:t>
      </w:r>
      <w:r w:rsidR="00CA5762">
        <w:t xml:space="preserve"> than </w:t>
      </w:r>
      <w:r w:rsidR="00B03642">
        <w:t>discussed above</w:t>
      </w:r>
      <w:r w:rsidR="00671026">
        <w:t xml:space="preserve">.  </w:t>
      </w:r>
      <w:r w:rsidR="00034EDF">
        <w:t xml:space="preserve">Case </w:t>
      </w:r>
      <w:r w:rsidR="00C45A8A">
        <w:t>(4) describes</w:t>
      </w:r>
      <w:r w:rsidR="00B03642">
        <w:t xml:space="preserve"> a</w:t>
      </w:r>
      <w:r w:rsidR="00B2748C">
        <w:t xml:space="preserve"> simple </w:t>
      </w:r>
      <w:r w:rsidR="009E48E9">
        <w:t xml:space="preserve">random walk </w:t>
      </w:r>
      <w:r w:rsidR="00034EDF">
        <w:t>where the proportional allocation factor</w:t>
      </w:r>
      <w:r w:rsidR="00C45A8A">
        <w:t xml:space="preserve"> P</w:t>
      </w:r>
      <w:r w:rsidR="00C45A8A" w:rsidRPr="00417BD4">
        <w:rPr>
          <w:vertAlign w:val="subscript"/>
        </w:rPr>
        <w:t>y</w:t>
      </w:r>
      <w:r w:rsidR="00034EDF">
        <w:t xml:space="preserve"> </w:t>
      </w:r>
      <w:r w:rsidR="00C45A8A">
        <w:t>,</w:t>
      </w:r>
      <w:r w:rsidR="00034EDF">
        <w:t xml:space="preserve"> </w:t>
      </w:r>
      <w:r w:rsidR="00B2748C">
        <w:t xml:space="preserve">depends </w:t>
      </w:r>
      <w:r w:rsidR="005176C5">
        <w:t xml:space="preserve">only </w:t>
      </w:r>
      <w:r w:rsidR="00B2748C">
        <w:t xml:space="preserve">on the last value </w:t>
      </w:r>
      <w:r w:rsidR="00034EDF">
        <w:t>P</w:t>
      </w:r>
      <w:r w:rsidR="00B2748C" w:rsidRPr="005176C5">
        <w:rPr>
          <w:vertAlign w:val="subscript"/>
        </w:rPr>
        <w:t>y-1</w:t>
      </w:r>
      <w:r w:rsidR="00034EDF" w:rsidRPr="00ED0D55">
        <w:t xml:space="preserve"> </w:t>
      </w:r>
      <w:r w:rsidR="00B2748C">
        <w:t>, a</w:t>
      </w:r>
      <w:r w:rsidR="00034EDF">
        <w:t xml:space="preserve">nd </w:t>
      </w:r>
      <w:r w:rsidR="00C21770">
        <w:t>the bycatch term</w:t>
      </w:r>
      <w:r w:rsidR="000703D1">
        <w:t>, Q</w:t>
      </w:r>
      <w:r w:rsidR="00671026">
        <w:t xml:space="preserve">.  </w:t>
      </w:r>
      <w:r w:rsidR="000703D1">
        <w:t>The</w:t>
      </w:r>
      <w:r w:rsidR="00B2748C">
        <w:t xml:space="preserve"> </w:t>
      </w:r>
      <w:r w:rsidR="00673A63">
        <w:t xml:space="preserve">specific </w:t>
      </w:r>
      <w:r w:rsidR="00B2748C">
        <w:t>form of Q can be anything</w:t>
      </w:r>
      <w:r w:rsidR="00C45A8A">
        <w:t xml:space="preserve"> sensible</w:t>
      </w:r>
      <w:r w:rsidR="00B2748C">
        <w:t xml:space="preserve"> that transforms a penalty </w:t>
      </w:r>
      <w:r w:rsidR="00C45A8A">
        <w:t>function</w:t>
      </w:r>
      <w:r w:rsidR="00B2748C">
        <w:t xml:space="preserve"> to a </w:t>
      </w:r>
      <w:r w:rsidR="00541516">
        <w:t>proportion</w:t>
      </w:r>
      <w:r w:rsidR="00C93525">
        <w:t>al</w:t>
      </w:r>
      <w:r w:rsidR="00541516">
        <w:t>-</w:t>
      </w:r>
      <w:r w:rsidR="00C45A8A">
        <w:t xml:space="preserve">factor reflecting the </w:t>
      </w:r>
      <w:r w:rsidR="00B2748C">
        <w:t xml:space="preserve">fractional gain or </w:t>
      </w:r>
      <w:r w:rsidR="00C45A8A">
        <w:t>loss in ITEC the following year (</w:t>
      </w:r>
      <w:r w:rsidR="0060428F">
        <w:t>see</w:t>
      </w:r>
      <w:r w:rsidR="00652891">
        <w:t xml:space="preserve"> </w:t>
      </w:r>
      <w:r w:rsidR="00FF660F">
        <w:t>Appendix A</w:t>
      </w:r>
      <w:r w:rsidR="0060428F">
        <w:t xml:space="preserve"> for further details</w:t>
      </w:r>
      <w:r w:rsidR="00FF660F">
        <w:t>)</w:t>
      </w:r>
      <w:r w:rsidR="00EF49FC">
        <w:t>.  Q is a transformed bycatch rate that is ultimately a random variable.</w:t>
      </w:r>
      <w:r w:rsidR="00671026">
        <w:t xml:space="preserve"> </w:t>
      </w:r>
      <w:r w:rsidR="00FF660F">
        <w:t>Unfortunately,</w:t>
      </w:r>
      <w:r w:rsidR="00D81B3C">
        <w:t xml:space="preserve"> this </w:t>
      </w:r>
      <w:r w:rsidR="00092630">
        <w:t>simple</w:t>
      </w:r>
      <w:r w:rsidR="00C45A8A">
        <w:t xml:space="preserve"> </w:t>
      </w:r>
      <w:r w:rsidR="00FF660F">
        <w:t xml:space="preserve">random walk </w:t>
      </w:r>
      <w:r w:rsidR="00C45A8A">
        <w:t>formula</w:t>
      </w:r>
      <w:r w:rsidR="00F82C7A">
        <w:t xml:space="preserve"> for credits allocations</w:t>
      </w:r>
      <w:r w:rsidR="00C45A8A">
        <w:t xml:space="preserve"> no longer has </w:t>
      </w:r>
      <w:r w:rsidR="00FF660F">
        <w:t xml:space="preserve">the desirable property of </w:t>
      </w:r>
      <w:r w:rsidR="00C45A8A">
        <w:t>asymptotic bounds</w:t>
      </w:r>
      <w:r w:rsidR="00C826A7">
        <w:t xml:space="preserve">, and it can </w:t>
      </w:r>
      <w:r w:rsidR="00C0118C">
        <w:t>increase or decrease indefinitely</w:t>
      </w:r>
      <w:r w:rsidR="00FF660F">
        <w:t xml:space="preserve"> (or go negative)</w:t>
      </w:r>
      <w:r w:rsidR="00671026">
        <w:t xml:space="preserve">.  </w:t>
      </w:r>
      <w:r w:rsidR="00FF660F">
        <w:t xml:space="preserve">However one can </w:t>
      </w:r>
      <w:r w:rsidR="00281C50">
        <w:t xml:space="preserve">implement an </w:t>
      </w:r>
      <w:r w:rsidR="00281C50" w:rsidRPr="007826DE">
        <w:rPr>
          <w:i/>
        </w:rPr>
        <w:t>ad-ho</w:t>
      </w:r>
      <w:r w:rsidR="00281C50">
        <w:t xml:space="preserve">c </w:t>
      </w:r>
      <w:r w:rsidR="00541516">
        <w:t>patch</w:t>
      </w:r>
      <w:r w:rsidR="00092630">
        <w:t xml:space="preserve"> </w:t>
      </w:r>
      <w:r w:rsidR="00281C50">
        <w:t xml:space="preserve">to </w:t>
      </w:r>
      <w:r w:rsidR="00092630">
        <w:t>this problem</w:t>
      </w:r>
      <w:r w:rsidR="002E4E51">
        <w:t xml:space="preserve"> by </w:t>
      </w:r>
      <w:r w:rsidR="00FF660F">
        <w:t>set</w:t>
      </w:r>
      <w:r w:rsidR="002E4E51">
        <w:t>ting</w:t>
      </w:r>
      <w:r w:rsidR="00FF660F">
        <w:t xml:space="preserve"> arbitrary limits</w:t>
      </w:r>
      <w:r w:rsidR="00996DCE">
        <w:t xml:space="preserve"> on P</w:t>
      </w:r>
      <w:r w:rsidR="00FF660F">
        <w:t xml:space="preserve"> (</w:t>
      </w:r>
      <w:r w:rsidR="002A44BB">
        <w:t xml:space="preserve">e.g </w:t>
      </w:r>
      <w:r w:rsidR="007826DE">
        <w:t xml:space="preserve">hard limits of </w:t>
      </w:r>
      <w:r w:rsidR="002A44BB">
        <w:t>[</w:t>
      </w:r>
      <w:r w:rsidR="00FF660F">
        <w:t>2/</w:t>
      </w:r>
      <w:r w:rsidR="002E4E51">
        <w:t>3, 4/3</w:t>
      </w:r>
      <w:r w:rsidR="002A44BB">
        <w:t>]</w:t>
      </w:r>
      <w:r w:rsidR="007826DE">
        <w:t xml:space="preserve"> as effective</w:t>
      </w:r>
      <w:r w:rsidR="002E4E51" w:rsidRPr="00092630">
        <w:t xml:space="preserve"> </w:t>
      </w:r>
      <w:r w:rsidR="002E4E51" w:rsidRPr="00ED0D55">
        <w:t>absorbing bounds</w:t>
      </w:r>
      <w:r w:rsidR="002E4E51">
        <w:t xml:space="preserve"> to the</w:t>
      </w:r>
      <w:r w:rsidR="00FF660F">
        <w:t xml:space="preserve"> random walk</w:t>
      </w:r>
      <w:r w:rsidR="007826DE">
        <w:t>)</w:t>
      </w:r>
      <w:r w:rsidR="00FF660F">
        <w:t>.</w:t>
      </w:r>
    </w:p>
    <w:p w14:paraId="5F316E21" w14:textId="77777777" w:rsidR="003233DB" w:rsidRDefault="003233DB" w:rsidP="00F74532"/>
    <w:p w14:paraId="065ACC52" w14:textId="77777777" w:rsidR="00EF49FC" w:rsidRDefault="00EF49FC" w:rsidP="00EF49FC">
      <w:pPr>
        <w:widowControl w:val="0"/>
        <w:autoSpaceDE w:val="0"/>
        <w:autoSpaceDN w:val="0"/>
        <w:adjustRightInd w:val="0"/>
        <w:rPr>
          <w:rFonts w:cs="Helvetica"/>
        </w:rPr>
      </w:pPr>
      <w:r>
        <w:t xml:space="preserve">The </w:t>
      </w:r>
      <w:r w:rsidR="00C21770">
        <w:t xml:space="preserve">cost associated with </w:t>
      </w:r>
      <w:r>
        <w:t xml:space="preserve">the </w:t>
      </w:r>
      <w:r w:rsidR="00C21770">
        <w:t xml:space="preserve">lack of </w:t>
      </w:r>
      <w:r>
        <w:t xml:space="preserve">this property (convergence to </w:t>
      </w:r>
      <w:r w:rsidR="00C21770">
        <w:t>natural limits</w:t>
      </w:r>
      <w:r>
        <w:t>) is that (4) is not really a legacy system in</w:t>
      </w:r>
      <w:r w:rsidRPr="006447C3">
        <w:rPr>
          <w:rFonts w:cs="Helvetica"/>
        </w:rPr>
        <w:t xml:space="preserve"> terms of the way incentives work, nor in terms of separating out the behavioral component from the chance component.  It lacks a</w:t>
      </w:r>
      <w:r>
        <w:rPr>
          <w:rFonts w:cs="Helvetica"/>
        </w:rPr>
        <w:t>ll of the interesting strengths</w:t>
      </w:r>
      <w:r w:rsidRPr="006447C3">
        <w:rPr>
          <w:rFonts w:cs="Helvetica"/>
        </w:rPr>
        <w:t xml:space="preserve"> that make a true Legacy system work.  </w:t>
      </w:r>
    </w:p>
    <w:p w14:paraId="645D2194" w14:textId="77777777" w:rsidR="00EF49FC" w:rsidRPr="006447C3" w:rsidRDefault="00EF49FC" w:rsidP="00EF49FC">
      <w:pPr>
        <w:widowControl w:val="0"/>
        <w:autoSpaceDE w:val="0"/>
        <w:autoSpaceDN w:val="0"/>
        <w:adjustRightInd w:val="0"/>
        <w:rPr>
          <w:rFonts w:cs="Helvetica"/>
        </w:rPr>
      </w:pPr>
      <w:r w:rsidRPr="006447C3">
        <w:rPr>
          <w:rFonts w:cs="Helvetica"/>
        </w:rPr>
        <w:t xml:space="preserve"> </w:t>
      </w:r>
    </w:p>
    <w:p w14:paraId="63DE2905" w14:textId="77777777" w:rsidR="00EF49FC" w:rsidRPr="006447C3" w:rsidRDefault="00EF49FC" w:rsidP="00EF49FC">
      <w:pPr>
        <w:widowControl w:val="0"/>
        <w:autoSpaceDE w:val="0"/>
        <w:autoSpaceDN w:val="0"/>
        <w:adjustRightInd w:val="0"/>
        <w:rPr>
          <w:rFonts w:cs="Helvetica"/>
        </w:rPr>
      </w:pPr>
      <w:r w:rsidRPr="006447C3">
        <w:rPr>
          <w:rFonts w:cs="Helvetica"/>
        </w:rPr>
        <w:t>For example, if you are at the top of the heap, you will remain there if you have an average year.  There is no incentive to be good going forward... just average.  Similarly, if you are at the bottom of the heap, you will stay there, even if your bycatch rate is average (middle of the pack) the next year.  The realistic incentive is to stay bad.  </w:t>
      </w:r>
      <w:r w:rsidR="00A83B5D">
        <w:rPr>
          <w:rFonts w:cs="Helvetica"/>
        </w:rPr>
        <w:t xml:space="preserve">In other words, once you become an A student you remain an A student even if you perform like a C student from then on, and once an F student, you remain there even if you consistently perform like a C student. A consistent C student can get rewarded in perpetuity as an A student or and F student. There is a discontinuous mismatch between current actions and consequences. </w:t>
      </w:r>
      <w:r w:rsidRPr="006447C3">
        <w:rPr>
          <w:rFonts w:cs="Helvetica"/>
        </w:rPr>
        <w:t>It is a degenerate case that will produce a</w:t>
      </w:r>
      <w:r>
        <w:rPr>
          <w:rFonts w:cs="Helvetica"/>
        </w:rPr>
        <w:t xml:space="preserve"> distribution of allocations that is</w:t>
      </w:r>
      <w:r w:rsidRPr="006447C3">
        <w:rPr>
          <w:rFonts w:cs="Helvetica"/>
        </w:rPr>
        <w:t xml:space="preserve"> flat with spikes at either end.</w:t>
      </w:r>
    </w:p>
    <w:p w14:paraId="5CD88120" w14:textId="77777777" w:rsidR="00EF49FC" w:rsidRPr="006447C3" w:rsidRDefault="00EF49FC" w:rsidP="00EF49FC">
      <w:pPr>
        <w:widowControl w:val="0"/>
        <w:autoSpaceDE w:val="0"/>
        <w:autoSpaceDN w:val="0"/>
        <w:adjustRightInd w:val="0"/>
        <w:rPr>
          <w:rFonts w:cs="Helvetica"/>
        </w:rPr>
      </w:pPr>
    </w:p>
    <w:p w14:paraId="78DEA06F" w14:textId="77777777" w:rsidR="00996DCE" w:rsidRPr="00EF49FC" w:rsidRDefault="00EF49FC" w:rsidP="00EF49FC">
      <w:pPr>
        <w:widowControl w:val="0"/>
        <w:autoSpaceDE w:val="0"/>
        <w:autoSpaceDN w:val="0"/>
        <w:adjustRightInd w:val="0"/>
        <w:rPr>
          <w:rFonts w:cs="Helvetica"/>
        </w:rPr>
      </w:pPr>
      <w:r w:rsidRPr="006447C3">
        <w:rPr>
          <w:rFonts w:cs="Helvetica"/>
        </w:rPr>
        <w:t>Asymptotic (gradual) convergence to intrinsic upper and lower bounds (eg. 4/3, 2/3) is essential to have sensible incentives.    (eg. consistent good behavior etc).</w:t>
      </w:r>
    </w:p>
    <w:p w14:paraId="0FBDAD2D" w14:textId="77777777" w:rsidR="00996DCE" w:rsidRDefault="00996DCE" w:rsidP="00F74532"/>
    <w:p w14:paraId="7AA94BB8" w14:textId="77777777" w:rsidR="00B03642" w:rsidRDefault="00996DCE" w:rsidP="004B75A9">
      <w:pPr>
        <w:tabs>
          <w:tab w:val="left" w:pos="1710"/>
        </w:tabs>
      </w:pPr>
      <w:r>
        <w:t>Although c</w:t>
      </w:r>
      <w:r w:rsidR="00541516">
        <w:t xml:space="preserve">ase (4) </w:t>
      </w:r>
      <w:r w:rsidR="00066265">
        <w:t xml:space="preserve">is a bit “homegrown” and </w:t>
      </w:r>
      <w:r w:rsidR="00541516">
        <w:t>does not have the</w:t>
      </w:r>
      <w:r w:rsidR="00C21770">
        <w:t xml:space="preserve"> sensible cumulative</w:t>
      </w:r>
      <w:r w:rsidR="003233DB">
        <w:t xml:space="preserve"> incentive dynamics</w:t>
      </w:r>
      <w:r w:rsidR="00541516">
        <w:t xml:space="preserve"> </w:t>
      </w:r>
      <w:r w:rsidR="003233DB">
        <w:t xml:space="preserve">that accompany the </w:t>
      </w:r>
      <w:r w:rsidR="00541516">
        <w:t>nice</w:t>
      </w:r>
      <w:r w:rsidR="002E4E51">
        <w:t xml:space="preserve"> mathematical pro</w:t>
      </w:r>
      <w:r>
        <w:t xml:space="preserve">perties of the other </w:t>
      </w:r>
      <w:r w:rsidR="00092630">
        <w:t xml:space="preserve">more general </w:t>
      </w:r>
      <w:r>
        <w:t xml:space="preserve">cases, </w:t>
      </w:r>
      <w:r w:rsidR="00C826A7">
        <w:t>it does have</w:t>
      </w:r>
      <w:r w:rsidR="00BF4E55">
        <w:t xml:space="preserve"> some merit</w:t>
      </w:r>
      <w:r w:rsidR="00671026">
        <w:t xml:space="preserve">.  </w:t>
      </w:r>
      <w:r w:rsidR="00C826A7">
        <w:t>Namely</w:t>
      </w:r>
      <w:r w:rsidR="00F82C7A">
        <w:t>, it is</w:t>
      </w:r>
      <w:r w:rsidR="002E4E51">
        <w:t xml:space="preserve"> easy to explain</w:t>
      </w:r>
      <w:r>
        <w:t xml:space="preserve"> and adjust </w:t>
      </w:r>
      <w:r w:rsidR="00C826A7">
        <w:t>in ad-hoc ways</w:t>
      </w:r>
      <w:r w:rsidR="002E4E51">
        <w:t xml:space="preserve">, and is therefore </w:t>
      </w:r>
      <w:r w:rsidR="009E48E9">
        <w:t xml:space="preserve">likely to be </w:t>
      </w:r>
      <w:r w:rsidR="002E4E51">
        <w:t xml:space="preserve">useful in </w:t>
      </w:r>
      <w:r w:rsidR="00C826A7">
        <w:t xml:space="preserve">non-technically guided </w:t>
      </w:r>
      <w:r w:rsidR="002E4E51">
        <w:t>discussions</w:t>
      </w:r>
      <w:r w:rsidR="00092630">
        <w:t xml:space="preserve"> about spe</w:t>
      </w:r>
      <w:r w:rsidR="00C826A7">
        <w:t>cific parameter implementations</w:t>
      </w:r>
      <w:r w:rsidR="00671026">
        <w:t xml:space="preserve">.  </w:t>
      </w:r>
      <w:r w:rsidR="00C826A7">
        <w:t>For example</w:t>
      </w:r>
      <w:r w:rsidR="00F82C7A">
        <w:t xml:space="preserve">, it is possible to specify a rapid </w:t>
      </w:r>
      <w:r w:rsidR="000944D6">
        <w:t>linear (</w:t>
      </w:r>
      <w:r w:rsidR="00F82C7A">
        <w:t>non-asymptotic</w:t>
      </w:r>
      <w:r w:rsidR="000944D6">
        <w:t>)</w:t>
      </w:r>
      <w:r w:rsidR="00A1266B">
        <w:t xml:space="preserve"> approach to a boundary</w:t>
      </w:r>
      <w:r w:rsidR="00671026">
        <w:t xml:space="preserve">.  </w:t>
      </w:r>
      <w:r w:rsidR="00C826A7">
        <w:t>Thus</w:t>
      </w:r>
      <w:r w:rsidR="00541516">
        <w:t>,</w:t>
      </w:r>
      <w:r w:rsidR="000944D6">
        <w:t xml:space="preserve"> the limits on Q could be</w:t>
      </w:r>
      <w:r w:rsidR="00541516">
        <w:t xml:space="preserve"> set so that a </w:t>
      </w:r>
      <w:r w:rsidR="002B7A56">
        <w:t>lower-bound</w:t>
      </w:r>
      <w:r w:rsidR="00541516">
        <w:t xml:space="preserve"> can be hit in 3 yea</w:t>
      </w:r>
      <w:r w:rsidR="00092630">
        <w:t>rs, giving rise to a “3-strikes</w:t>
      </w:r>
      <w:r w:rsidR="00541516">
        <w:t xml:space="preserve"> rule</w:t>
      </w:r>
      <w:r w:rsidR="00092630">
        <w:t>” so that</w:t>
      </w:r>
      <w:r w:rsidR="00541516">
        <w:t xml:space="preserve"> </w:t>
      </w:r>
      <w:r w:rsidR="00092630">
        <w:t>the consistent worst case performer hits</w:t>
      </w:r>
      <w:r w:rsidR="00541516">
        <w:t xml:space="preserve"> the lower limit</w:t>
      </w:r>
      <w:r w:rsidR="00092630">
        <w:t xml:space="preserve"> (eg</w:t>
      </w:r>
      <w:r w:rsidR="00671026">
        <w:t xml:space="preserve">.  </w:t>
      </w:r>
      <w:r w:rsidR="00920D80">
        <w:t xml:space="preserve">P = </w:t>
      </w:r>
      <w:r w:rsidR="00092630">
        <w:t>2/3) in 3 years starting from the initial allocation</w:t>
      </w:r>
      <w:r w:rsidR="00671026">
        <w:t xml:space="preserve">. </w:t>
      </w:r>
      <w:r w:rsidR="00C21770">
        <w:t>Here</w:t>
      </w:r>
      <w:r w:rsidR="00726440">
        <w:t>, the penalty for being the worst performing vessel is equal for all 3 years (</w:t>
      </w:r>
      <w:r w:rsidR="00C85A7B">
        <w:t xml:space="preserve">e.g., </w:t>
      </w:r>
      <w:r w:rsidR="00726440">
        <w:t>- 11.1%) rather than</w:t>
      </w:r>
      <w:r w:rsidR="00C21770">
        <w:t xml:space="preserve"> </w:t>
      </w:r>
      <w:r w:rsidR="009F007E">
        <w:t xml:space="preserve">in </w:t>
      </w:r>
      <w:r w:rsidR="00C21770">
        <w:t>progressively</w:t>
      </w:r>
      <w:r w:rsidR="009F007E">
        <w:t xml:space="preserve"> smaller increments</w:t>
      </w:r>
      <w:r w:rsidR="00726440">
        <w:t xml:space="preserve"> (see </w:t>
      </w:r>
      <w:r w:rsidR="00EF49FC">
        <w:t>Figures A-5 and A-6</w:t>
      </w:r>
      <w:r w:rsidR="000E16F8">
        <w:t xml:space="preserve">) </w:t>
      </w:r>
      <w:r w:rsidR="00726440">
        <w:t>as the vessel approaches the lower-bound in the more general case (e.g</w:t>
      </w:r>
      <w:r w:rsidR="00EF49FC">
        <w:t xml:space="preserve">. </w:t>
      </w:r>
      <w:r w:rsidR="00726440">
        <w:t>eqn</w:t>
      </w:r>
      <w:r w:rsidR="00671026">
        <w:t xml:space="preserve">.  </w:t>
      </w:r>
      <w:r w:rsidR="00726440">
        <w:t>2)</w:t>
      </w:r>
      <w:r w:rsidR="00AE74FB">
        <w:t>.</w:t>
      </w:r>
      <w:r w:rsidR="00C21770">
        <w:t xml:space="preserve">  Yet as seen in the A</w:t>
      </w:r>
      <w:r w:rsidR="00EF49FC">
        <w:t>ppendix (section A, Figures A-5 and A-6</w:t>
      </w:r>
      <w:r w:rsidR="00C21770">
        <w:t>) the differences in convergence behavior between this alternative and the true Lega</w:t>
      </w:r>
      <w:r w:rsidR="0099398B">
        <w:t>cy alternatives can be small; so although it is not a viable incentive system, it may be useful in sharpening discussion.</w:t>
      </w:r>
      <w:r w:rsidR="009F007E">
        <w:t xml:space="preserve">  </w:t>
      </w:r>
    </w:p>
    <w:p w14:paraId="4BCAD0C6" w14:textId="77777777" w:rsidR="00AE74FB" w:rsidRDefault="00AE74FB" w:rsidP="00F74532"/>
    <w:p w14:paraId="3EB80A61" w14:textId="77777777" w:rsidR="006866FD" w:rsidRDefault="006866FD" w:rsidP="00F74532"/>
    <w:p w14:paraId="35730BE6" w14:textId="77777777" w:rsidR="00937226" w:rsidRDefault="00800ABB" w:rsidP="00F74532">
      <w:pPr>
        <w:rPr>
          <w:b/>
        </w:rPr>
      </w:pPr>
      <w:r>
        <w:rPr>
          <w:b/>
        </w:rPr>
        <w:t xml:space="preserve">11.2.4  </w:t>
      </w:r>
      <w:r w:rsidR="006866FD">
        <w:rPr>
          <w:b/>
        </w:rPr>
        <w:t>Th</w:t>
      </w:r>
      <w:r w:rsidR="00937226">
        <w:rPr>
          <w:b/>
        </w:rPr>
        <w:t>e Importance of Scaling for Ve</w:t>
      </w:r>
      <w:r w:rsidR="00FC5B38">
        <w:rPr>
          <w:b/>
        </w:rPr>
        <w:t>ssel Size</w:t>
      </w:r>
      <w:r w:rsidR="00091BF4">
        <w:rPr>
          <w:b/>
        </w:rPr>
        <w:t xml:space="preserve"> to Place</w:t>
      </w:r>
      <w:r w:rsidR="00D1071F">
        <w:rPr>
          <w:b/>
        </w:rPr>
        <w:t xml:space="preserve"> Large </w:t>
      </w:r>
      <w:r w:rsidR="00091BF4">
        <w:rPr>
          <w:b/>
        </w:rPr>
        <w:t>Vessels/</w:t>
      </w:r>
      <w:r w:rsidR="00D1071F">
        <w:rPr>
          <w:b/>
        </w:rPr>
        <w:t>Firms</w:t>
      </w:r>
      <w:r w:rsidR="00DB3BA9">
        <w:rPr>
          <w:b/>
        </w:rPr>
        <w:t xml:space="preserve"> and Small Ind</w:t>
      </w:r>
      <w:r w:rsidR="004C2FFA">
        <w:rPr>
          <w:b/>
        </w:rPr>
        <w:t>ependent Vessels on Level Ground</w:t>
      </w:r>
    </w:p>
    <w:p w14:paraId="199C362C" w14:textId="77777777" w:rsidR="00DB3BA9" w:rsidRDefault="00937226" w:rsidP="006866FD">
      <w:r>
        <w:t xml:space="preserve">The variance in bycatch rates between vessels can be attributed in part to </w:t>
      </w:r>
      <w:r w:rsidRPr="005B6045">
        <w:rPr>
          <w:i/>
        </w:rPr>
        <w:t xml:space="preserve">chance encounters </w:t>
      </w:r>
      <w:r>
        <w:t xml:space="preserve">with </w:t>
      </w:r>
      <w:r w:rsidR="001B6C51">
        <w:t xml:space="preserve">patchy </w:t>
      </w:r>
      <w:r>
        <w:t>pockets of Chinook sal</w:t>
      </w:r>
      <w:r w:rsidR="00DB3BA9">
        <w:t xml:space="preserve">mon, which is related </w:t>
      </w:r>
      <w:r w:rsidR="00C04ACD">
        <w:t xml:space="preserve">in part </w:t>
      </w:r>
      <w:r w:rsidR="00DB3BA9">
        <w:t>to sample size</w:t>
      </w:r>
      <w:r w:rsidR="00C04ACD">
        <w:t xml:space="preserve"> effects or sampling variation</w:t>
      </w:r>
      <w:r w:rsidR="00DB3BA9">
        <w:t>. This,</w:t>
      </w:r>
      <w:r w:rsidR="00FB13EB">
        <w:t xml:space="preserve"> </w:t>
      </w:r>
      <w:r w:rsidR="00DB3BA9">
        <w:t xml:space="preserve">in turn, </w:t>
      </w:r>
      <w:r w:rsidR="00FB13EB">
        <w:t xml:space="preserve">is </w:t>
      </w:r>
      <w:r w:rsidR="00800ABB">
        <w:t xml:space="preserve">directly </w:t>
      </w:r>
      <w:r w:rsidR="00FB13EB">
        <w:t xml:space="preserve">related to </w:t>
      </w:r>
      <w:r w:rsidR="00DB3BA9">
        <w:t>vessel size.</w:t>
      </w:r>
      <w:r>
        <w:t xml:space="preserve"> </w:t>
      </w:r>
      <w:r w:rsidR="00FB13EB">
        <w:t>Consequently</w:t>
      </w:r>
      <w:r>
        <w:t xml:space="preserve">, as shown in </w:t>
      </w:r>
      <w:r w:rsidR="00FC5B38">
        <w:t xml:space="preserve">Figure 2 and </w:t>
      </w:r>
      <w:r>
        <w:t xml:space="preserve">Appendix A-4, we found that the variance in bycatch rates of smaller vessels </w:t>
      </w:r>
      <w:r w:rsidR="00C04ACD">
        <w:t xml:space="preserve">in the inshore sector </w:t>
      </w:r>
      <w:r>
        <w:t>was systematically higher than that expected for larger vessels. That is</w:t>
      </w:r>
      <w:r w:rsidR="00800ABB">
        <w:t>,</w:t>
      </w:r>
      <w:r>
        <w:t xml:space="preserve"> small vessels suffer gre</w:t>
      </w:r>
      <w:r w:rsidR="00FB13EB">
        <w:t xml:space="preserve">ater risk of </w:t>
      </w:r>
      <w:r w:rsidR="00800ABB">
        <w:t>be</w:t>
      </w:r>
      <w:r w:rsidR="00091BF4">
        <w:t>ing assigned an errant</w:t>
      </w:r>
      <w:r w:rsidR="00800ABB">
        <w:t xml:space="preserve"> bycatch rate due to sampling</w:t>
      </w:r>
      <w:r w:rsidR="00FB13EB">
        <w:t xml:space="preserve"> variation</w:t>
      </w:r>
      <w:r w:rsidR="00555302">
        <w:rPr>
          <w:rStyle w:val="FootnoteReference"/>
        </w:rPr>
        <w:footnoteReference w:id="4"/>
      </w:r>
      <w:r w:rsidR="00FB13EB">
        <w:t xml:space="preserve"> than larger vessels or</w:t>
      </w:r>
      <w:r>
        <w:t xml:space="preserve"> companies that manage groups of vessels</w:t>
      </w:r>
      <w:r w:rsidR="00FB13EB">
        <w:t xml:space="preserve">. </w:t>
      </w:r>
      <w:r>
        <w:t xml:space="preserve">Because small vessels are subject to more sampling error </w:t>
      </w:r>
      <w:r w:rsidR="00FB13EB">
        <w:t xml:space="preserve">of this kind </w:t>
      </w:r>
      <w:r>
        <w:t>(</w:t>
      </w:r>
      <w:r w:rsidR="00FC5B38">
        <w:t>Figure 2</w:t>
      </w:r>
      <w:r w:rsidR="00C04ACD">
        <w:t>),</w:t>
      </w:r>
      <w:r w:rsidR="00A3461C">
        <w:t xml:space="preserve"> we used </w:t>
      </w:r>
      <w:r>
        <w:t>a correc</w:t>
      </w:r>
      <w:r w:rsidR="00FB13EB">
        <w:t>ted standard deviation</w:t>
      </w:r>
      <w:r w:rsidR="00A3461C">
        <w:t xml:space="preserve"> in the allocation calculation</w:t>
      </w:r>
      <w:r w:rsidR="00FB13EB">
        <w:t xml:space="preserve"> to adjust for</w:t>
      </w:r>
      <w:r>
        <w:t xml:space="preserve"> the effects of </w:t>
      </w:r>
      <w:r w:rsidR="00DB3BA9">
        <w:t>random noise due to vessel size</w:t>
      </w:r>
      <w:r w:rsidR="00C04ACD">
        <w:t xml:space="preserve"> (Appendix A-4)</w:t>
      </w:r>
      <w:r w:rsidR="00DB3BA9">
        <w:t>,</w:t>
      </w:r>
      <w:r w:rsidR="00A3461C">
        <w:t xml:space="preserve"> effectively</w:t>
      </w:r>
      <w:r w:rsidR="00DB3BA9">
        <w:t xml:space="preserve"> treating vessels belonging to a single company as a single large vessel.</w:t>
      </w:r>
      <w:r>
        <w:t xml:space="preserve">  This random noise varies with the inverse square roo</w:t>
      </w:r>
      <w:r w:rsidR="00FB13EB">
        <w:t xml:space="preserve">t of 1 + pollock allocation % and is applied to put </w:t>
      </w:r>
      <w:r w:rsidR="00D1071F">
        <w:t xml:space="preserve">small independent vessels on the same level playing ground with respect to legacy allocations as </w:t>
      </w:r>
      <w:r w:rsidR="00FB13EB">
        <w:t>la</w:t>
      </w:r>
      <w:r w:rsidR="00800ABB">
        <w:t>rger vessels and companies that employ many vessels (see Appendix A-4 for details).</w:t>
      </w:r>
      <w:r w:rsidR="00A3461C">
        <w:t xml:space="preserve">  It is a minor</w:t>
      </w:r>
      <w:r w:rsidR="00DB3BA9">
        <w:t xml:space="preserve"> but measureable correction</w:t>
      </w:r>
      <w:r w:rsidR="00E43317">
        <w:t xml:space="preserve"> on reallocation that removes the disadvantage of increased risk experienced by</w:t>
      </w:r>
      <w:r w:rsidR="00DB3BA9">
        <w:t xml:space="preserve"> smaller vessels.</w:t>
      </w:r>
    </w:p>
    <w:p w14:paraId="18D6F1A1" w14:textId="77777777" w:rsidR="00937226" w:rsidRDefault="00937226" w:rsidP="006866FD"/>
    <w:p w14:paraId="09007772" w14:textId="77777777" w:rsidR="00FB13EB" w:rsidRDefault="00FC5B38" w:rsidP="006866FD">
      <w:r w:rsidRPr="00FC5B38">
        <w:rPr>
          <w:noProof/>
        </w:rPr>
        <w:drawing>
          <wp:inline distT="0" distB="0" distL="0" distR="0" wp14:anchorId="0C246648" wp14:editId="6B749B11">
            <wp:extent cx="5486400" cy="3503652"/>
            <wp:effectExtent l="0" t="0" r="0" b="0"/>
            <wp:docPr id="3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F30E9A" w14:textId="77777777" w:rsidR="00FC5B38" w:rsidRPr="000043D6" w:rsidRDefault="00FC5B38" w:rsidP="00FC5B38">
      <w:pPr>
        <w:pStyle w:val="Caption"/>
        <w:ind w:left="720"/>
        <w:rPr>
          <w:b w:val="0"/>
          <w:sz w:val="24"/>
        </w:rPr>
      </w:pPr>
      <w:r>
        <w:rPr>
          <w:sz w:val="24"/>
        </w:rPr>
        <w:t xml:space="preserve">Figure 2.  </w:t>
      </w:r>
      <w:r w:rsidRPr="000043D6">
        <w:rPr>
          <w:b w:val="0"/>
          <w:sz w:val="24"/>
        </w:rPr>
        <w:t>Smaller vessels show higher variability in bycatch rates</w:t>
      </w:r>
      <w:r>
        <w:rPr>
          <w:b w:val="0"/>
          <w:sz w:val="24"/>
        </w:rPr>
        <w:t xml:space="preserve">.  </w:t>
      </w:r>
      <w:r w:rsidRPr="000043D6">
        <w:rPr>
          <w:b w:val="0"/>
          <w:sz w:val="24"/>
        </w:rPr>
        <w:t>(annual data)</w:t>
      </w:r>
    </w:p>
    <w:p w14:paraId="14842102" w14:textId="77777777" w:rsidR="00D1071F" w:rsidRDefault="00D1071F" w:rsidP="006866FD"/>
    <w:p w14:paraId="2BF31555" w14:textId="77777777" w:rsidR="00FC5B38" w:rsidRDefault="001939B9" w:rsidP="006866FD">
      <w:r w:rsidRPr="001939B9">
        <w:rPr>
          <w:b/>
        </w:rPr>
        <w:t>II.2.5</w:t>
      </w:r>
      <w:r>
        <w:t xml:space="preserve">  </w:t>
      </w:r>
      <w:r w:rsidR="004C2FFA">
        <w:rPr>
          <w:b/>
        </w:rPr>
        <w:t>Scaling to Avoid Penalizing</w:t>
      </w:r>
      <w:r w:rsidRPr="001939B9">
        <w:rPr>
          <w:b/>
        </w:rPr>
        <w:t xml:space="preserve"> </w:t>
      </w:r>
      <w:r w:rsidR="004C2FFA">
        <w:rPr>
          <w:b/>
        </w:rPr>
        <w:t xml:space="preserve">Competitive </w:t>
      </w:r>
      <w:r w:rsidRPr="001939B9">
        <w:rPr>
          <w:b/>
        </w:rPr>
        <w:t>Improvement</w:t>
      </w:r>
      <w:r w:rsidR="004C2FFA">
        <w:rPr>
          <w:b/>
        </w:rPr>
        <w:t xml:space="preserve"> Through Time</w:t>
      </w:r>
    </w:p>
    <w:p w14:paraId="27861BEC" w14:textId="77777777" w:rsidR="000501E7" w:rsidRDefault="00C04ACD" w:rsidP="006866FD">
      <w:r>
        <w:t>In addition to various forms of sampling variation, t</w:t>
      </w:r>
      <w:r w:rsidR="00DB3BA9">
        <w:t xml:space="preserve">he variance in bycatch rates between vessels can </w:t>
      </w:r>
      <w:r>
        <w:t xml:space="preserve">also </w:t>
      </w:r>
      <w:r w:rsidR="00DB3BA9">
        <w:t xml:space="preserve">be attributed in part to </w:t>
      </w:r>
      <w:r w:rsidR="00DB3BA9" w:rsidRPr="005B6045">
        <w:rPr>
          <w:i/>
        </w:rPr>
        <w:t>consistent beha</w:t>
      </w:r>
      <w:r w:rsidR="00DB3BA9" w:rsidRPr="00FC5B38">
        <w:rPr>
          <w:i/>
        </w:rPr>
        <w:t>viors</w:t>
      </w:r>
      <w:r w:rsidR="00DB3BA9">
        <w:t xml:space="preserve"> shown by vessels that appear to directly influence bycatch rates (caution in gear deployment, locational choices, timing etc).</w:t>
      </w:r>
    </w:p>
    <w:p w14:paraId="5EE9EF7E" w14:textId="77777777" w:rsidR="000501E7" w:rsidRDefault="000501E7" w:rsidP="006866FD"/>
    <w:p w14:paraId="4F95AEE8" w14:textId="77777777" w:rsidR="001939B9" w:rsidRDefault="000501E7" w:rsidP="000501E7">
      <w:r>
        <w:t xml:space="preserve">One reasonable expectation of the Industry Market-Incentive Plan is for the </w:t>
      </w:r>
      <w:r w:rsidR="008B07D2">
        <w:t xml:space="preserve">variance in the </w:t>
      </w:r>
      <w:r>
        <w:t xml:space="preserve">distribution of bycatch rates among vessels to decrease over time as vessels exploit the same behavioral changes to reduce bycatch rates.  </w:t>
      </w:r>
      <w:r w:rsidR="008B07D2">
        <w:t>As this happens</w:t>
      </w:r>
      <w:r w:rsidR="001939B9">
        <w:t xml:space="preserve"> bycatch rates would fall and</w:t>
      </w:r>
      <w:r w:rsidR="008B07D2">
        <w:t xml:space="preserve"> a</w:t>
      </w:r>
      <w:r>
        <w:t xml:space="preserve"> larger proportion of the variation in bycatch rates would then be due to random chance and not intentional behavior on the part of vessels. </w:t>
      </w:r>
      <w:r w:rsidR="001939B9">
        <w:t xml:space="preserve"> Indeed, a</w:t>
      </w:r>
      <w:r w:rsidR="008B07D2">
        <w:t>s shown in figure 3</w:t>
      </w:r>
      <w:r w:rsidR="001939B9">
        <w:t xml:space="preserve"> below</w:t>
      </w:r>
      <w:r w:rsidR="008B07D2">
        <w:t xml:space="preserve"> for all of the sectors combined, there is a clear tendency for lower variance in bycatch rate to accompany </w:t>
      </w:r>
      <w:r w:rsidR="001939B9">
        <w:t>a lower sector bycatch rate, reinforcing the idea of a narrower distribution of rates accompanying lowered rates.  This suggests rescaling variance</w:t>
      </w:r>
      <w:r w:rsidR="00102FF3">
        <w:t>s to keep a level playing field (see Appendix A-4 for details).</w:t>
      </w:r>
    </w:p>
    <w:p w14:paraId="3C63D6F8" w14:textId="77777777" w:rsidR="008B07D2" w:rsidRDefault="008B07D2" w:rsidP="000501E7"/>
    <w:p w14:paraId="5D3AB605" w14:textId="77777777" w:rsidR="009C5BB8" w:rsidRDefault="001939B9" w:rsidP="000501E7">
      <w:r>
        <w:t>This scaled variance, is intended as a simple correction for the fact that with time the variance in bycatch rates should decline, meaning that the effects of equivalent random variation on subsequent allocations will grow. Basically, this rule keeps incentives from increasing artificially as the variance in bycatch distributions falls over the years. That is, as the distribution of bycatch rates within a sector becomes narrower, vessels will need to effect smaller changes in bycatch rates to see the same change in ITEC allocation</w:t>
      </w:r>
      <w:r w:rsidR="00102FF3">
        <w:t>.</w:t>
      </w:r>
      <w:r>
        <w:t xml:space="preserve">   It was implemented </w:t>
      </w:r>
      <w:r w:rsidRPr="00D9111A">
        <w:t>in order to ensure that variance i</w:t>
      </w:r>
      <w:r>
        <w:t>n relative bycatch rate</w:t>
      </w:r>
      <w:r w:rsidRPr="00D9111A">
        <w:t xml:space="preserve"> </w:t>
      </w:r>
      <w:r>
        <w:t xml:space="preserve">continues to </w:t>
      </w:r>
      <w:r w:rsidRPr="00D9111A">
        <w:t xml:space="preserve">reflect behavioral differences rather than noise, </w:t>
      </w:r>
      <w:r>
        <w:t xml:space="preserve">as </w:t>
      </w:r>
      <w:r w:rsidRPr="00D9111A">
        <w:t xml:space="preserve">the fleet </w:t>
      </w:r>
      <w:r>
        <w:t>converges to lower</w:t>
      </w:r>
      <w:r w:rsidRPr="00D9111A">
        <w:t xml:space="preserve"> bycatch </w:t>
      </w:r>
      <w:r>
        <w:t>rates. Industry is concerned with vessels getting punished or rewarded due to chance encounters when the distribution of bycatch rates for the fleet become narrow.  Rather than thinking of this as “diluting” incentives, it is better to think of this as preventing the potential artificial amplification of incentives due to systematic declines in variance.  We do not want to penalize vessels because the fleet is getting better.</w:t>
      </w:r>
    </w:p>
    <w:p w14:paraId="3065B40F" w14:textId="77777777" w:rsidR="001939B9" w:rsidRDefault="001939B9" w:rsidP="000501E7"/>
    <w:p w14:paraId="48B97FE9" w14:textId="77777777" w:rsidR="008B07D2" w:rsidRDefault="001939B9" w:rsidP="000501E7">
      <w:r w:rsidRPr="001939B9">
        <w:rPr>
          <w:noProof/>
        </w:rPr>
        <w:drawing>
          <wp:inline distT="0" distB="0" distL="0" distR="0" wp14:anchorId="736DBCE1" wp14:editId="53F3FE8B">
            <wp:extent cx="5486400" cy="3551013"/>
            <wp:effectExtent l="25400" t="0" r="0" b="0"/>
            <wp:docPr id="3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6CED08" w14:textId="77777777" w:rsidR="00D1071F" w:rsidRDefault="00D1071F" w:rsidP="00D1071F">
      <w:pPr>
        <w:rPr>
          <w:i/>
        </w:rPr>
      </w:pPr>
    </w:p>
    <w:p w14:paraId="60CE0826" w14:textId="77777777" w:rsidR="005C4AFD" w:rsidRPr="00A8160E" w:rsidRDefault="005C4AFD" w:rsidP="005C4AFD">
      <w:pPr>
        <w:pStyle w:val="Caption"/>
        <w:ind w:left="720"/>
        <w:rPr>
          <w:b w:val="0"/>
          <w:sz w:val="24"/>
        </w:rPr>
      </w:pPr>
      <w:r w:rsidRPr="00A8160E">
        <w:rPr>
          <w:sz w:val="24"/>
        </w:rPr>
        <w:t xml:space="preserve">Figure </w:t>
      </w:r>
      <w:r>
        <w:rPr>
          <w:sz w:val="24"/>
        </w:rPr>
        <w:t xml:space="preserve">3.  </w:t>
      </w:r>
      <w:r w:rsidR="00D61490">
        <w:rPr>
          <w:b w:val="0"/>
          <w:sz w:val="24"/>
        </w:rPr>
        <w:t>S</w:t>
      </w:r>
      <w:r w:rsidRPr="00A8160E">
        <w:rPr>
          <w:b w:val="0"/>
          <w:sz w:val="24"/>
        </w:rPr>
        <w:t>tandard deviation of bycatch rates as a function of sector total bycatch rate</w:t>
      </w:r>
      <w:r>
        <w:rPr>
          <w:b w:val="0"/>
          <w:sz w:val="24"/>
        </w:rPr>
        <w:t>.  (A</w:t>
      </w:r>
      <w:r w:rsidRPr="00A8160E">
        <w:rPr>
          <w:b w:val="0"/>
          <w:sz w:val="24"/>
        </w:rPr>
        <w:t>nnual data from multiple sectors</w:t>
      </w:r>
      <w:r>
        <w:rPr>
          <w:b w:val="0"/>
          <w:sz w:val="24"/>
        </w:rPr>
        <w:t>.  Provided by Sea State</w:t>
      </w:r>
      <w:r w:rsidRPr="00A8160E">
        <w:rPr>
          <w:b w:val="0"/>
          <w:sz w:val="24"/>
        </w:rPr>
        <w:t>)</w:t>
      </w:r>
      <w:r>
        <w:rPr>
          <w:b w:val="0"/>
          <w:sz w:val="24"/>
        </w:rPr>
        <w:t>.</w:t>
      </w:r>
      <w:r w:rsidR="00D61490">
        <w:rPr>
          <w:b w:val="0"/>
          <w:sz w:val="24"/>
        </w:rPr>
        <w:t xml:space="preserve">  Narrower distributions of bycatch among vessels accompany lower sector bycatch rates, meaning equivalent actions a lower bycatch levels produce larger effects in ITEC allocation (higher incentives at lower bycatch levels).</w:t>
      </w:r>
    </w:p>
    <w:p w14:paraId="5B1B7524" w14:textId="77777777" w:rsidR="00850863" w:rsidRDefault="00850863" w:rsidP="005C4AFD"/>
    <w:p w14:paraId="4769D007" w14:textId="77777777" w:rsidR="005C4AFD" w:rsidRPr="0012445F" w:rsidRDefault="00850863" w:rsidP="005C4AFD">
      <w:r>
        <w:t xml:space="preserve">As we shall discuss </w:t>
      </w:r>
      <w:r w:rsidR="00EF7536">
        <w:t xml:space="preserve">again </w:t>
      </w:r>
      <w:r>
        <w:t>in section III.2, this fig</w:t>
      </w:r>
      <w:r w:rsidR="00E876F5">
        <w:t>ure shows</w:t>
      </w:r>
      <w:r>
        <w:t xml:space="preserve"> that allocation incentives are stronger during periods of low encounters, in that </w:t>
      </w:r>
      <w:r w:rsidR="00EF7536">
        <w:t>as the distribution of bycatch rates within a sector becomes narrower with lower bycatch rates, vessels will need to effect smaller changes in bycatch rates to see the same change in ITEC allocation</w:t>
      </w:r>
    </w:p>
    <w:p w14:paraId="415E703D" w14:textId="77777777" w:rsidR="00E876F5" w:rsidRDefault="00E876F5" w:rsidP="006866FD"/>
    <w:p w14:paraId="5F04A9E0" w14:textId="77777777" w:rsidR="001939B9" w:rsidRDefault="00E876F5" w:rsidP="006866FD">
      <w:r>
        <w:t>II.2.6 Legacy Incentives with this parameterization</w:t>
      </w:r>
    </w:p>
    <w:p w14:paraId="50F5EEC9" w14:textId="77777777" w:rsidR="00FB13EB" w:rsidRDefault="00FB13EB" w:rsidP="00FB13EB">
      <w:r>
        <w:t>Given the specific bounds [2/3, 4/3], the magnitude of the financial incentives created by Legacy Allocations can be large in terms of the value of Pollock quota left unharvested when vessels run out of ITEC and credits are not readily available for sale</w:t>
      </w:r>
      <w:r w:rsidR="00E876F5">
        <w:t xml:space="preserve"> (See ppt slide 21 and 22 and figures 5 &amp; 8)</w:t>
      </w:r>
      <w:r>
        <w:t>.</w:t>
      </w:r>
    </w:p>
    <w:p w14:paraId="05D66AE4" w14:textId="77777777" w:rsidR="00FB13EB" w:rsidRDefault="00FB13EB" w:rsidP="00FB13EB"/>
    <w:p w14:paraId="0DCF6674" w14:textId="77777777" w:rsidR="00FB13EB" w:rsidRDefault="00FB13EB" w:rsidP="00FB13EB">
      <w:r>
        <w:t>A vessel that fishes cleaner can realize more value per Chinook bycaught. Likewise a less skillful vessel with high encounter rates realizes less value.  Thus, ITEC has a higher intrinsic value to a cleaner vessel than to one with high encounter rates.  In the short term, c</w:t>
      </w:r>
      <w:r w:rsidR="00DB754D">
        <w:t>lean vessels will be net seller</w:t>
      </w:r>
      <w:r>
        <w:t xml:space="preserve">s of ITEC and will perceive a higher value, while vessels with high </w:t>
      </w:r>
      <w:r w:rsidR="00DB754D">
        <w:t>bycatch rates will be net buyer</w:t>
      </w:r>
      <w:r>
        <w:t>s of ITEC. The allocation scheme steadily puts more ITEC in the hands of cleaner vessels so that overall fleet bycatch will decline with time.</w:t>
      </w:r>
    </w:p>
    <w:p w14:paraId="689A1767" w14:textId="77777777" w:rsidR="006A3A9B" w:rsidRDefault="006A3A9B" w:rsidP="00F74532"/>
    <w:p w14:paraId="7A80AB26" w14:textId="77777777" w:rsidR="00C65365" w:rsidRDefault="003904C4" w:rsidP="00F74532">
      <w:pPr>
        <w:rPr>
          <w:b/>
        </w:rPr>
      </w:pPr>
      <w:r>
        <w:rPr>
          <w:b/>
        </w:rPr>
        <w:t xml:space="preserve">3) </w:t>
      </w:r>
      <w:r w:rsidR="006A3A9B" w:rsidRPr="00ED0D55">
        <w:rPr>
          <w:b/>
        </w:rPr>
        <w:t>Transfer Rules</w:t>
      </w:r>
    </w:p>
    <w:p w14:paraId="3532BDC0" w14:textId="77777777" w:rsidR="006A3A9B" w:rsidRDefault="006A3A9B" w:rsidP="00F74532"/>
    <w:p w14:paraId="76A64CC8" w14:textId="77777777" w:rsidR="00D53AEB" w:rsidRDefault="006A3A9B" w:rsidP="00F74532">
      <w:pPr>
        <w:rPr>
          <w:u w:val="single"/>
        </w:rPr>
      </w:pPr>
      <w:r w:rsidRPr="00ED0D55">
        <w:rPr>
          <w:u w:val="single"/>
        </w:rPr>
        <w:t>ITEC Supply and Pricing Considerations:</w:t>
      </w:r>
    </w:p>
    <w:p w14:paraId="64DC9348" w14:textId="77777777" w:rsidR="006A3A9B" w:rsidRDefault="006A3A9B" w:rsidP="00F74532"/>
    <w:p w14:paraId="7D0B3075" w14:textId="77777777" w:rsidR="00F27942" w:rsidRDefault="006A3A9B" w:rsidP="00832019">
      <w:r>
        <w:t xml:space="preserve">The price of encounter credits will be determined by market </w:t>
      </w:r>
      <w:r w:rsidR="003904C4">
        <w:t xml:space="preserve">perceptions of </w:t>
      </w:r>
      <w:r>
        <w:t xml:space="preserve">supply and demand and these in turn will be driven </w:t>
      </w:r>
      <w:r w:rsidR="00F27942">
        <w:t xml:space="preserve">mainly </w:t>
      </w:r>
      <w:r>
        <w:t xml:space="preserve">by the </w:t>
      </w:r>
      <w:r w:rsidR="008278E2">
        <w:t>perceived</w:t>
      </w:r>
      <w:r>
        <w:t xml:space="preserve"> risk of</w:t>
      </w:r>
      <w:r w:rsidR="00257709">
        <w:t xml:space="preserve"> running out of ITEC </w:t>
      </w:r>
      <w:r>
        <w:t>or of needing one’s full complement of credits to finish the season</w:t>
      </w:r>
      <w:r w:rsidR="00671026">
        <w:t xml:space="preserve">.  </w:t>
      </w:r>
    </w:p>
    <w:p w14:paraId="314EE9A6" w14:textId="77777777" w:rsidR="00F27942" w:rsidRDefault="00F27942" w:rsidP="00832019"/>
    <w:p w14:paraId="3B664392" w14:textId="77777777" w:rsidR="00113B88" w:rsidRDefault="00257709" w:rsidP="00832019">
      <w:r>
        <w:t xml:space="preserve">Because </w:t>
      </w:r>
      <w:r w:rsidR="006A3A9B">
        <w:t>this uncertainty</w:t>
      </w:r>
      <w:r>
        <w:t xml:space="preserve"> is greatest at the beginning of the season</w:t>
      </w:r>
      <w:r w:rsidR="006A3A9B">
        <w:t xml:space="preserve">, the price of credits is likely to be highest </w:t>
      </w:r>
      <w:r>
        <w:t>at that time</w:t>
      </w:r>
      <w:r w:rsidR="00671026">
        <w:t xml:space="preserve">.  </w:t>
      </w:r>
      <w:r>
        <w:t xml:space="preserve">Credits </w:t>
      </w:r>
      <w:r w:rsidR="006A3A9B">
        <w:t>will generally be unavailable for sale</w:t>
      </w:r>
      <w:r>
        <w:t xml:space="preserve"> early in the season</w:t>
      </w:r>
      <w:r w:rsidR="00671026">
        <w:t xml:space="preserve">.  </w:t>
      </w:r>
      <w:r w:rsidR="006A3A9B">
        <w:t>Indeed, vessels are more likely to offer credits for sale only after completing their Pollock harvest, when the cost of running out of credits is no longer at risk.</w:t>
      </w:r>
    </w:p>
    <w:p w14:paraId="5D3B0FB4" w14:textId="77777777" w:rsidR="00113B88" w:rsidRDefault="00113B88" w:rsidP="00832019"/>
    <w:p w14:paraId="3DD65A29" w14:textId="77777777" w:rsidR="006A3A9B" w:rsidRDefault="00F27942" w:rsidP="00832019">
      <w:r>
        <w:t>As</w:t>
      </w:r>
      <w:r w:rsidR="006A3A9B">
        <w:t xml:space="preserve"> in</w:t>
      </w:r>
      <w:r>
        <w:t>dividual vessel owners become</w:t>
      </w:r>
      <w:r w:rsidR="006A3A9B">
        <w:t xml:space="preserve"> willing sellers of credits once the</w:t>
      </w:r>
      <w:r w:rsidR="009B7082">
        <w:t>ir</w:t>
      </w:r>
      <w:r w:rsidR="006A3A9B">
        <w:t xml:space="preserve"> Pollock quota is </w:t>
      </w:r>
      <w:r>
        <w:t>complete, the supply will increase which will put downward pressure on ITEC prices</w:t>
      </w:r>
      <w:r w:rsidR="006A3A9B">
        <w:t xml:space="preserve"> toward the end of the season</w:t>
      </w:r>
      <w:r w:rsidR="00671026">
        <w:t xml:space="preserve">.  </w:t>
      </w:r>
      <w:r w:rsidR="009B7082">
        <w:t xml:space="preserve">During times of moderate to high </w:t>
      </w:r>
      <w:r w:rsidR="00BA0485">
        <w:t xml:space="preserve">Chinook </w:t>
      </w:r>
      <w:r w:rsidR="008B2A00">
        <w:t>encounters</w:t>
      </w:r>
      <w:r w:rsidR="009B7082">
        <w:t xml:space="preserve"> this rising supply will be met with rising demand and prices could </w:t>
      </w:r>
      <w:r w:rsidR="00C1561A">
        <w:t xml:space="preserve">actually </w:t>
      </w:r>
      <w:r w:rsidR="009B7082">
        <w:t>increase toward the end of the season</w:t>
      </w:r>
      <w:r w:rsidR="00671026">
        <w:t xml:space="preserve">.  </w:t>
      </w:r>
      <w:r w:rsidR="009B7082">
        <w:t>However, d</w:t>
      </w:r>
      <w:r w:rsidR="006A3A9B">
        <w:t xml:space="preserve">uring times of </w:t>
      </w:r>
      <w:r w:rsidR="00F05A2D">
        <w:t xml:space="preserve">low </w:t>
      </w:r>
      <w:r w:rsidR="006A3A9B">
        <w:t>encounters this could result in a glut of credi</w:t>
      </w:r>
      <w:r w:rsidR="009B7082">
        <w:t>ts at the end of the season</w:t>
      </w:r>
      <w:r w:rsidR="00671026">
        <w:t xml:space="preserve">.  </w:t>
      </w:r>
      <w:r w:rsidR="009B7082">
        <w:t>The potential for an end-of-season glut could cause a</w:t>
      </w:r>
      <w:r w:rsidR="006A3A9B">
        <w:t xml:space="preserve"> fall in credits prices, and a reduction in short-term incentives</w:t>
      </w:r>
      <w:r w:rsidR="009B7082">
        <w:t>, paving the way for abuse</w:t>
      </w:r>
      <w:r w:rsidR="00412753">
        <w:t xml:space="preserve"> (i.e</w:t>
      </w:r>
      <w:r w:rsidR="006E0E08">
        <w:t xml:space="preserve">. </w:t>
      </w:r>
      <w:r w:rsidR="00412753">
        <w:t>diminished incentives to reduce bycatch)</w:t>
      </w:r>
      <w:r w:rsidR="00671026">
        <w:t xml:space="preserve">.  </w:t>
      </w:r>
      <w:r w:rsidR="009B7082">
        <w:t xml:space="preserve">Thus, </w:t>
      </w:r>
      <w:r w:rsidR="00697D2E">
        <w:t>t</w:t>
      </w:r>
      <w:r w:rsidR="006A3A9B">
        <w:t xml:space="preserve">ransfer </w:t>
      </w:r>
      <w:r w:rsidR="00697D2E">
        <w:t>r</w:t>
      </w:r>
      <w:r w:rsidR="006A3A9B">
        <w:t>ules</w:t>
      </w:r>
      <w:r w:rsidR="009B7082">
        <w:t xml:space="preserve"> are required</w:t>
      </w:r>
      <w:r w:rsidR="006A3A9B">
        <w:t xml:space="preserve"> to regulate the </w:t>
      </w:r>
      <w:r w:rsidR="00111B57">
        <w:t>demand and supply</w:t>
      </w:r>
      <w:r w:rsidR="006A3A9B">
        <w:t xml:space="preserve"> of credits</w:t>
      </w:r>
      <w:r w:rsidR="009B7082">
        <w:t>.</w:t>
      </w:r>
    </w:p>
    <w:p w14:paraId="634DB4B4" w14:textId="77777777" w:rsidR="006A3A9B" w:rsidRDefault="006A3A9B" w:rsidP="00832019"/>
    <w:p w14:paraId="371A471E" w14:textId="77777777" w:rsidR="006A3A9B" w:rsidRDefault="006A3A9B" w:rsidP="00832019">
      <w:r>
        <w:t>We will examine</w:t>
      </w:r>
      <w:r w:rsidRPr="00276C4E">
        <w:t xml:space="preserve"> two types of transfer rules</w:t>
      </w:r>
      <w:r>
        <w:t xml:space="preserve"> for ITEC</w:t>
      </w:r>
      <w:r w:rsidR="000F643B">
        <w:t>:</w:t>
      </w:r>
    </w:p>
    <w:p w14:paraId="062708B1" w14:textId="77777777" w:rsidR="00D107D9" w:rsidRPr="00276C4E" w:rsidRDefault="00D107D9" w:rsidP="00832019"/>
    <w:p w14:paraId="22852A05" w14:textId="77777777" w:rsidR="006A3A9B" w:rsidRPr="00E32882" w:rsidRDefault="006A3A9B" w:rsidP="00832019">
      <w:pPr>
        <w:numPr>
          <w:ilvl w:val="0"/>
          <w:numId w:val="20"/>
        </w:numPr>
        <w:tabs>
          <w:tab w:val="left" w:pos="900"/>
        </w:tabs>
        <w:ind w:left="900" w:hanging="540"/>
      </w:pPr>
      <w:r w:rsidRPr="00E32882">
        <w:t>“Buy side” transfer rules</w:t>
      </w:r>
    </w:p>
    <w:p w14:paraId="69A9D2BD" w14:textId="77777777" w:rsidR="006A3A9B" w:rsidRDefault="006A3A9B" w:rsidP="00832019">
      <w:pPr>
        <w:numPr>
          <w:ilvl w:val="0"/>
          <w:numId w:val="20"/>
        </w:numPr>
        <w:tabs>
          <w:tab w:val="left" w:pos="900"/>
        </w:tabs>
        <w:ind w:left="900" w:hanging="540"/>
      </w:pPr>
      <w:r w:rsidRPr="00E32882">
        <w:t>“Sell side” transfer rules (fixed tax on transfers vs</w:t>
      </w:r>
      <w:r w:rsidR="006E0E08">
        <w:t xml:space="preserve">. </w:t>
      </w:r>
      <w:r w:rsidR="008432F1" w:rsidRPr="00E32882">
        <w:t>dynamic salmon savings</w:t>
      </w:r>
      <w:r w:rsidRPr="00E32882">
        <w:t>)</w:t>
      </w:r>
    </w:p>
    <w:p w14:paraId="33067D18" w14:textId="77777777" w:rsidR="00E32882" w:rsidRPr="00E32882" w:rsidRDefault="00E32882" w:rsidP="00832019">
      <w:pPr>
        <w:tabs>
          <w:tab w:val="left" w:pos="900"/>
        </w:tabs>
        <w:ind w:left="360" w:hanging="900"/>
      </w:pPr>
    </w:p>
    <w:p w14:paraId="1AF9D2CB" w14:textId="77777777" w:rsidR="006A3A9B" w:rsidRPr="00E32882" w:rsidRDefault="00C1561A" w:rsidP="006C05DF">
      <w:r>
        <w:t>We recommend that t</w:t>
      </w:r>
      <w:r w:rsidR="006A3A9B" w:rsidRPr="00E32882">
        <w:t xml:space="preserve">he best outcome is likely to come from using both kinds of transfer rules together to support incentives for </w:t>
      </w:r>
      <w:r w:rsidR="00BD5F36" w:rsidRPr="00E32882">
        <w:t>Chinook</w:t>
      </w:r>
      <w:r w:rsidR="006A3A9B" w:rsidRPr="00E32882">
        <w:t xml:space="preserve"> bycatch avoidance</w:t>
      </w:r>
      <w:r w:rsidR="00836226">
        <w:t>, especially</w:t>
      </w:r>
      <w:r w:rsidR="006A3A9B" w:rsidRPr="00E32882">
        <w:t xml:space="preserve"> during times of low </w:t>
      </w:r>
      <w:r w:rsidR="008432F1" w:rsidRPr="00E32882">
        <w:t xml:space="preserve">salmon </w:t>
      </w:r>
      <w:r w:rsidR="006A3A9B" w:rsidRPr="00E32882">
        <w:t>encounters</w:t>
      </w:r>
      <w:r w:rsidR="00FB4DCD">
        <w:t>.</w:t>
      </w:r>
    </w:p>
    <w:p w14:paraId="7D187DC0" w14:textId="77777777" w:rsidR="006A3A9B" w:rsidRPr="00E32882" w:rsidRDefault="006A3A9B" w:rsidP="006C05DF"/>
    <w:p w14:paraId="2F9D1DF2" w14:textId="77777777" w:rsidR="006A3A9B" w:rsidRPr="00ED0D55" w:rsidRDefault="006A3A9B" w:rsidP="006C05DF">
      <w:pPr>
        <w:rPr>
          <w:u w:val="single"/>
        </w:rPr>
      </w:pPr>
      <w:r w:rsidRPr="00ED0D55">
        <w:rPr>
          <w:u w:val="single"/>
        </w:rPr>
        <w:t>Buy Side Transfer Limits:</w:t>
      </w:r>
    </w:p>
    <w:p w14:paraId="399295AC" w14:textId="77777777" w:rsidR="006A3A9B" w:rsidRPr="00276C4E" w:rsidRDefault="006A3A9B" w:rsidP="006C05DF"/>
    <w:p w14:paraId="4784A945" w14:textId="77777777" w:rsidR="006A3A9B" w:rsidRDefault="006E0E08" w:rsidP="006C05DF">
      <w:r>
        <w:t>So that a poorly performing vessel (one at the 2/3 allocation level) can never obtain more</w:t>
      </w:r>
      <w:r w:rsidR="00A83B5D">
        <w:t xml:space="preserve"> than its original allocation through purchase we recommend the following</w:t>
      </w:r>
      <w:r w:rsidR="00B70B3C">
        <w:t xml:space="preserve"> </w:t>
      </w:r>
      <w:r w:rsidR="006A3A9B">
        <w:t>buy side transfer limit: “in each season only an amount less than 1/3 of a vessel</w:t>
      </w:r>
      <w:r w:rsidR="00132D2F">
        <w:t>’s</w:t>
      </w:r>
      <w:r w:rsidR="006A3A9B">
        <w:t xml:space="preserve"> credits allocation for that season </w:t>
      </w:r>
      <w:r w:rsidR="00132D2F">
        <w:t xml:space="preserve">may </w:t>
      </w:r>
      <w:r w:rsidR="006A3A9B">
        <w:t xml:space="preserve">be purchased.”  This means that the worst performers (with lower allocations) </w:t>
      </w:r>
      <w:r w:rsidR="009747C7">
        <w:t xml:space="preserve">will be able to </w:t>
      </w:r>
      <w:r w:rsidR="006A3A9B">
        <w:t>buy fewer credits, while the better performers, with larger initial allocations, are further rewarded</w:t>
      </w:r>
      <w:r w:rsidR="00A74269">
        <w:t xml:space="preserve"> </w:t>
      </w:r>
      <w:r w:rsidR="009747C7">
        <w:t>with the ability to</w:t>
      </w:r>
      <w:r w:rsidR="006A3A9B">
        <w:t xml:space="preserve"> potentially buy more if needed</w:t>
      </w:r>
      <w:r w:rsidR="00671026">
        <w:t xml:space="preserve">.  </w:t>
      </w:r>
      <w:r w:rsidR="006A3A9B">
        <w:t>This fixed buy-side transfer limit is simple to implement and should not affect the profitability of the sector</w:t>
      </w:r>
      <w:r w:rsidR="007E56DF">
        <w:t>.</w:t>
      </w:r>
      <w:r w:rsidR="00813057">
        <w:t xml:space="preserve">  </w:t>
      </w:r>
    </w:p>
    <w:p w14:paraId="475EA856" w14:textId="77777777" w:rsidR="006A3A9B" w:rsidRDefault="006A3A9B" w:rsidP="006C05DF"/>
    <w:p w14:paraId="156CD724" w14:textId="77777777" w:rsidR="006A3A9B" w:rsidRDefault="006A3A9B" w:rsidP="006C05DF">
      <w:r>
        <w:t>The benefits of this simple rule are:</w:t>
      </w:r>
    </w:p>
    <w:p w14:paraId="0B864923" w14:textId="77777777" w:rsidR="00D107D9" w:rsidRDefault="00D107D9" w:rsidP="006C05DF"/>
    <w:p w14:paraId="39B07B03" w14:textId="77777777" w:rsidR="00E34E0D" w:rsidRDefault="00E34E0D" w:rsidP="006C05DF">
      <w:pPr>
        <w:numPr>
          <w:ilvl w:val="0"/>
          <w:numId w:val="21"/>
        </w:numPr>
        <w:tabs>
          <w:tab w:val="clear" w:pos="1440"/>
          <w:tab w:val="left" w:pos="900"/>
        </w:tabs>
        <w:ind w:left="900" w:hanging="540"/>
      </w:pPr>
      <w:r>
        <w:t xml:space="preserve">It addresses </w:t>
      </w:r>
      <w:r w:rsidRPr="00981F69">
        <w:rPr>
          <w:i/>
        </w:rPr>
        <w:t>individual vessel</w:t>
      </w:r>
      <w:r>
        <w:t xml:space="preserve"> incentives. (C</w:t>
      </w:r>
      <w:r w:rsidR="00E114F2">
        <w:t>-</w:t>
      </w:r>
      <w:r>
        <w:t>2- requirement 1)</w:t>
      </w:r>
    </w:p>
    <w:p w14:paraId="426BFDE1" w14:textId="77777777" w:rsidR="006A3A9B" w:rsidRDefault="006A3A9B" w:rsidP="006C05DF">
      <w:pPr>
        <w:numPr>
          <w:ilvl w:val="0"/>
          <w:numId w:val="21"/>
        </w:numPr>
        <w:tabs>
          <w:tab w:val="clear" w:pos="1440"/>
          <w:tab w:val="left" w:pos="900"/>
        </w:tabs>
        <w:ind w:left="900" w:hanging="540"/>
      </w:pPr>
      <w:r>
        <w:t>It addresses the possible abuse of abundant encounter credits during low salmon abundance years.</w:t>
      </w:r>
      <w:r w:rsidR="00E34E0D">
        <w:t xml:space="preserve"> (C-2 requirement</w:t>
      </w:r>
      <w:r w:rsidR="009F11E3">
        <w:t xml:space="preserve"> 4: influences decisions a</w:t>
      </w:r>
      <w:r w:rsidR="00DB754D">
        <w:t>t</w:t>
      </w:r>
      <w:r w:rsidR="009F11E3">
        <w:t xml:space="preserve"> levels well below the hardcap</w:t>
      </w:r>
      <w:r w:rsidR="00C1561A">
        <w:t>).</w:t>
      </w:r>
    </w:p>
    <w:p w14:paraId="43F767C5" w14:textId="77777777" w:rsidR="006A3A9B" w:rsidRDefault="003676FF" w:rsidP="006C05DF">
      <w:pPr>
        <w:numPr>
          <w:ilvl w:val="0"/>
          <w:numId w:val="21"/>
        </w:numPr>
        <w:tabs>
          <w:tab w:val="clear" w:pos="1440"/>
          <w:tab w:val="left" w:pos="900"/>
        </w:tabs>
        <w:ind w:left="900" w:hanging="540"/>
      </w:pPr>
      <w:r>
        <w:t xml:space="preserve">It </w:t>
      </w:r>
      <w:r w:rsidR="00EC5A35">
        <w:t>w</w:t>
      </w:r>
      <w:r w:rsidR="006A3A9B">
        <w:t xml:space="preserve">ill not affect the completion of </w:t>
      </w:r>
      <w:r w:rsidR="00BD5F36">
        <w:t>Pollock</w:t>
      </w:r>
      <w:r w:rsidR="006A3A9B">
        <w:t xml:space="preserve"> harvest (as shown in historical simulations)</w:t>
      </w:r>
    </w:p>
    <w:p w14:paraId="0554D1E7" w14:textId="77777777" w:rsidR="006A3A9B" w:rsidRDefault="006A3A9B" w:rsidP="006C05DF">
      <w:pPr>
        <w:numPr>
          <w:ilvl w:val="0"/>
          <w:numId w:val="21"/>
        </w:numPr>
        <w:tabs>
          <w:tab w:val="clear" w:pos="1440"/>
          <w:tab w:val="left" w:pos="900"/>
        </w:tabs>
        <w:ind w:left="900" w:hanging="540"/>
      </w:pPr>
      <w:r>
        <w:t>It reinforces the incentives provided by the legacy allocation system because vessel ITEC allocations (P) and buy side limits move in tandem.</w:t>
      </w:r>
      <w:r w:rsidR="00CC5F6E">
        <w:t xml:space="preserve"> (C-2 requirement 2: rewards vessels that avoid bycatch and penalizes those that do not).</w:t>
      </w:r>
    </w:p>
    <w:p w14:paraId="22053C86" w14:textId="77777777" w:rsidR="006A3A9B" w:rsidRDefault="006A3A9B" w:rsidP="006C05DF">
      <w:pPr>
        <w:numPr>
          <w:ilvl w:val="0"/>
          <w:numId w:val="21"/>
        </w:numPr>
        <w:tabs>
          <w:tab w:val="clear" w:pos="1440"/>
          <w:tab w:val="left" w:pos="900"/>
        </w:tabs>
        <w:ind w:left="900" w:hanging="540"/>
      </w:pPr>
      <w:r>
        <w:t>Insofar as it depends on the allocation proportion, P, the buy-side limit is more vulnerable to readjustment during times of low salmon abundance</w:t>
      </w:r>
      <w:r w:rsidR="00757423">
        <w:t>, placing more incentive there</w:t>
      </w:r>
      <w:r>
        <w:t>.</w:t>
      </w:r>
      <w:r w:rsidR="009F11E3">
        <w:t xml:space="preserve"> (</w:t>
      </w:r>
      <w:r w:rsidR="00E34E0D">
        <w:t>C-2 requirement</w:t>
      </w:r>
      <w:r w:rsidR="009F11E3">
        <w:t xml:space="preserve"> 3: creates incentives at all levels of abundance in all years).</w:t>
      </w:r>
    </w:p>
    <w:p w14:paraId="3DEF9D99" w14:textId="77777777" w:rsidR="008653FB" w:rsidRDefault="008653FB" w:rsidP="006C05DF">
      <w:pPr>
        <w:numPr>
          <w:ilvl w:val="0"/>
          <w:numId w:val="21"/>
        </w:numPr>
        <w:tabs>
          <w:tab w:val="clear" w:pos="1440"/>
          <w:tab w:val="left" w:pos="900"/>
        </w:tabs>
        <w:ind w:left="900" w:hanging="540"/>
      </w:pPr>
      <w:r>
        <w:t>It provides additional incentives for the worst performing vessels to reduce bycatch, in order to increase their proportional allocation factor and enable the purchases of additional credits.</w:t>
      </w:r>
      <w:r w:rsidR="009F11E3">
        <w:t xml:space="preserve"> (</w:t>
      </w:r>
      <w:r w:rsidR="00E34E0D">
        <w:t>C-2 requirements</w:t>
      </w:r>
      <w:r w:rsidR="009F11E3">
        <w:t xml:space="preserve"> 3 &amp; 4)</w:t>
      </w:r>
    </w:p>
    <w:p w14:paraId="2C7DC3E9" w14:textId="77777777" w:rsidR="006A3A9B" w:rsidRDefault="006A3A9B" w:rsidP="00DF2FD3">
      <w:pPr>
        <w:ind w:left="360"/>
      </w:pPr>
    </w:p>
    <w:p w14:paraId="6FD18680" w14:textId="77777777" w:rsidR="006A3A9B" w:rsidRDefault="006A3A9B" w:rsidP="00C54A48">
      <w:r>
        <w:t>Again, a buy side transfer limit means that the worst performers (</w:t>
      </w:r>
      <w:r w:rsidR="003904C4">
        <w:t xml:space="preserve">those </w:t>
      </w:r>
      <w:r>
        <w:t>with lower allocations) can buy fewer credits</w:t>
      </w:r>
      <w:r w:rsidR="00671026">
        <w:t xml:space="preserve">. </w:t>
      </w:r>
      <w:r w:rsidR="00E114F2">
        <w:t>(C-2</w:t>
      </w:r>
      <w:r w:rsidR="00707F47">
        <w:t>,</w:t>
      </w:r>
      <w:r w:rsidR="00E114F2">
        <w:t xml:space="preserve"> R-2).</w:t>
      </w:r>
      <w:r w:rsidR="00671026">
        <w:t xml:space="preserve"> </w:t>
      </w:r>
      <w:r>
        <w:t xml:space="preserve">Thus, it resonates with the legacy system, and </w:t>
      </w:r>
      <w:r w:rsidR="00C85A7B">
        <w:t xml:space="preserve">it </w:t>
      </w:r>
      <w:r>
        <w:t>augments incentive for salmon avoidance during periods of low encounters.</w:t>
      </w:r>
      <w:r w:rsidR="00E114F2">
        <w:t xml:space="preserve"> (C-2</w:t>
      </w:r>
      <w:r w:rsidR="00707F47">
        <w:t>,</w:t>
      </w:r>
      <w:r w:rsidR="00E114F2">
        <w:t xml:space="preserve"> R-3)</w:t>
      </w:r>
    </w:p>
    <w:p w14:paraId="5421D9EE" w14:textId="77777777" w:rsidR="006A3A9B" w:rsidRDefault="006A3A9B" w:rsidP="00C54A48"/>
    <w:p w14:paraId="31B25C00" w14:textId="77777777" w:rsidR="006A3A9B" w:rsidRPr="00276C4E" w:rsidRDefault="006A3A9B" w:rsidP="00C54A48">
      <w:r w:rsidRPr="00725902">
        <w:rPr>
          <w:u w:val="single"/>
        </w:rPr>
        <w:t>Sell Side Transfer Limits</w:t>
      </w:r>
      <w:r w:rsidR="00E55631" w:rsidRPr="00725902">
        <w:rPr>
          <w:u w:val="single"/>
        </w:rPr>
        <w:t>:</w:t>
      </w:r>
      <w:r w:rsidR="00E55631">
        <w:t xml:space="preserve"> </w:t>
      </w:r>
      <w:r>
        <w:t>(Dynamic Salmon Savings</w:t>
      </w:r>
      <w:r w:rsidRPr="00276C4E">
        <w:t>)</w:t>
      </w:r>
    </w:p>
    <w:p w14:paraId="22802BFE" w14:textId="77777777" w:rsidR="006A3A9B" w:rsidRDefault="006A3A9B" w:rsidP="00C54A48"/>
    <w:p w14:paraId="2A246765" w14:textId="77777777" w:rsidR="006F6952" w:rsidRPr="006F6952" w:rsidRDefault="006F6952" w:rsidP="00C54A48">
      <w:r w:rsidRPr="006F6952">
        <w:t>Fixed Transfer Tax:</w:t>
      </w:r>
    </w:p>
    <w:p w14:paraId="519F6967" w14:textId="77777777" w:rsidR="006F6952" w:rsidRDefault="00DF2FD3" w:rsidP="00C54A48">
      <w:r>
        <w:t>A fixed sell-side transfer tax is not desirable to industry as it can potentially limit the Pollock harvest</w:t>
      </w:r>
      <w:r w:rsidR="00424A8F">
        <w:t xml:space="preserve">.  Neither is it </w:t>
      </w:r>
      <w:r>
        <w:t>desirabl</w:t>
      </w:r>
      <w:r w:rsidR="00424A8F">
        <w:t>e to Chinook conservation</w:t>
      </w:r>
      <w:r>
        <w:t xml:space="preserve"> as it is dependent upon transfers taking place</w:t>
      </w:r>
      <w:r w:rsidR="00671026">
        <w:t xml:space="preserve">.  </w:t>
      </w:r>
      <w:r>
        <w:t>During years of low salmon encounter, very few transfers will take place, reducing the effectiveness</w:t>
      </w:r>
      <w:r w:rsidR="00593ED3">
        <w:t xml:space="preserve"> of a fixed transfer tax exactly</w:t>
      </w:r>
      <w:r w:rsidR="002716D1">
        <w:t xml:space="preserve"> when it is most needed</w:t>
      </w:r>
      <w:r w:rsidR="00671026">
        <w:t xml:space="preserve">.  </w:t>
      </w:r>
      <w:r>
        <w:t xml:space="preserve">Conversely, transfers of ITEC occur more frequently and in greater volume during years of </w:t>
      </w:r>
      <w:r w:rsidR="00757423">
        <w:t xml:space="preserve">moderate to </w:t>
      </w:r>
      <w:r>
        <w:t xml:space="preserve">high salmon encounter; at these times, a fixed transfer tax will increase the burden of </w:t>
      </w:r>
      <w:r w:rsidR="00593ED3">
        <w:t xml:space="preserve">an already limited ITEC supply. Such times are </w:t>
      </w:r>
      <w:r>
        <w:t>when credits are most needed by the Pollock industry.</w:t>
      </w:r>
      <w:r w:rsidR="00593ED3">
        <w:t xml:space="preserve"> </w:t>
      </w:r>
      <w:r w:rsidR="00B5066A">
        <w:t xml:space="preserve"> Fixed transfer taxes</w:t>
      </w:r>
      <w:r w:rsidR="006F6952">
        <w:t xml:space="preserve"> are not a good fit to this problem.</w:t>
      </w:r>
    </w:p>
    <w:p w14:paraId="6B9B7AD8" w14:textId="77777777" w:rsidR="006F6952" w:rsidRDefault="006F6952" w:rsidP="00C54A48"/>
    <w:p w14:paraId="46C495EC" w14:textId="77777777" w:rsidR="006A3A9B" w:rsidRPr="00C47CB4" w:rsidRDefault="006F6952" w:rsidP="00C54A48">
      <w:pPr>
        <w:rPr>
          <w:u w:val="single"/>
        </w:rPr>
      </w:pPr>
      <w:r w:rsidRPr="00C47CB4">
        <w:rPr>
          <w:u w:val="single"/>
        </w:rPr>
        <w:t>Dynamic Salmon Savings</w:t>
      </w:r>
      <w:r w:rsidR="00CE6894" w:rsidRPr="00C47CB4">
        <w:rPr>
          <w:u w:val="single"/>
        </w:rPr>
        <w:t xml:space="preserve"> (DSS)</w:t>
      </w:r>
      <w:r w:rsidRPr="00C47CB4">
        <w:rPr>
          <w:u w:val="single"/>
        </w:rPr>
        <w:t>:</w:t>
      </w:r>
    </w:p>
    <w:p w14:paraId="7EB85679" w14:textId="77777777" w:rsidR="0063556E" w:rsidRDefault="006A3A9B" w:rsidP="00C54A48">
      <w:r>
        <w:t>Th</w:t>
      </w:r>
      <w:r w:rsidR="00531640">
        <w:t xml:space="preserve">us, we will consider a </w:t>
      </w:r>
      <w:r w:rsidR="00531640" w:rsidRPr="00CE6894">
        <w:t>Dynamic</w:t>
      </w:r>
      <w:r w:rsidRPr="00CE6894">
        <w:t xml:space="preserve"> </w:t>
      </w:r>
      <w:r w:rsidR="00531640" w:rsidRPr="00CE6894">
        <w:t>Salmon S</w:t>
      </w:r>
      <w:r w:rsidR="00EE7069" w:rsidRPr="00CE6894">
        <w:t xml:space="preserve">avings </w:t>
      </w:r>
      <w:r w:rsidRPr="00CE6894">
        <w:t>rule</w:t>
      </w:r>
      <w:r w:rsidR="00E4512B" w:rsidRPr="00CE6894">
        <w:t xml:space="preserve"> </w:t>
      </w:r>
      <w:r w:rsidR="00E4512B">
        <w:t xml:space="preserve">that </w:t>
      </w:r>
      <w:r w:rsidR="006F6952">
        <w:t xml:space="preserve">is adaptive to salmon encounters and </w:t>
      </w:r>
      <w:r w:rsidR="00E4512B">
        <w:t xml:space="preserve">will apply to each vessel </w:t>
      </w:r>
      <w:r w:rsidR="00E4512B" w:rsidRPr="0063556E">
        <w:rPr>
          <w:u w:val="single"/>
        </w:rPr>
        <w:t>after</w:t>
      </w:r>
      <w:r w:rsidR="00E4512B">
        <w:t xml:space="preserve"> it completes its Pollock harvest</w:t>
      </w:r>
      <w:r w:rsidR="00671026">
        <w:t xml:space="preserve">.  </w:t>
      </w:r>
      <w:r>
        <w:t>Th</w:t>
      </w:r>
      <w:r w:rsidR="00F27942">
        <w:t>is is more complicated</w:t>
      </w:r>
      <w:r w:rsidR="00CD2A53">
        <w:t xml:space="preserve"> to implement</w:t>
      </w:r>
      <w:r w:rsidR="00F27942">
        <w:t xml:space="preserve">, but </w:t>
      </w:r>
      <w:r>
        <w:t xml:space="preserve">more desirable to </w:t>
      </w:r>
      <w:r w:rsidR="00BD5F36">
        <w:t>Chinook</w:t>
      </w:r>
      <w:r>
        <w:t xml:space="preserve"> salmon interests than a buy side rule alone</w:t>
      </w:r>
      <w:r w:rsidR="00145961">
        <w:t xml:space="preserve"> or a fixed tax</w:t>
      </w:r>
      <w:r>
        <w:t xml:space="preserve">, as it represents a true </w:t>
      </w:r>
      <w:r w:rsidR="00C5131B">
        <w:t xml:space="preserve">salmon savings </w:t>
      </w:r>
      <w:r>
        <w:t>rule</w:t>
      </w:r>
      <w:r w:rsidR="00B26897">
        <w:t xml:space="preserve"> </w:t>
      </w:r>
      <w:r w:rsidR="00B26897" w:rsidRPr="00F9765A">
        <w:rPr>
          <w:b/>
        </w:rPr>
        <w:t>(</w:t>
      </w:r>
      <w:r w:rsidR="00E34E0D">
        <w:rPr>
          <w:b/>
        </w:rPr>
        <w:t xml:space="preserve">i.e., </w:t>
      </w:r>
      <w:r w:rsidR="00B26897" w:rsidRPr="00F9765A">
        <w:rPr>
          <w:b/>
        </w:rPr>
        <w:t>a salmon exclusion rule)</w:t>
      </w:r>
      <w:r w:rsidR="00757423">
        <w:t xml:space="preserve"> that creates </w:t>
      </w:r>
      <w:r w:rsidR="003A7E43">
        <w:t xml:space="preserve">much </w:t>
      </w:r>
      <w:r w:rsidR="00757423">
        <w:t>more protection for Chinook during times of low encounters</w:t>
      </w:r>
      <w:r w:rsidR="00671026">
        <w:t xml:space="preserve">.  </w:t>
      </w:r>
    </w:p>
    <w:p w14:paraId="00DA54B3" w14:textId="77777777" w:rsidR="0063556E" w:rsidRDefault="0063556E" w:rsidP="00C54A48"/>
    <w:p w14:paraId="52F00A81" w14:textId="77777777" w:rsidR="006A3A9B" w:rsidRDefault="00C656B4" w:rsidP="00C54A48">
      <w:r>
        <w:t>The Dynamic</w:t>
      </w:r>
      <w:r w:rsidR="006A3A9B">
        <w:t xml:space="preserve"> </w:t>
      </w:r>
      <w:r>
        <w:t>Salmon S</w:t>
      </w:r>
      <w:r w:rsidR="00C5131B">
        <w:t>avings</w:t>
      </w:r>
      <w:r>
        <w:t xml:space="preserve"> rule imposes a constraint</w:t>
      </w:r>
      <w:r w:rsidR="006A3A9B">
        <w:t xml:space="preserve"> on the “sell” side of transfers</w:t>
      </w:r>
      <w:r w:rsidR="00671026">
        <w:t xml:space="preserve">. </w:t>
      </w:r>
      <w:r>
        <w:t xml:space="preserve">It </w:t>
      </w:r>
      <w:r w:rsidR="006A3A9B">
        <w:t xml:space="preserve">includes a </w:t>
      </w:r>
      <w:r w:rsidR="006A3A9B" w:rsidRPr="0063556E">
        <w:rPr>
          <w:u w:val="single"/>
        </w:rPr>
        <w:t>sector specific “</w:t>
      </w:r>
      <w:r w:rsidR="004820E5" w:rsidRPr="0063556E">
        <w:rPr>
          <w:u w:val="single"/>
        </w:rPr>
        <w:t xml:space="preserve">salmon savings </w:t>
      </w:r>
      <w:r w:rsidR="006A3A9B" w:rsidRPr="0063556E">
        <w:rPr>
          <w:u w:val="single"/>
        </w:rPr>
        <w:t>rate”</w:t>
      </w:r>
      <w:r w:rsidR="004820E5" w:rsidRPr="0063556E">
        <w:rPr>
          <w:u w:val="single"/>
        </w:rPr>
        <w:t xml:space="preserve"> (SSR)</w:t>
      </w:r>
      <w:r w:rsidR="006A3A9B">
        <w:t xml:space="preserve"> that is applied </w:t>
      </w:r>
      <w:r w:rsidR="00201E40">
        <w:t xml:space="preserve">to each vessel’s “remainder” credits </w:t>
      </w:r>
      <w:r>
        <w:t>upon</w:t>
      </w:r>
      <w:r w:rsidR="00201E40" w:rsidRPr="00ED0D55">
        <w:t xml:space="preserve"> completion of fishing</w:t>
      </w:r>
      <w:r w:rsidR="00671026">
        <w:t>.</w:t>
      </w:r>
      <w:r w:rsidRPr="00C656B4">
        <w:t xml:space="preserve"> </w:t>
      </w:r>
      <w:r>
        <w:t>Remainder credits = a vessel’s credits left after filling its B-season quota + credits sold prior to filling quota + A-season carry</w:t>
      </w:r>
      <w:r w:rsidR="00460396">
        <w:t>-</w:t>
      </w:r>
      <w:r>
        <w:t>fo</w:t>
      </w:r>
      <w:r w:rsidR="00460396">
        <w:t>r</w:t>
      </w:r>
      <w:r>
        <w:t>ward.</w:t>
      </w:r>
      <w:r w:rsidR="00671026">
        <w:t xml:space="preserve"> </w:t>
      </w:r>
      <w:r w:rsidR="006A3A9B">
        <w:t>The sector</w:t>
      </w:r>
      <w:r w:rsidR="00201E40">
        <w:t xml:space="preserve"> specific SSR</w:t>
      </w:r>
      <w:r w:rsidR="00A00DF2">
        <w:t xml:space="preserve"> </w:t>
      </w:r>
      <w:r w:rsidR="006A3A9B">
        <w:t>calcu</w:t>
      </w:r>
      <w:r>
        <w:t>lated near the end of the B-season</w:t>
      </w:r>
      <w:r w:rsidR="006A3A9B">
        <w:t xml:space="preserve"> should have the following characteristics:</w:t>
      </w:r>
    </w:p>
    <w:p w14:paraId="5DCFC889" w14:textId="77777777" w:rsidR="00D107D9" w:rsidRDefault="00D107D9" w:rsidP="00C54A48"/>
    <w:p w14:paraId="074D14A0" w14:textId="77777777" w:rsidR="006A3A9B" w:rsidRDefault="00C656B4" w:rsidP="00C54A48">
      <w:pPr>
        <w:numPr>
          <w:ilvl w:val="0"/>
          <w:numId w:val="19"/>
        </w:numPr>
        <w:tabs>
          <w:tab w:val="clear" w:pos="1440"/>
          <w:tab w:val="num" w:pos="900"/>
        </w:tabs>
        <w:ind w:left="900" w:hanging="540"/>
      </w:pPr>
      <w:r>
        <w:t>Address</w:t>
      </w:r>
      <w:r w:rsidR="006A3A9B">
        <w:t xml:space="preserve"> the possible abuse of abundant encounter credits during low salmon abundance years</w:t>
      </w:r>
      <w:r w:rsidR="004029FD">
        <w:t>.</w:t>
      </w:r>
    </w:p>
    <w:p w14:paraId="331D0455" w14:textId="77777777" w:rsidR="006A3A9B" w:rsidRDefault="006A3A9B" w:rsidP="00C54A48">
      <w:pPr>
        <w:numPr>
          <w:ilvl w:val="0"/>
          <w:numId w:val="19"/>
        </w:numPr>
        <w:tabs>
          <w:tab w:val="clear" w:pos="1440"/>
          <w:tab w:val="num" w:pos="900"/>
        </w:tabs>
        <w:ind w:left="900" w:hanging="540"/>
      </w:pPr>
      <w:r>
        <w:t xml:space="preserve">Will not </w:t>
      </w:r>
      <w:r w:rsidR="00B26897">
        <w:t xml:space="preserve">adversely </w:t>
      </w:r>
      <w:r>
        <w:t xml:space="preserve">affect the completion of </w:t>
      </w:r>
      <w:r w:rsidR="00BD5F36">
        <w:t>Pollock</w:t>
      </w:r>
      <w:r>
        <w:t xml:space="preserve"> harvest</w:t>
      </w:r>
      <w:r w:rsidR="009958A2">
        <w:t>.</w:t>
      </w:r>
    </w:p>
    <w:p w14:paraId="7B3C1248" w14:textId="77777777" w:rsidR="006A3A9B" w:rsidRDefault="006A3A9B" w:rsidP="00C54A48">
      <w:pPr>
        <w:numPr>
          <w:ilvl w:val="0"/>
          <w:numId w:val="19"/>
        </w:numPr>
        <w:tabs>
          <w:tab w:val="clear" w:pos="1440"/>
          <w:tab w:val="num" w:pos="900"/>
        </w:tabs>
        <w:ind w:left="900" w:hanging="540"/>
      </w:pPr>
      <w:r>
        <w:t xml:space="preserve">And is a function of </w:t>
      </w:r>
      <w:r w:rsidR="00BD5F36">
        <w:t>Chinook</w:t>
      </w:r>
      <w:r>
        <w:t xml:space="preserve"> salmon abundance.</w:t>
      </w:r>
    </w:p>
    <w:p w14:paraId="4A965974" w14:textId="77777777" w:rsidR="00B26897" w:rsidRDefault="00B26897" w:rsidP="00C54A48"/>
    <w:p w14:paraId="04F29661" w14:textId="77777777" w:rsidR="00B26897" w:rsidRDefault="00B26897" w:rsidP="00C54A48">
      <w:r>
        <w:t>The idea is to set the sector SSR at some reasonable time before the end of B-season, and do this as a function of how much of the sector pollock TAC has been caught</w:t>
      </w:r>
      <w:r w:rsidR="00671026">
        <w:t xml:space="preserve">.  </w:t>
      </w:r>
      <w:r>
        <w:t>There is a trade-off between how accurately the SSR can be calculated and how soon in the season the fraction can be determined</w:t>
      </w:r>
      <w:r w:rsidR="00671026">
        <w:t xml:space="preserve">.  </w:t>
      </w:r>
      <w:r>
        <w:t>This tends to happen later in the B-season during low salmon abundance years and earlier in moderate to high abundance years</w:t>
      </w:r>
      <w:r w:rsidR="00671026">
        <w:t xml:space="preserve">.  </w:t>
      </w:r>
      <w:r>
        <w:t>This enforces more conservation in low abundance years and encourages higher ITEC prices.</w:t>
      </w:r>
    </w:p>
    <w:p w14:paraId="697FB58B" w14:textId="77777777" w:rsidR="00D107D9" w:rsidRDefault="00D107D9" w:rsidP="00C54A48"/>
    <w:p w14:paraId="63647913" w14:textId="77777777" w:rsidR="006A3A9B" w:rsidRDefault="006A3A9B" w:rsidP="00C54A48">
      <w:r>
        <w:t xml:space="preserve">The simple dynamic </w:t>
      </w:r>
      <w:r w:rsidR="004D30A9">
        <w:t xml:space="preserve">salmon savings </w:t>
      </w:r>
      <w:r>
        <w:t>rule suggested here consists of two parts:</w:t>
      </w:r>
    </w:p>
    <w:p w14:paraId="2085B71B" w14:textId="77777777" w:rsidR="00D107D9" w:rsidRDefault="00D107D9" w:rsidP="00C54A48"/>
    <w:p w14:paraId="44CE3B2F" w14:textId="77777777" w:rsidR="00C656B4" w:rsidRDefault="006A3A9B" w:rsidP="00C54A48">
      <w:pPr>
        <w:numPr>
          <w:ilvl w:val="0"/>
          <w:numId w:val="22"/>
        </w:numPr>
        <w:tabs>
          <w:tab w:val="clear" w:pos="1080"/>
          <w:tab w:val="num" w:pos="900"/>
        </w:tabs>
        <w:ind w:left="900" w:hanging="540"/>
      </w:pPr>
      <w:r>
        <w:t xml:space="preserve">A provisional </w:t>
      </w:r>
      <w:r w:rsidR="00C870FB">
        <w:t>savings</w:t>
      </w:r>
      <w:r w:rsidR="005000AF">
        <w:t xml:space="preserve"> </w:t>
      </w:r>
      <w:r>
        <w:t xml:space="preserve">rule that applies </w:t>
      </w:r>
      <w:r w:rsidR="0070439C">
        <w:t xml:space="preserve">to vessels that </w:t>
      </w:r>
      <w:r w:rsidR="009D6612">
        <w:t>sell credits before finishing fishing</w:t>
      </w:r>
      <w:r w:rsidR="00C656B4">
        <w:t xml:space="preserve"> in the B-season</w:t>
      </w:r>
      <w:r w:rsidR="00671026">
        <w:t xml:space="preserve">.  </w:t>
      </w:r>
      <w:r w:rsidR="009D287B">
        <w:t xml:space="preserve">The provisional savings rule </w:t>
      </w:r>
      <w:r w:rsidR="00F9765A">
        <w:t xml:space="preserve">requires that ITEC savings must be held in reserve to meet </w:t>
      </w:r>
      <w:r w:rsidR="00C3741F">
        <w:t>the</w:t>
      </w:r>
      <w:r w:rsidR="00F9765A">
        <w:t xml:space="preserve"> maximum </w:t>
      </w:r>
      <w:r w:rsidR="00C3741F">
        <w:t>SSR</w:t>
      </w:r>
      <w:r w:rsidR="00F9765A">
        <w:t>.</w:t>
      </w:r>
      <w:r w:rsidR="00C656B4">
        <w:t xml:space="preserve"> </w:t>
      </w:r>
      <w:r w:rsidR="00FB1402">
        <w:t xml:space="preserve">This promotes </w:t>
      </w:r>
      <w:r w:rsidR="00142495">
        <w:t xml:space="preserve">salmon </w:t>
      </w:r>
      <w:r w:rsidR="00FB1402">
        <w:t>savings early in the year.</w:t>
      </w:r>
    </w:p>
    <w:p w14:paraId="36C152A4" w14:textId="77777777" w:rsidR="00C656B4" w:rsidRDefault="00C656B4" w:rsidP="00460396">
      <w:pPr>
        <w:ind w:left="360"/>
      </w:pPr>
    </w:p>
    <w:p w14:paraId="318C2BE1" w14:textId="77777777" w:rsidR="006A3A9B" w:rsidRDefault="006A3A9B" w:rsidP="00C54A48">
      <w:pPr>
        <w:numPr>
          <w:ilvl w:val="0"/>
          <w:numId w:val="22"/>
        </w:numPr>
        <w:tabs>
          <w:tab w:val="clear" w:pos="1080"/>
          <w:tab w:val="num" w:pos="900"/>
        </w:tabs>
        <w:ind w:left="900" w:hanging="540"/>
      </w:pPr>
      <w:r>
        <w:t>Determination of a valid</w:t>
      </w:r>
      <w:r w:rsidR="00107B0A">
        <w:t xml:space="preserve"> SSR</w:t>
      </w:r>
      <w:r>
        <w:t xml:space="preserve"> far enough in advance of the end of the season to be useful</w:t>
      </w:r>
      <w:r w:rsidR="00671026">
        <w:t xml:space="preserve">.  </w:t>
      </w:r>
      <w:r w:rsidR="00A4669C">
        <w:t>SSR</w:t>
      </w:r>
      <w:r>
        <w:t xml:space="preserve"> is the fraction of “remainder credits” that must be retired</w:t>
      </w:r>
      <w:r w:rsidR="0097152E">
        <w:t xml:space="preserve"> when a vessel completes its fishing</w:t>
      </w:r>
      <w:r w:rsidR="00671026">
        <w:t xml:space="preserve">.  </w:t>
      </w:r>
      <w:r>
        <w:t xml:space="preserve">Remainder credits are credits that </w:t>
      </w:r>
      <w:r w:rsidR="00B502E5">
        <w:t xml:space="preserve">a </w:t>
      </w:r>
      <w:r>
        <w:t xml:space="preserve">vessel did not use to fish its full </w:t>
      </w:r>
      <w:r w:rsidR="00ED0D55">
        <w:t>quota of Pollock</w:t>
      </w:r>
      <w:r>
        <w:t>.</w:t>
      </w:r>
    </w:p>
    <w:p w14:paraId="697C2975" w14:textId="77777777" w:rsidR="00ED0D55" w:rsidRDefault="00ED0D55" w:rsidP="00C54A48"/>
    <w:p w14:paraId="5B4F5BB9" w14:textId="77777777" w:rsidR="00ED0D55" w:rsidRPr="00F4646C" w:rsidRDefault="00C54A48" w:rsidP="009342CC">
      <w:pPr>
        <w:tabs>
          <w:tab w:val="left" w:pos="360"/>
        </w:tabs>
        <w:rPr>
          <w:u w:val="single"/>
        </w:rPr>
      </w:pPr>
      <w:r>
        <w:rPr>
          <w:u w:val="single"/>
        </w:rPr>
        <w:t>1)</w:t>
      </w:r>
      <w:r>
        <w:rPr>
          <w:u w:val="single"/>
        </w:rPr>
        <w:tab/>
      </w:r>
      <w:r w:rsidR="00ED0D55" w:rsidRPr="00F4646C">
        <w:rPr>
          <w:u w:val="single"/>
        </w:rPr>
        <w:t>Provisional Salmon Savings Rule</w:t>
      </w:r>
      <w:r w:rsidR="002716D1">
        <w:rPr>
          <w:u w:val="single"/>
        </w:rPr>
        <w:t xml:space="preserve"> (PSSR = max SSR</w:t>
      </w:r>
      <w:r w:rsidR="00644193">
        <w:rPr>
          <w:u w:val="single"/>
        </w:rPr>
        <w:t xml:space="preserve"> = </w:t>
      </w:r>
      <w:r w:rsidR="002D333A">
        <w:rPr>
          <w:u w:val="single"/>
        </w:rPr>
        <w:t xml:space="preserve"> </w:t>
      </w:r>
      <w:r w:rsidR="00644193">
        <w:rPr>
          <w:u w:val="single"/>
        </w:rPr>
        <w:t>withholding tax</w:t>
      </w:r>
      <w:r w:rsidR="002716D1">
        <w:rPr>
          <w:u w:val="single"/>
        </w:rPr>
        <w:t>)</w:t>
      </w:r>
      <w:r w:rsidR="00ED0D55" w:rsidRPr="00F4646C">
        <w:rPr>
          <w:u w:val="single"/>
        </w:rPr>
        <w:t>:</w:t>
      </w:r>
    </w:p>
    <w:p w14:paraId="0E7EA978" w14:textId="77777777" w:rsidR="00D107D9" w:rsidRDefault="00D107D9" w:rsidP="00C54A48"/>
    <w:p w14:paraId="2C380B3B" w14:textId="77777777" w:rsidR="00ED0D55" w:rsidRDefault="00ED0D55" w:rsidP="00C54A48">
      <w:r>
        <w:t>Note that prior to setting the seasonal SSR rate, transfers are allowed “from” boats but only up to some fixed percentage of their “remainder” credits</w:t>
      </w:r>
      <w:r w:rsidR="00671026">
        <w:t xml:space="preserve">.  </w:t>
      </w:r>
      <w:r>
        <w:t>Remainder credits = a vessel’</w:t>
      </w:r>
      <w:r w:rsidR="00337AF2">
        <w:t>s credits left after filling it</w:t>
      </w:r>
      <w:r>
        <w:t>s B-season quota + credits sold prior to filling quota</w:t>
      </w:r>
      <w:r w:rsidR="00671026">
        <w:t xml:space="preserve">.  </w:t>
      </w:r>
      <w:r>
        <w:t>Remainder credits include carry-forward vessel credits from the A-season</w:t>
      </w:r>
      <w:r w:rsidR="00671026">
        <w:t xml:space="preserve">.  </w:t>
      </w:r>
      <w:r w:rsidR="002865A8">
        <w:t>The provisional salmon savings rule (PSSR) wou</w:t>
      </w:r>
      <w:r w:rsidR="002F2B59">
        <w:t>ld require that vessels selling credits early</w:t>
      </w:r>
      <w:r w:rsidR="002865A8">
        <w:t xml:space="preserve"> must have a reserve </w:t>
      </w:r>
      <w:r w:rsidR="00FC72F9">
        <w:t>of credits</w:t>
      </w:r>
      <w:r w:rsidR="002F2B59">
        <w:t xml:space="preserve"> set aside</w:t>
      </w:r>
      <w:r w:rsidR="00FC72F9">
        <w:t xml:space="preserve"> to accommodate the largest possible</w:t>
      </w:r>
      <w:r w:rsidR="002865A8">
        <w:t xml:space="preserve"> SSR.</w:t>
      </w:r>
      <w:r w:rsidR="00EA0881">
        <w:t xml:space="preserve"> This covers the fact the remainder credits include credits sold.</w:t>
      </w:r>
      <w:r w:rsidR="002D333A">
        <w:t xml:space="preserve">  It acts as a withholding tax for credits sales.</w:t>
      </w:r>
    </w:p>
    <w:p w14:paraId="7D139778" w14:textId="77777777" w:rsidR="00ED0D55" w:rsidRDefault="00ED0D55" w:rsidP="00C54A48"/>
    <w:p w14:paraId="73A6C9E8" w14:textId="77777777" w:rsidR="00F9765A" w:rsidRDefault="00ED0D55" w:rsidP="00C54A48">
      <w:r>
        <w:t xml:space="preserve">For example, if a cap is set so </w:t>
      </w:r>
      <w:r w:rsidR="004827DA">
        <w:t>that the maximum SSR</w:t>
      </w:r>
      <w:r w:rsidR="00644193">
        <w:t xml:space="preserve"> is 6</w:t>
      </w:r>
      <w:r>
        <w:t>0% (a number that historically will not limit the harvest), then pr</w:t>
      </w:r>
      <w:r w:rsidR="008504A1">
        <w:t>ior to setting the dynamic savings</w:t>
      </w:r>
      <w:r>
        <w:t xml:space="preserve"> rule</w:t>
      </w:r>
      <w:r w:rsidR="00C656B4">
        <w:t xml:space="preserve"> (eg. th</w:t>
      </w:r>
      <w:r w:rsidR="00C319AF">
        <w:t>r</w:t>
      </w:r>
      <w:r w:rsidR="00C656B4">
        <w:t>oughout the A-season)</w:t>
      </w:r>
      <w:r>
        <w:t>, boats that have finished fis</w:t>
      </w:r>
      <w:r w:rsidR="00644193">
        <w:t>hing early can only sell up to 4</w:t>
      </w:r>
      <w:r>
        <w:t>0% of their remainder credits</w:t>
      </w:r>
      <w:r w:rsidR="00671026">
        <w:t xml:space="preserve">. </w:t>
      </w:r>
      <w:r w:rsidR="00644193">
        <w:t>The PSSR = 6</w:t>
      </w:r>
      <w:r w:rsidR="002716D1">
        <w:t>0%, or the maximum SSR.</w:t>
      </w:r>
      <w:r w:rsidR="00671026">
        <w:t xml:space="preserve"> </w:t>
      </w:r>
      <w:r w:rsidR="00EA0881">
        <w:t xml:space="preserve"> Thus,</w:t>
      </w:r>
      <w:r w:rsidR="00C319AF">
        <w:t xml:space="preserve"> if a vessel</w:t>
      </w:r>
      <w:r>
        <w:t xml:space="preserve"> wishes to sel</w:t>
      </w:r>
      <w:r w:rsidR="00644193">
        <w:t>l 4</w:t>
      </w:r>
      <w:r w:rsidR="00C319AF">
        <w:t>0 credits early in the year</w:t>
      </w:r>
      <w:r w:rsidR="00644193">
        <w:t>, it must keep 6</w:t>
      </w:r>
      <w:r>
        <w:t xml:space="preserve">0 ITEC </w:t>
      </w:r>
      <w:r w:rsidRPr="002716D1">
        <w:rPr>
          <w:i/>
        </w:rPr>
        <w:t>in reserve</w:t>
      </w:r>
      <w:r>
        <w:t xml:space="preserve"> until the SSR</w:t>
      </w:r>
      <w:r w:rsidR="00F9765A">
        <w:t xml:space="preserve"> is calculated.</w:t>
      </w:r>
      <w:r w:rsidR="00C319AF">
        <w:t xml:space="preserve">  This </w:t>
      </w:r>
      <w:r w:rsidR="00EA0881">
        <w:t xml:space="preserve">PSSR </w:t>
      </w:r>
      <w:r w:rsidR="00C319AF">
        <w:t>res</w:t>
      </w:r>
      <w:r w:rsidR="00EA0881">
        <w:t xml:space="preserve">erve acts as a </w:t>
      </w:r>
      <w:r w:rsidR="00EA0881" w:rsidRPr="00EA0881">
        <w:rPr>
          <w:i/>
        </w:rPr>
        <w:t>defacto</w:t>
      </w:r>
      <w:r w:rsidR="00EA0881">
        <w:t xml:space="preserve"> conservative</w:t>
      </w:r>
      <w:r w:rsidR="00C319AF">
        <w:t xml:space="preserve"> salmon savings rule governing transfers until the SSR is posted.</w:t>
      </w:r>
      <w:r w:rsidR="00EE1E72">
        <w:t xml:space="preserve">  It operates like “tax withholding”</w:t>
      </w:r>
      <w:r w:rsidR="000340E9">
        <w:t xml:space="preserve"> and protects (holds ITEC in reserve) a large fraction of salmon until the </w:t>
      </w:r>
      <w:r w:rsidR="00282DCB">
        <w:t>SSR is posted.</w:t>
      </w:r>
    </w:p>
    <w:p w14:paraId="609CB819" w14:textId="77777777" w:rsidR="00B80258" w:rsidRDefault="00B80258" w:rsidP="00C54A48"/>
    <w:p w14:paraId="774F89CB" w14:textId="77777777" w:rsidR="003E4A7A" w:rsidRDefault="003E4A7A" w:rsidP="00C54A48">
      <w:r>
        <w:t>A provisional savings rule prevents potential abuses that may occur if vessels sell credits before they “finish” fishing</w:t>
      </w:r>
      <w:r w:rsidR="00671026">
        <w:t xml:space="preserve">.  </w:t>
      </w:r>
      <w:r>
        <w:t>Since credits would not be retired until a vessel “completes” fishing</w:t>
      </w:r>
      <w:r w:rsidR="00B80258">
        <w:t xml:space="preserve">, a vessel could sell </w:t>
      </w:r>
      <w:r w:rsidR="005A0D06">
        <w:t>all of its credits</w:t>
      </w:r>
      <w:r w:rsidR="00B80258">
        <w:t xml:space="preserve"> before fishing its complete </w:t>
      </w:r>
      <w:r w:rsidR="005A0D06">
        <w:t>Pollock</w:t>
      </w:r>
      <w:r w:rsidR="00082C33">
        <w:t xml:space="preserve"> allocation as a strategy</w:t>
      </w:r>
      <w:r w:rsidR="00B80258">
        <w:t xml:space="preserve"> to</w:t>
      </w:r>
      <w:r w:rsidR="0086354E">
        <w:t xml:space="preserve"> avoid having </w:t>
      </w:r>
      <w:r w:rsidR="005A0D06">
        <w:t>ITEC</w:t>
      </w:r>
      <w:r w:rsidR="0086354E">
        <w:t xml:space="preserve"> retired</w:t>
      </w:r>
      <w:r w:rsidR="00671026">
        <w:t xml:space="preserve">.  </w:t>
      </w:r>
      <w:r w:rsidR="009D6612">
        <w:t xml:space="preserve">A provisional savings </w:t>
      </w:r>
      <w:r w:rsidR="00F9765A">
        <w:t xml:space="preserve">rule </w:t>
      </w:r>
      <w:r w:rsidR="004D68A7">
        <w:t xml:space="preserve">prevents this exploitation by requiring that the appropriate ratio of credits be set in reserve for each transfer that occurs before a vessel </w:t>
      </w:r>
      <w:r w:rsidR="00F9765A">
        <w:t xml:space="preserve">finishes fishing </w:t>
      </w:r>
      <w:r w:rsidR="00312514">
        <w:t xml:space="preserve">or before the SSR is set </w:t>
      </w:r>
      <w:r w:rsidR="00F9765A">
        <w:t>(as in the preceding example).</w:t>
      </w:r>
    </w:p>
    <w:p w14:paraId="41663478" w14:textId="77777777" w:rsidR="00420CD4" w:rsidRDefault="00420CD4" w:rsidP="00C54A48"/>
    <w:p w14:paraId="08F7C606" w14:textId="77777777" w:rsidR="00420CD4" w:rsidRPr="00327D39" w:rsidRDefault="00327D39" w:rsidP="00327D39">
      <w:pPr>
        <w:tabs>
          <w:tab w:val="left" w:pos="360"/>
        </w:tabs>
        <w:rPr>
          <w:u w:val="single"/>
        </w:rPr>
      </w:pPr>
      <w:r>
        <w:rPr>
          <w:u w:val="single"/>
        </w:rPr>
        <w:t>2)</w:t>
      </w:r>
      <w:r>
        <w:rPr>
          <w:u w:val="single"/>
        </w:rPr>
        <w:tab/>
      </w:r>
      <w:r w:rsidR="00420CD4" w:rsidRPr="00327D39">
        <w:rPr>
          <w:u w:val="single"/>
        </w:rPr>
        <w:t>Calculating a Salmon Savings Rate:</w:t>
      </w:r>
    </w:p>
    <w:p w14:paraId="24749345" w14:textId="77777777" w:rsidR="00D107D9" w:rsidRDefault="00D107D9" w:rsidP="00C54A48"/>
    <w:p w14:paraId="274295A9" w14:textId="77777777" w:rsidR="00104405" w:rsidRDefault="00420CD4" w:rsidP="00C54A48">
      <w:r>
        <w:t xml:space="preserve">Numerical experiments with the Inshore </w:t>
      </w:r>
      <w:r w:rsidR="00726DBF">
        <w:t xml:space="preserve">sector </w:t>
      </w:r>
      <w:r>
        <w:t xml:space="preserve">daily data over an 8 year period suggest that calculating the SSR when 2/3 of the B-season sector </w:t>
      </w:r>
      <w:r w:rsidR="00B40574">
        <w:t>Pollock</w:t>
      </w:r>
      <w:r>
        <w:t xml:space="preserve"> quota are caught (2/3 sector TAC) gives the best result, in terms of estimating the credits needed to complete the season</w:t>
      </w:r>
      <w:r w:rsidR="00B40574">
        <w:t xml:space="preserve"> (see Appendix B for details on calculating the SSR)</w:t>
      </w:r>
      <w:r w:rsidR="00671026">
        <w:t xml:space="preserve">.  </w:t>
      </w:r>
      <w:r>
        <w:t>This is the “estimated total sector by-catch for the B-season.”  This estimate normally occurs between August 29 and Sep</w:t>
      </w:r>
      <w:r w:rsidR="00D31103">
        <w:t>t 16 (Appendix B</w:t>
      </w:r>
      <w:r>
        <w:t>)</w:t>
      </w:r>
      <w:r w:rsidR="00671026">
        <w:t xml:space="preserve">.  </w:t>
      </w:r>
      <w:r>
        <w:t>This tends to happen later in low salmon abundance years (when fewer transfers are needed) and occurs earlier in moderate to high abundance years</w:t>
      </w:r>
      <w:r w:rsidR="00B2408F">
        <w:t xml:space="preserve"> (see </w:t>
      </w:r>
      <w:r w:rsidR="00866D32">
        <w:fldChar w:fldCharType="begin"/>
      </w:r>
      <w:r w:rsidR="00B2408F">
        <w:instrText xml:space="preserve"> REF _Ref220712254 \h </w:instrText>
      </w:r>
      <w:r w:rsidR="00866D32">
        <w:fldChar w:fldCharType="separate"/>
      </w:r>
      <w:r w:rsidR="001B0374" w:rsidRPr="0067208A">
        <w:t xml:space="preserve">Table B - </w:t>
      </w:r>
      <w:r w:rsidR="001B0374">
        <w:rPr>
          <w:noProof/>
        </w:rPr>
        <w:t>1</w:t>
      </w:r>
      <w:r w:rsidR="00866D32">
        <w:fldChar w:fldCharType="end"/>
      </w:r>
      <w:r w:rsidR="00B2408F">
        <w:t>)</w:t>
      </w:r>
      <w:r>
        <w:t>.</w:t>
      </w:r>
      <w:r w:rsidR="002D333A">
        <w:t xml:space="preserve">  </w:t>
      </w:r>
    </w:p>
    <w:p w14:paraId="407434D5" w14:textId="77777777" w:rsidR="00800D45" w:rsidRDefault="00800D45" w:rsidP="00C54A48"/>
    <w:p w14:paraId="451BB14F" w14:textId="77777777" w:rsidR="006A3A9B" w:rsidRPr="00420CD4" w:rsidRDefault="006A3A9B" w:rsidP="00C54A48">
      <w:pPr>
        <w:rPr>
          <w:u w:val="single"/>
        </w:rPr>
      </w:pPr>
      <w:bookmarkStart w:id="2" w:name="RANGE!A1:I14"/>
      <w:bookmarkEnd w:id="2"/>
      <w:r w:rsidRPr="00420CD4">
        <w:rPr>
          <w:u w:val="single"/>
        </w:rPr>
        <w:t>Discussion:</w:t>
      </w:r>
    </w:p>
    <w:p w14:paraId="526E0D0C" w14:textId="77777777" w:rsidR="006A3A9B" w:rsidRDefault="006A3A9B" w:rsidP="00C54A48"/>
    <w:p w14:paraId="62F76E08" w14:textId="77777777" w:rsidR="00FF4CAC" w:rsidRDefault="00E93A89" w:rsidP="00C54A48">
      <w:r>
        <w:t xml:space="preserve">A dynamic salmon savings rule </w:t>
      </w:r>
      <w:r w:rsidR="00C21770">
        <w:t>should in</w:t>
      </w:r>
      <w:r w:rsidR="00D31103">
        <w:t>crease the effectiveness of a market-i</w:t>
      </w:r>
      <w:r w:rsidR="00C21770">
        <w:t>ncentive plan with regards to</w:t>
      </w:r>
      <w:r>
        <w:t xml:space="preserve"> </w:t>
      </w:r>
      <w:r w:rsidR="00C21770">
        <w:t xml:space="preserve">protecting </w:t>
      </w:r>
      <w:r>
        <w:t>Chinook salmon</w:t>
      </w:r>
      <w:r w:rsidR="00D31103">
        <w:t xml:space="preserve"> and meeting the C-2 Motion requirements</w:t>
      </w:r>
      <w:r w:rsidR="00671026">
        <w:t xml:space="preserve">.  </w:t>
      </w:r>
      <w:r w:rsidR="00040824">
        <w:t>One of the primary criticisms of the 68,392 hard</w:t>
      </w:r>
      <w:r w:rsidR="001A11D8">
        <w:t xml:space="preserve"> </w:t>
      </w:r>
      <w:r w:rsidR="00040824">
        <w:t>cap on Chinook salmon bycatch is that it is set too high</w:t>
      </w:r>
      <w:r w:rsidR="00671026">
        <w:t xml:space="preserve">.  </w:t>
      </w:r>
      <w:r w:rsidR="00CF3509">
        <w:t>This level of hard</w:t>
      </w:r>
      <w:r w:rsidR="001A11D8">
        <w:t xml:space="preserve"> </w:t>
      </w:r>
      <w:r w:rsidR="00CF3509">
        <w:t>cap poses the problem of satisfying the C-2 requirement of incentivizing reduced salmon bycatch at all levels of abundance</w:t>
      </w:r>
      <w:r w:rsidR="00671026">
        <w:t xml:space="preserve">.  </w:t>
      </w:r>
      <w:r w:rsidR="004F11C9">
        <w:t>A lower hard</w:t>
      </w:r>
      <w:r w:rsidR="001A11D8">
        <w:t xml:space="preserve"> </w:t>
      </w:r>
      <w:r w:rsidR="004F11C9">
        <w:t>cap, as advocated by some salmon interest groups is one possible solution</w:t>
      </w:r>
      <w:r w:rsidR="00671026">
        <w:t xml:space="preserve">.  </w:t>
      </w:r>
      <w:r w:rsidR="003F0519">
        <w:t>However, historical data show</w:t>
      </w:r>
      <w:r w:rsidR="00040824">
        <w:t xml:space="preserve"> that salmon encounter rates vary over a wide range</w:t>
      </w:r>
      <w:r w:rsidR="00671026">
        <w:t xml:space="preserve">.  </w:t>
      </w:r>
      <w:r w:rsidR="00040824">
        <w:t>A low hard</w:t>
      </w:r>
      <w:r w:rsidR="001A11D8">
        <w:t xml:space="preserve"> </w:t>
      </w:r>
      <w:r w:rsidR="00040824">
        <w:t>cap can pose significant financial difficulties on the Pollock fishery during years of high salmon encounter</w:t>
      </w:r>
      <w:r w:rsidR="00BA5C2F">
        <w:t xml:space="preserve"> (68,392 hard</w:t>
      </w:r>
      <w:r w:rsidR="001A11D8">
        <w:t xml:space="preserve"> </w:t>
      </w:r>
      <w:r w:rsidR="00BA5C2F">
        <w:t>cap creates financial burden even during years of mod</w:t>
      </w:r>
      <w:r w:rsidR="00045D84">
        <w:t xml:space="preserve">erate salmon abundance: </w:t>
      </w:r>
      <w:r w:rsidR="00866D32">
        <w:fldChar w:fldCharType="begin"/>
      </w:r>
      <w:r w:rsidR="00045D84">
        <w:instrText xml:space="preserve"> REF _Ref220714027 \h </w:instrText>
      </w:r>
      <w:r w:rsidR="00866D32">
        <w:fldChar w:fldCharType="separate"/>
      </w:r>
      <w:r w:rsidR="001B0374" w:rsidRPr="00956519">
        <w:t xml:space="preserve">Figure </w:t>
      </w:r>
      <w:r w:rsidR="001B0374">
        <w:rPr>
          <w:bCs/>
          <w:noProof/>
        </w:rPr>
        <w:t>1</w:t>
      </w:r>
      <w:r w:rsidR="00866D32">
        <w:fldChar w:fldCharType="end"/>
      </w:r>
      <w:r w:rsidR="00BA5C2F">
        <w:t>)</w:t>
      </w:r>
      <w:r w:rsidR="00671026">
        <w:t xml:space="preserve">.  </w:t>
      </w:r>
      <w:r w:rsidR="00063821">
        <w:t>Conversely,</w:t>
      </w:r>
      <w:r w:rsidR="00040824">
        <w:t xml:space="preserve"> a high hard</w:t>
      </w:r>
      <w:r w:rsidR="001A11D8">
        <w:t xml:space="preserve"> </w:t>
      </w:r>
      <w:r w:rsidR="00040824">
        <w:t>cap can result in excess credits (and the potential for abuse) during years of low salmon encounter</w:t>
      </w:r>
      <w:r w:rsidR="00671026">
        <w:t xml:space="preserve">.  </w:t>
      </w:r>
      <w:r w:rsidR="00FF4CAC">
        <w:t>The ideal solution to this problem would be to develop sophisticated methods for accurately forecasting salmon abundances and encounter rates</w:t>
      </w:r>
      <w:r w:rsidR="00671026">
        <w:t xml:space="preserve">.  </w:t>
      </w:r>
      <w:r w:rsidR="007A3A5D">
        <w:t xml:space="preserve">A much more feasible </w:t>
      </w:r>
      <w:r w:rsidR="00FF4CAC">
        <w:t xml:space="preserve">alternative is an adaptive rule, such as Dynamic Salmon Savings </w:t>
      </w:r>
      <w:r w:rsidR="00CE74DF">
        <w:t>(DSS) which is adjusted each yea</w:t>
      </w:r>
      <w:r w:rsidR="00CE60DA">
        <w:t>r, taking into account that season</w:t>
      </w:r>
      <w:r w:rsidR="00CE74DF">
        <w:t>’s level of</w:t>
      </w:r>
      <w:r w:rsidR="00D105D2">
        <w:t xml:space="preserve"> salmon encounter seen so far</w:t>
      </w:r>
      <w:r w:rsidR="00671026">
        <w:t xml:space="preserve">.  </w:t>
      </w:r>
      <w:r w:rsidR="002145D9">
        <w:t>Unlike a Fixed Transfer Tax, DSS retires credits during times when credits are abundant and the potential for abuse is high</w:t>
      </w:r>
      <w:r w:rsidR="00671026">
        <w:t xml:space="preserve">.  </w:t>
      </w:r>
      <w:r w:rsidR="00DF61B8">
        <w:t>A</w:t>
      </w:r>
      <w:r w:rsidR="002145D9">
        <w:t xml:space="preserve"> fixed tax can </w:t>
      </w:r>
      <w:r w:rsidR="002145D9" w:rsidRPr="00ED0D55">
        <w:t>only</w:t>
      </w:r>
      <w:r w:rsidR="002145D9">
        <w:t xml:space="preserve"> retire credits when transactions occur</w:t>
      </w:r>
      <w:r w:rsidR="00671026">
        <w:t xml:space="preserve">.  </w:t>
      </w:r>
      <w:r w:rsidR="002145D9">
        <w:t>During low-encounter years, few transactions take place (because most vessels</w:t>
      </w:r>
      <w:r w:rsidR="00CE60DA">
        <w:t xml:space="preserve"> have enough credits to fish their</w:t>
      </w:r>
      <w:r w:rsidR="002145D9">
        <w:t xml:space="preserve"> own Pollock allocation)</w:t>
      </w:r>
      <w:r w:rsidR="00671026">
        <w:t xml:space="preserve">.  </w:t>
      </w:r>
      <w:r w:rsidR="00C21770">
        <w:t>Thus, a fixed tax will fail</w:t>
      </w:r>
      <w:r w:rsidR="002145D9">
        <w:t xml:space="preserve"> to be effective during times of low salmon encounter, precisely when a transfe</w:t>
      </w:r>
      <w:r w:rsidR="00BF0407">
        <w:t>r rule should be most effective.</w:t>
      </w:r>
    </w:p>
    <w:p w14:paraId="49451F98" w14:textId="77777777" w:rsidR="0010054D" w:rsidRDefault="0010054D" w:rsidP="00C54A48"/>
    <w:p w14:paraId="7BD9D944" w14:textId="77777777" w:rsidR="004622AC" w:rsidRDefault="0010054D" w:rsidP="00C54A48">
      <w:r>
        <w:t>In our simulations of the number of credits retired under a fixed transfer tax scheme and DSS, we found that DSS retired significantly (over 4 times) more credits over a span of 8 years (2000 - 2007) for the Inshore Catcher-Vessel sector</w:t>
      </w:r>
      <w:r w:rsidR="00A822CC">
        <w:t xml:space="preserve"> (</w:t>
      </w:r>
      <w:r w:rsidR="00C26046">
        <w:t xml:space="preserve">using daily data, </w:t>
      </w:r>
      <w:r w:rsidR="00A822CC">
        <w:t xml:space="preserve">see </w:t>
      </w:r>
      <w:r w:rsidR="00E876F5">
        <w:t>4</w:t>
      </w:r>
      <w:r w:rsidR="00045072">
        <w:t>a</w:t>
      </w:r>
      <w:r w:rsidR="00456E67">
        <w:t>)</w:t>
      </w:r>
      <w:r w:rsidR="00671026">
        <w:t xml:space="preserve">.  </w:t>
      </w:r>
      <w:r w:rsidR="005D48CB">
        <w:t>Not only does DSS save more credits than a fixed transfer tax over this 8 year period, but the savings occur during years of low salmon encounter under a DSS scheme</w:t>
      </w:r>
      <w:r w:rsidR="00671026">
        <w:t xml:space="preserve">.  </w:t>
      </w:r>
      <w:r w:rsidR="005D48CB">
        <w:t>(see</w:t>
      </w:r>
      <w:r w:rsidR="00E876F5">
        <w:t xml:space="preserve"> Figure 4</w:t>
      </w:r>
      <w:r w:rsidR="00045072">
        <w:t>b</w:t>
      </w:r>
      <w:r w:rsidR="005D48CB">
        <w:t xml:space="preserve">)  </w:t>
      </w:r>
      <w:r w:rsidR="004622AC">
        <w:t>Details regard</w:t>
      </w:r>
      <w:r w:rsidR="00AB5A7F">
        <w:t>ing the implementation of both the</w:t>
      </w:r>
      <w:r w:rsidR="004622AC">
        <w:t xml:space="preserve"> fixed transfer tax and dynamic salmon savings can be found in Appendix B, along with more detailed simulation results.</w:t>
      </w:r>
    </w:p>
    <w:p w14:paraId="6F70F7BE" w14:textId="77777777" w:rsidR="0010054D" w:rsidRDefault="0010054D" w:rsidP="00C54A48"/>
    <w:p w14:paraId="5BDD1F8B" w14:textId="77777777" w:rsidR="00DF4C08" w:rsidRDefault="00DF4C08" w:rsidP="00C54A48">
      <w:r>
        <w:t xml:space="preserve">One potential issue related to DSS is the estimation of the number of credits needed.  Because this is an estimate of the amount of bycatch that the industry might experience for the rest of the season, it has the potential to influence fishing behavior.  We believe that it will not adversely affect bycatch rates (i.e. elevating bycatch rates above what they would be without such an estimate).  Like all estimates of bycatch, it is subject to error: the large fluctuations in bycatch levels and salmon abundances from year-to-year and season-to-season should make individual vessels cautious about running out of credits.  Furthermore, although some vessels may become less careful in avoiding bycatch if the estimate of bycatch is too high, they can be taken advantage of by vessels that are rigorous in avoiding bycatch.  Since vessels are competing with each other for increased allocations, vessels that have lower bycatch relative to other vessels will see increased allocations.  The competitive aspect of the legacy plan means that an estimate of bycatch will adversely affect bycatch rates only if </w:t>
      </w:r>
      <w:r>
        <w:rPr>
          <w:i/>
        </w:rPr>
        <w:t>all</w:t>
      </w:r>
      <w:r>
        <w:t xml:space="preserve"> vessels are lax about reducing bycatch.  Seeing even one vessel outperform the rest will incite the rest of the fleet to catch up.</w:t>
      </w:r>
    </w:p>
    <w:p w14:paraId="4D100A83" w14:textId="77777777" w:rsidR="00DF4C08" w:rsidRDefault="00DF4C08" w:rsidP="00C54A48"/>
    <w:p w14:paraId="7B701675" w14:textId="77777777" w:rsidR="00365148" w:rsidRDefault="00B24E46" w:rsidP="00C84FF2">
      <w:pPr>
        <w:jc w:val="center"/>
      </w:pPr>
      <w:r w:rsidRPr="00B24E46">
        <w:rPr>
          <w:noProof/>
        </w:rPr>
        <w:drawing>
          <wp:inline distT="0" distB="0" distL="0" distR="0" wp14:anchorId="52790F9C" wp14:editId="0958A9D8">
            <wp:extent cx="3683000" cy="3132667"/>
            <wp:effectExtent l="25400" t="0" r="0" b="0"/>
            <wp:docPr id="27"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1A82AA" w14:textId="77777777" w:rsidR="007C4FB2" w:rsidRPr="00ED0D55" w:rsidRDefault="007C4FB2" w:rsidP="00CE20BA">
      <w:pPr>
        <w:pStyle w:val="Caption"/>
        <w:ind w:left="720"/>
        <w:rPr>
          <w:b w:val="0"/>
          <w:bCs w:val="0"/>
          <w:sz w:val="24"/>
        </w:rPr>
      </w:pPr>
      <w:bookmarkStart w:id="3" w:name="_Ref220712859"/>
      <w:r w:rsidRPr="00045D84">
        <w:rPr>
          <w:bCs w:val="0"/>
          <w:sz w:val="24"/>
        </w:rPr>
        <w:t xml:space="preserve">Figure </w:t>
      </w:r>
      <w:bookmarkEnd w:id="3"/>
      <w:r w:rsidR="00E876F5">
        <w:rPr>
          <w:bCs w:val="0"/>
          <w:sz w:val="24"/>
        </w:rPr>
        <w:t>4</w:t>
      </w:r>
      <w:r w:rsidR="00E94803">
        <w:rPr>
          <w:bCs w:val="0"/>
          <w:sz w:val="24"/>
        </w:rPr>
        <w:t>a</w:t>
      </w:r>
      <w:r w:rsidR="00671026" w:rsidRPr="00045D84">
        <w:rPr>
          <w:bCs w:val="0"/>
          <w:sz w:val="24"/>
        </w:rPr>
        <w:t>.</w:t>
      </w:r>
      <w:r w:rsidR="00671026">
        <w:rPr>
          <w:b w:val="0"/>
          <w:bCs w:val="0"/>
          <w:sz w:val="24"/>
        </w:rPr>
        <w:t xml:space="preserve">  </w:t>
      </w:r>
      <w:r w:rsidRPr="00ED0D55">
        <w:rPr>
          <w:b w:val="0"/>
          <w:bCs w:val="0"/>
          <w:sz w:val="24"/>
        </w:rPr>
        <w:t>Number of retired credits over 8 years (2000 – 2007) under two differe</w:t>
      </w:r>
      <w:r w:rsidR="00775301" w:rsidRPr="00ED0D55">
        <w:rPr>
          <w:b w:val="0"/>
          <w:bCs w:val="0"/>
          <w:sz w:val="24"/>
        </w:rPr>
        <w:t>nt sell-side transfer rules: a fixed transfer tax and dynamic salmon s</w:t>
      </w:r>
      <w:r w:rsidRPr="00ED0D55">
        <w:rPr>
          <w:b w:val="0"/>
          <w:bCs w:val="0"/>
          <w:sz w:val="24"/>
        </w:rPr>
        <w:t>avings.</w:t>
      </w:r>
    </w:p>
    <w:p w14:paraId="1213667D" w14:textId="77777777" w:rsidR="00E94803" w:rsidRDefault="00E94803" w:rsidP="00DF2FD3">
      <w:pPr>
        <w:ind w:left="360"/>
      </w:pPr>
    </w:p>
    <w:p w14:paraId="0D4F7BC4" w14:textId="77777777" w:rsidR="00E94803" w:rsidRDefault="00E94803" w:rsidP="00DF2FD3">
      <w:pPr>
        <w:ind w:left="360"/>
      </w:pPr>
      <w:r w:rsidRPr="00E94803">
        <w:rPr>
          <w:noProof/>
        </w:rPr>
        <w:drawing>
          <wp:inline distT="0" distB="0" distL="0" distR="0" wp14:anchorId="2978729A" wp14:editId="0CD13B17">
            <wp:extent cx="5486400" cy="3361267"/>
            <wp:effectExtent l="25400" t="0" r="0" b="0"/>
            <wp:docPr id="29"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D4BC414" w14:textId="77777777" w:rsidR="003D7C2D" w:rsidRDefault="00E94803" w:rsidP="00E94803">
      <w:pPr>
        <w:pStyle w:val="Caption"/>
        <w:ind w:left="720"/>
        <w:rPr>
          <w:b w:val="0"/>
          <w:sz w:val="24"/>
          <w:u w:val="single"/>
        </w:rPr>
      </w:pPr>
      <w:r w:rsidRPr="004E2AD9">
        <w:rPr>
          <w:sz w:val="24"/>
        </w:rPr>
        <w:t xml:space="preserve">Figure </w:t>
      </w:r>
      <w:r w:rsidR="00E876F5">
        <w:rPr>
          <w:sz w:val="24"/>
        </w:rPr>
        <w:t>4</w:t>
      </w:r>
      <w:r>
        <w:rPr>
          <w:sz w:val="24"/>
        </w:rPr>
        <w:t xml:space="preserve">b.  </w:t>
      </w:r>
      <w:r w:rsidRPr="004E2AD9">
        <w:rPr>
          <w:b w:val="0"/>
          <w:sz w:val="24"/>
        </w:rPr>
        <w:t>Number of ITEC recovered vs</w:t>
      </w:r>
      <w:r>
        <w:rPr>
          <w:b w:val="0"/>
          <w:sz w:val="24"/>
        </w:rPr>
        <w:t xml:space="preserve">. </w:t>
      </w:r>
      <w:r w:rsidRPr="004E2AD9">
        <w:rPr>
          <w:b w:val="0"/>
          <w:sz w:val="24"/>
        </w:rPr>
        <w:t>yearly bycatch (proxy for salmon abundance) for two different sell-side transfer rules.</w:t>
      </w:r>
      <w:r>
        <w:rPr>
          <w:b w:val="0"/>
          <w:sz w:val="24"/>
        </w:rPr>
        <w:t xml:space="preserve">  </w:t>
      </w:r>
      <w:r w:rsidRPr="006F6426">
        <w:rPr>
          <w:b w:val="0"/>
          <w:sz w:val="24"/>
          <w:u w:val="single"/>
        </w:rPr>
        <w:t>More ITEC is saved during low salmon abundance years using Dynamic Salmon Savings.</w:t>
      </w:r>
    </w:p>
    <w:p w14:paraId="1EADFDBF" w14:textId="77777777" w:rsidR="003D7C2D" w:rsidRDefault="003D7C2D" w:rsidP="003D7C2D"/>
    <w:p w14:paraId="13EC50FF" w14:textId="77777777" w:rsidR="00E94803" w:rsidRPr="003D7C2D" w:rsidRDefault="00E94803" w:rsidP="003D7C2D"/>
    <w:p w14:paraId="6BEBFA7C" w14:textId="77777777" w:rsidR="006A3A9B" w:rsidRPr="008B1FA3" w:rsidRDefault="00936519" w:rsidP="008B1FA3">
      <w:pPr>
        <w:tabs>
          <w:tab w:val="left" w:pos="720"/>
        </w:tabs>
        <w:rPr>
          <w:sz w:val="28"/>
          <w:szCs w:val="28"/>
        </w:rPr>
      </w:pPr>
      <w:r>
        <w:rPr>
          <w:sz w:val="28"/>
          <w:szCs w:val="28"/>
        </w:rPr>
        <w:t>I</w:t>
      </w:r>
      <w:r w:rsidR="006A3A9B" w:rsidRPr="008B1FA3">
        <w:rPr>
          <w:sz w:val="28"/>
          <w:szCs w:val="28"/>
        </w:rPr>
        <w:t>II</w:t>
      </w:r>
      <w:r w:rsidR="00D15ED3" w:rsidRPr="008B1FA3">
        <w:rPr>
          <w:sz w:val="28"/>
          <w:szCs w:val="28"/>
        </w:rPr>
        <w:t>.</w:t>
      </w:r>
      <w:r w:rsidR="00D15ED3" w:rsidRPr="008B1FA3">
        <w:rPr>
          <w:sz w:val="28"/>
          <w:szCs w:val="28"/>
        </w:rPr>
        <w:tab/>
      </w:r>
      <w:r w:rsidR="006A3A9B" w:rsidRPr="008B1FA3">
        <w:rPr>
          <w:sz w:val="28"/>
          <w:szCs w:val="28"/>
        </w:rPr>
        <w:t>Incentives/Issues</w:t>
      </w:r>
    </w:p>
    <w:p w14:paraId="56F55B8F" w14:textId="77777777" w:rsidR="006A3A9B" w:rsidRDefault="006A3A9B" w:rsidP="000134E0">
      <w:pPr>
        <w:ind w:left="360"/>
      </w:pPr>
    </w:p>
    <w:p w14:paraId="1DC6682D" w14:textId="77777777" w:rsidR="00E540B9" w:rsidRDefault="00850863" w:rsidP="00956519">
      <w:pPr>
        <w:rPr>
          <w:b/>
        </w:rPr>
      </w:pPr>
      <w:r>
        <w:rPr>
          <w:b/>
        </w:rPr>
        <w:t>III.</w:t>
      </w:r>
      <w:r w:rsidR="00636948">
        <w:rPr>
          <w:b/>
        </w:rPr>
        <w:t>1</w:t>
      </w:r>
      <w:r w:rsidR="00A13594">
        <w:rPr>
          <w:b/>
        </w:rPr>
        <w:t xml:space="preserve"> </w:t>
      </w:r>
      <w:r w:rsidR="00636948">
        <w:rPr>
          <w:b/>
        </w:rPr>
        <w:t xml:space="preserve"> </w:t>
      </w:r>
      <w:r w:rsidR="00E540B9">
        <w:rPr>
          <w:b/>
        </w:rPr>
        <w:t>Expected value of chinook bycatch:</w:t>
      </w:r>
    </w:p>
    <w:p w14:paraId="5F97370D" w14:textId="77777777" w:rsidR="00E540B9" w:rsidRDefault="00E540B9" w:rsidP="00956519">
      <w:pPr>
        <w:rPr>
          <w:b/>
        </w:rPr>
      </w:pPr>
    </w:p>
    <w:p w14:paraId="4727CA1C" w14:textId="77777777" w:rsidR="00E540B9" w:rsidRDefault="00E540B9" w:rsidP="00956519">
      <w:r>
        <w:t>The expected value of Chinook bycatch will be a function of many factors, including (among others) an individual vessel’s current ITEC allocation, time of year, the probability that an individual vessel will run out of ITEC, the amount of ITEC that may be available for sale, and expectations about the probability of high-encounter years in the future.  Similarly, any effort to model the expected variance in Chinook bycatch would require an estimate of the stock levels of Chinook in the Bering Sea, which would be difficult with our current knowledge.  As a simplified alternative, it is possible to create a rough upper bound on the price of credits by looking at the intrinsic value to</w:t>
      </w:r>
      <w:r w:rsidRPr="00E540B9">
        <w:t xml:space="preserve"> </w:t>
      </w:r>
      <w:r>
        <w:t>individual vessels from being able to catch additional Pollock with each additional ITEC.</w:t>
      </w:r>
    </w:p>
    <w:p w14:paraId="5C816C96" w14:textId="77777777" w:rsidR="00E540B9" w:rsidRDefault="00E540B9" w:rsidP="00956519">
      <w:pPr>
        <w:rPr>
          <w:b/>
        </w:rPr>
      </w:pPr>
    </w:p>
    <w:p w14:paraId="6C2F9D37" w14:textId="77777777" w:rsidR="006A3A9B" w:rsidRPr="00636948" w:rsidRDefault="00E540B9" w:rsidP="00956519">
      <w:pPr>
        <w:rPr>
          <w:b/>
        </w:rPr>
      </w:pPr>
      <w:r>
        <w:rPr>
          <w:b/>
        </w:rPr>
        <w:t xml:space="preserve">III.2  </w:t>
      </w:r>
      <w:r w:rsidR="006A3A9B" w:rsidRPr="00636948">
        <w:rPr>
          <w:b/>
        </w:rPr>
        <w:t>Industry costs associated with non-transferability</w:t>
      </w:r>
      <w:r w:rsidR="00691C27" w:rsidRPr="00636948">
        <w:rPr>
          <w:b/>
        </w:rPr>
        <w:t xml:space="preserve"> of credits</w:t>
      </w:r>
      <w:r w:rsidR="006A3A9B" w:rsidRPr="00636948">
        <w:rPr>
          <w:b/>
        </w:rPr>
        <w:t>.</w:t>
      </w:r>
    </w:p>
    <w:p w14:paraId="79AF484E" w14:textId="77777777" w:rsidR="006A3A9B" w:rsidRDefault="006A3A9B" w:rsidP="00956519"/>
    <w:p w14:paraId="5475C5F5" w14:textId="77777777" w:rsidR="006A3A9B" w:rsidRDefault="006A3A9B" w:rsidP="00644193">
      <w:r>
        <w:t xml:space="preserve">Without a system for transferring </w:t>
      </w:r>
      <w:r w:rsidR="00BD5F36">
        <w:t>Chinook</w:t>
      </w:r>
      <w:r>
        <w:t xml:space="preserve"> salmon encounter credits individual vessels will run out</w:t>
      </w:r>
      <w:r w:rsidR="009B65A6">
        <w:t xml:space="preserve"> of ITEC</w:t>
      </w:r>
      <w:r>
        <w:t xml:space="preserve">, and </w:t>
      </w:r>
      <w:r w:rsidR="00BD5F36">
        <w:t>Pollock</w:t>
      </w:r>
      <w:r>
        <w:t xml:space="preserve"> could go unfished</w:t>
      </w:r>
      <w:r w:rsidR="00485952">
        <w:t>,</w:t>
      </w:r>
      <w:r>
        <w:t xml:space="preserve"> resulting in significant </w:t>
      </w:r>
      <w:r w:rsidR="0000037B">
        <w:t xml:space="preserve">revenue </w:t>
      </w:r>
      <w:r>
        <w:t>losses</w:t>
      </w:r>
      <w:r w:rsidR="0000037B">
        <w:t xml:space="preserve"> for the </w:t>
      </w:r>
      <w:r w:rsidR="00AD3BFB">
        <w:t>Pollock</w:t>
      </w:r>
      <w:r w:rsidR="0000037B">
        <w:t xml:space="preserve"> industry</w:t>
      </w:r>
      <w:r w:rsidR="00671026">
        <w:t xml:space="preserve">.  </w:t>
      </w:r>
      <w:r>
        <w:t>These lo</w:t>
      </w:r>
      <w:r w:rsidR="0002637D">
        <w:t>s</w:t>
      </w:r>
      <w:r>
        <w:t xml:space="preserve">ses can happen even during low to moderate </w:t>
      </w:r>
      <w:r w:rsidR="00C92AD9">
        <w:t>salmon encounter</w:t>
      </w:r>
      <w:r>
        <w:t xml:space="preserve"> years</w:t>
      </w:r>
      <w:r w:rsidR="00671026">
        <w:t xml:space="preserve">.  </w:t>
      </w:r>
      <w:r w:rsidR="00866D32">
        <w:fldChar w:fldCharType="begin"/>
      </w:r>
      <w:r w:rsidR="00657D47">
        <w:instrText xml:space="preserve"> REF _Ref220714027 \h </w:instrText>
      </w:r>
      <w:r w:rsidR="00866D32">
        <w:fldChar w:fldCharType="separate"/>
      </w:r>
      <w:r w:rsidR="001B0374" w:rsidRPr="00956519">
        <w:t xml:space="preserve">Figure </w:t>
      </w:r>
      <w:r w:rsidR="001B0374">
        <w:rPr>
          <w:bCs/>
          <w:noProof/>
        </w:rPr>
        <w:t>1</w:t>
      </w:r>
      <w:r w:rsidR="00866D32">
        <w:fldChar w:fldCharType="end"/>
      </w:r>
      <w:r>
        <w:t xml:space="preserve"> belo</w:t>
      </w:r>
      <w:r w:rsidR="00CE7E14">
        <w:t xml:space="preserve">w illustrates the timing of how </w:t>
      </w:r>
      <w:r>
        <w:t xml:space="preserve">many </w:t>
      </w:r>
      <w:r w:rsidRPr="00671469">
        <w:t>vessels</w:t>
      </w:r>
      <w:r>
        <w:t xml:space="preserve"> run out of credits in each season under the proposed Inshore sector hard cap of 38,059 </w:t>
      </w:r>
      <w:r w:rsidR="00644193">
        <w:t>assuming no behavioral change in response to a hard cap (includes</w:t>
      </w:r>
      <w:r>
        <w:t xml:space="preserve"> 100% A to B carry forward).</w:t>
      </w:r>
      <w:r w:rsidR="00644193">
        <w:t xml:space="preserve"> Note that this zeroth order indication shows the result</w:t>
      </w:r>
    </w:p>
    <w:p w14:paraId="453817F4" w14:textId="77777777" w:rsidR="00871E93" w:rsidRPr="00ED0D55" w:rsidRDefault="00871E93" w:rsidP="004130CE"/>
    <w:p w14:paraId="13FBBE37" w14:textId="77777777" w:rsidR="006A3A9B" w:rsidRPr="00F92839" w:rsidRDefault="006A3A9B" w:rsidP="004130CE">
      <w:r>
        <w:t>What is interesting here is that in 2000 and 2001 apparently no ves</w:t>
      </w:r>
      <w:r w:rsidR="00963D6F">
        <w:t>sels would have run out of ITEC</w:t>
      </w:r>
      <w:r>
        <w:t xml:space="preserve"> (hence no trading would be required)</w:t>
      </w:r>
      <w:r w:rsidR="00671026">
        <w:t xml:space="preserve">.  </w:t>
      </w:r>
      <w:r>
        <w:t xml:space="preserve">However, in other low salmon </w:t>
      </w:r>
      <w:r w:rsidR="00ED1CA8">
        <w:t>encounter</w:t>
      </w:r>
      <w:r>
        <w:t xml:space="preserve"> years, 2002, 2003 and in the moderate salmon abundance years 2004, 2005, an increasing number of vessels would have run out of </w:t>
      </w:r>
      <w:r w:rsidR="00BD5F36">
        <w:t>Chinook</w:t>
      </w:r>
      <w:r>
        <w:t xml:space="preserve"> salmon encounter credits</w:t>
      </w:r>
      <w:r w:rsidR="00671026">
        <w:t xml:space="preserve">.  </w:t>
      </w:r>
      <w:r>
        <w:t>This suggests that while no trading was required in 2000 and 2001, that it would have been required in all of the following years</w:t>
      </w:r>
      <w:r w:rsidR="00B31CCB">
        <w:t xml:space="preserve"> to</w:t>
      </w:r>
      <w:r w:rsidR="001954B1">
        <w:t xml:space="preserve"> minimize the Pollock that industry must leave unharvested</w:t>
      </w:r>
      <w:r w:rsidR="00B31CCB">
        <w:t>.</w:t>
      </w:r>
    </w:p>
    <w:p w14:paraId="3BBCFDE7" w14:textId="77777777" w:rsidR="006A3A9B" w:rsidRPr="00F92839" w:rsidRDefault="006A3A9B" w:rsidP="004130CE"/>
    <w:p w14:paraId="5C654A0D" w14:textId="77777777" w:rsidR="006A3A9B" w:rsidRPr="00F92839" w:rsidRDefault="006A3A9B" w:rsidP="004130CE">
      <w:r w:rsidRPr="00F92839">
        <w:t>The sector revenue loss associated with not being able to trade encounter credits under a hard cap scenario can be considerable</w:t>
      </w:r>
      <w:r w:rsidR="00671026">
        <w:t xml:space="preserve">.  </w:t>
      </w:r>
      <w:r w:rsidRPr="00F92839">
        <w:t>Th</w:t>
      </w:r>
      <w:r w:rsidR="003C6FA7">
        <w:t>ese costs are illustrated below</w:t>
      </w:r>
      <w:r w:rsidR="00E10DAA">
        <w:t xml:space="preserve"> in </w:t>
      </w:r>
      <w:r w:rsidR="00E876F5">
        <w:t>Figure 5</w:t>
      </w:r>
      <w:r w:rsidRPr="00F92839">
        <w:t>, and can exceed $62m in one year</w:t>
      </w:r>
      <w:r w:rsidR="00671026">
        <w:t xml:space="preserve">.  </w:t>
      </w:r>
      <w:r w:rsidRPr="00F92839">
        <w:t>The risk</w:t>
      </w:r>
      <w:r>
        <w:t xml:space="preserve"> of catastrophic losses due to </w:t>
      </w:r>
      <w:r w:rsidRPr="00F92839">
        <w:t xml:space="preserve">unharvested Pollock in any given year should provide </w:t>
      </w:r>
      <w:r w:rsidR="001954B1">
        <w:t xml:space="preserve">strong financial </w:t>
      </w:r>
      <w:r w:rsidRPr="00F92839">
        <w:t xml:space="preserve">motivation for industry </w:t>
      </w:r>
      <w:r w:rsidR="00343F20">
        <w:t xml:space="preserve">to adopt a plan for transferring credits, in addition to </w:t>
      </w:r>
      <w:r w:rsidR="00330B9B">
        <w:t>incentivizing individual vessels to lower bycatch rates so that they may be rewarded</w:t>
      </w:r>
      <w:r w:rsidR="00343F20">
        <w:t xml:space="preserve"> additional ITEC allocations</w:t>
      </w:r>
      <w:r w:rsidR="00671026">
        <w:t xml:space="preserve">.  </w:t>
      </w:r>
      <w:r w:rsidR="00343F20">
        <w:t xml:space="preserve">In addition, vessels </w:t>
      </w:r>
      <w:r w:rsidR="00CE429A">
        <w:t>that</w:t>
      </w:r>
      <w:r w:rsidR="004E439B">
        <w:t xml:space="preserve"> may </w:t>
      </w:r>
      <w:r w:rsidR="00343F20">
        <w:t xml:space="preserve">run out of credits, even in moderate encounter years, will be incentivized </w:t>
      </w:r>
      <w:r w:rsidRPr="00F92839">
        <w:t xml:space="preserve">to lower their </w:t>
      </w:r>
      <w:r>
        <w:t>bycatch</w:t>
      </w:r>
      <w:r w:rsidR="00343F20">
        <w:t xml:space="preserve"> rates to make maximal use of their ITEC allocation and to secure a sufficiently high ITEC allocation in subsequent years</w:t>
      </w:r>
      <w:r w:rsidRPr="00F92839">
        <w:t>.</w:t>
      </w:r>
    </w:p>
    <w:p w14:paraId="34D6CB56" w14:textId="77777777" w:rsidR="006A3A9B" w:rsidRPr="00F92839" w:rsidRDefault="006A3A9B" w:rsidP="004130CE"/>
    <w:p w14:paraId="2F436A53" w14:textId="77777777" w:rsidR="006A3A9B" w:rsidRPr="00ED0D55" w:rsidRDefault="003A1DA5" w:rsidP="001D1361">
      <w:r w:rsidRPr="003A1DA5">
        <w:rPr>
          <w:noProof/>
        </w:rPr>
        <w:drawing>
          <wp:inline distT="0" distB="0" distL="0" distR="0" wp14:anchorId="51D49D39" wp14:editId="64A07290">
            <wp:extent cx="5486400" cy="3730625"/>
            <wp:effectExtent l="0" t="0" r="0" b="0"/>
            <wp:docPr id="1"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852C1F3" w14:textId="77777777" w:rsidR="00F3558A" w:rsidRPr="00ED0D55" w:rsidRDefault="00F3558A" w:rsidP="00F3558A">
      <w:pPr>
        <w:pStyle w:val="Caption"/>
        <w:ind w:left="720"/>
        <w:rPr>
          <w:b w:val="0"/>
          <w:bCs w:val="0"/>
          <w:sz w:val="24"/>
        </w:rPr>
      </w:pPr>
      <w:bookmarkStart w:id="4" w:name="_Ref220714043"/>
      <w:r w:rsidRPr="00216DA1">
        <w:rPr>
          <w:bCs w:val="0"/>
          <w:sz w:val="24"/>
        </w:rPr>
        <w:t xml:space="preserve">Figure </w:t>
      </w:r>
      <w:bookmarkEnd w:id="4"/>
      <w:r w:rsidR="00E876F5">
        <w:rPr>
          <w:bCs w:val="0"/>
          <w:sz w:val="24"/>
        </w:rPr>
        <w:t>5</w:t>
      </w:r>
      <w:r w:rsidR="00671026">
        <w:rPr>
          <w:bCs w:val="0"/>
          <w:sz w:val="24"/>
        </w:rPr>
        <w:t xml:space="preserve">.  </w:t>
      </w:r>
      <w:r w:rsidRPr="00ED0D55">
        <w:rPr>
          <w:b w:val="0"/>
          <w:bCs w:val="0"/>
          <w:sz w:val="24"/>
        </w:rPr>
        <w:t xml:space="preserve">Annual sector revenue losses that would have been incurred under the maximum hard cap </w:t>
      </w:r>
      <w:r w:rsidR="0081509D">
        <w:rPr>
          <w:b w:val="0"/>
          <w:bCs w:val="0"/>
          <w:sz w:val="24"/>
        </w:rPr>
        <w:t xml:space="preserve">(as specified in the PPA) </w:t>
      </w:r>
      <w:r w:rsidRPr="00ED0D55">
        <w:rPr>
          <w:b w:val="0"/>
          <w:bCs w:val="0"/>
          <w:sz w:val="24"/>
        </w:rPr>
        <w:t>if no reallocation, no trading</w:t>
      </w:r>
      <w:r w:rsidR="007C3A4A" w:rsidRPr="00ED0D55">
        <w:rPr>
          <w:b w:val="0"/>
          <w:bCs w:val="0"/>
          <w:sz w:val="24"/>
        </w:rPr>
        <w:t>,</w:t>
      </w:r>
      <w:r w:rsidRPr="00ED0D55">
        <w:rPr>
          <w:b w:val="0"/>
          <w:bCs w:val="0"/>
          <w:sz w:val="24"/>
        </w:rPr>
        <w:t xml:space="preserve"> and no bycatch avoidance incentives were in place</w:t>
      </w:r>
      <w:r w:rsidR="00671026">
        <w:rPr>
          <w:b w:val="0"/>
          <w:bCs w:val="0"/>
          <w:sz w:val="24"/>
        </w:rPr>
        <w:t xml:space="preserve">.  </w:t>
      </w:r>
      <w:r w:rsidRPr="00ED0D55">
        <w:rPr>
          <w:b w:val="0"/>
          <w:bCs w:val="0"/>
          <w:sz w:val="24"/>
        </w:rPr>
        <w:t>This</w:t>
      </w:r>
      <w:r w:rsidR="0003759E">
        <w:rPr>
          <w:b w:val="0"/>
          <w:bCs w:val="0"/>
          <w:sz w:val="24"/>
        </w:rPr>
        <w:t xml:space="preserve"> calculation is based on </w:t>
      </w:r>
      <w:r w:rsidRPr="00ED0D55">
        <w:rPr>
          <w:b w:val="0"/>
          <w:bCs w:val="0"/>
          <w:sz w:val="24"/>
        </w:rPr>
        <w:t>daily catch data from Sea State Inc</w:t>
      </w:r>
      <w:r w:rsidR="00671026">
        <w:rPr>
          <w:b w:val="0"/>
          <w:bCs w:val="0"/>
          <w:sz w:val="24"/>
        </w:rPr>
        <w:t xml:space="preserve">. </w:t>
      </w:r>
      <w:r w:rsidRPr="00ED0D55">
        <w:rPr>
          <w:b w:val="0"/>
          <w:bCs w:val="0"/>
          <w:sz w:val="24"/>
        </w:rPr>
        <w:t>and the assumption that the A-season price</w:t>
      </w:r>
      <w:r w:rsidR="002007AB" w:rsidRPr="00ED0D55">
        <w:rPr>
          <w:b w:val="0"/>
          <w:bCs w:val="0"/>
          <w:sz w:val="24"/>
        </w:rPr>
        <w:t xml:space="preserve"> for </w:t>
      </w:r>
      <w:r w:rsidR="000D08BB" w:rsidRPr="00ED0D55">
        <w:rPr>
          <w:b w:val="0"/>
          <w:bCs w:val="0"/>
          <w:sz w:val="24"/>
        </w:rPr>
        <w:t>Pollock</w:t>
      </w:r>
      <w:r w:rsidRPr="00ED0D55">
        <w:rPr>
          <w:b w:val="0"/>
          <w:bCs w:val="0"/>
          <w:sz w:val="24"/>
        </w:rPr>
        <w:t xml:space="preserve"> is </w:t>
      </w:r>
      <w:r w:rsidR="000D08BB" w:rsidRPr="00ED0D55">
        <w:rPr>
          <w:b w:val="0"/>
          <w:bCs w:val="0"/>
          <w:sz w:val="24"/>
        </w:rPr>
        <w:t>$</w:t>
      </w:r>
      <w:r w:rsidRPr="00ED0D55">
        <w:rPr>
          <w:b w:val="0"/>
          <w:bCs w:val="0"/>
          <w:sz w:val="24"/>
        </w:rPr>
        <w:t xml:space="preserve">0.20/lb and the B-season price is </w:t>
      </w:r>
      <w:r w:rsidR="000D08BB" w:rsidRPr="00ED0D55">
        <w:rPr>
          <w:b w:val="0"/>
          <w:bCs w:val="0"/>
          <w:sz w:val="24"/>
        </w:rPr>
        <w:t>$</w:t>
      </w:r>
      <w:r w:rsidR="002123ED" w:rsidRPr="00ED0D55">
        <w:rPr>
          <w:b w:val="0"/>
          <w:bCs w:val="0"/>
          <w:sz w:val="24"/>
        </w:rPr>
        <w:t>0</w:t>
      </w:r>
      <w:r w:rsidRPr="00ED0D55">
        <w:rPr>
          <w:b w:val="0"/>
          <w:bCs w:val="0"/>
          <w:sz w:val="24"/>
        </w:rPr>
        <w:t>.12/lb.</w:t>
      </w:r>
    </w:p>
    <w:p w14:paraId="29E77247" w14:textId="77777777" w:rsidR="00AD532A" w:rsidRDefault="00AD532A" w:rsidP="00AD532A"/>
    <w:p w14:paraId="2F17CFF5" w14:textId="77777777" w:rsidR="006A3A9B" w:rsidRPr="00ED0D55" w:rsidRDefault="006A3A9B" w:rsidP="0035797A">
      <w:r w:rsidRPr="00ED0D55">
        <w:t>Trading encounter credits even without explicit incentives to avoid bycatch can increase industry revenues and reduce fleet bycatch</w:t>
      </w:r>
      <w:r w:rsidR="00E039C0">
        <w:t>.</w:t>
      </w:r>
    </w:p>
    <w:p w14:paraId="3F91AC64" w14:textId="77777777" w:rsidR="006A3A9B" w:rsidRPr="00ED0D55" w:rsidRDefault="006A3A9B" w:rsidP="0035797A"/>
    <w:p w14:paraId="528F4F9E" w14:textId="77777777" w:rsidR="006A3A9B" w:rsidRDefault="006A3A9B" w:rsidP="0035797A">
      <w:r w:rsidRPr="00F92839">
        <w:t>The following figure (</w:t>
      </w:r>
      <w:r w:rsidR="00E876F5">
        <w:t>6</w:t>
      </w:r>
      <w:r w:rsidRPr="00F92839">
        <w:t xml:space="preserve"> below) illustrates a hypothetical scenario where reallocation (using eqn 2 above) and trading occurs by the following simple rules:</w:t>
      </w:r>
    </w:p>
    <w:p w14:paraId="5EEE51B0" w14:textId="77777777" w:rsidR="00D107D9" w:rsidRPr="00F92839" w:rsidRDefault="00D107D9" w:rsidP="0035797A"/>
    <w:p w14:paraId="77C0BF5A" w14:textId="77777777" w:rsidR="006A3A9B" w:rsidRPr="000634F4" w:rsidRDefault="006A3A9B" w:rsidP="0035797A">
      <w:pPr>
        <w:widowControl w:val="0"/>
        <w:numPr>
          <w:ilvl w:val="0"/>
          <w:numId w:val="24"/>
        </w:numPr>
        <w:tabs>
          <w:tab w:val="left" w:pos="900"/>
        </w:tabs>
        <w:autoSpaceDE w:val="0"/>
        <w:autoSpaceDN w:val="0"/>
        <w:adjustRightInd w:val="0"/>
        <w:ind w:left="900" w:hanging="540"/>
      </w:pPr>
      <w:r w:rsidRPr="000634F4">
        <w:t xml:space="preserve">Credits are only made available to </w:t>
      </w:r>
      <w:r w:rsidR="002122AB">
        <w:t>trade when a vessel finishes it</w:t>
      </w:r>
      <w:r w:rsidRPr="000634F4">
        <w:t>s quota for the season</w:t>
      </w:r>
      <w:r w:rsidR="00671026">
        <w:t xml:space="preserve">.  </w:t>
      </w:r>
      <w:r w:rsidRPr="000634F4">
        <w:t>The only sellers are those who have finished fishing that season.</w:t>
      </w:r>
    </w:p>
    <w:p w14:paraId="3879C78C" w14:textId="77777777" w:rsidR="006A3A9B" w:rsidRPr="000634F4" w:rsidRDefault="006A3A9B" w:rsidP="0035797A">
      <w:pPr>
        <w:widowControl w:val="0"/>
        <w:numPr>
          <w:ilvl w:val="0"/>
          <w:numId w:val="24"/>
        </w:numPr>
        <w:tabs>
          <w:tab w:val="left" w:pos="900"/>
        </w:tabs>
        <w:autoSpaceDE w:val="0"/>
        <w:autoSpaceDN w:val="0"/>
        <w:adjustRightInd w:val="0"/>
        <w:ind w:left="900" w:hanging="540"/>
      </w:pPr>
      <w:r w:rsidRPr="000634F4">
        <w:t>Credits are transferred as soon as they are needed and available to the vessel(s) that have run out of credits and for whom the intrinsic value (non-market value) is highest, thus will be most likely to want to buy them</w:t>
      </w:r>
      <w:r w:rsidR="00671026">
        <w:t xml:space="preserve">.  </w:t>
      </w:r>
      <w:r w:rsidRPr="000634F4">
        <w:t>As credits are made available, transfers are made in that order</w:t>
      </w:r>
      <w:r w:rsidR="00671026">
        <w:t xml:space="preserve">.  </w:t>
      </w:r>
      <w:r w:rsidRPr="000634F4">
        <w:t>Basically, as they become available, credits go to those vessels who ran out of credits and for whom they have the highest value (like water running down the tiered basins of a fountain).</w:t>
      </w:r>
    </w:p>
    <w:p w14:paraId="32E91669" w14:textId="77777777" w:rsidR="006A3A9B" w:rsidRPr="000634F4" w:rsidRDefault="006A3A9B" w:rsidP="001210F9">
      <w:pPr>
        <w:widowControl w:val="0"/>
        <w:autoSpaceDE w:val="0"/>
        <w:autoSpaceDN w:val="0"/>
        <w:adjustRightInd w:val="0"/>
      </w:pPr>
    </w:p>
    <w:p w14:paraId="330D77BD" w14:textId="77777777" w:rsidR="006A3A9B" w:rsidRPr="000634F4" w:rsidRDefault="00FE2FD6" w:rsidP="001210F9">
      <w:r>
        <w:t xml:space="preserve">The remarkable thing here </w:t>
      </w:r>
      <w:r w:rsidRPr="00F92839">
        <w:t>(</w:t>
      </w:r>
      <w:r w:rsidR="00E876F5">
        <w:t>Figure 6</w:t>
      </w:r>
      <w:r w:rsidRPr="00F92839">
        <w:t xml:space="preserve"> below)</w:t>
      </w:r>
      <w:r w:rsidR="006A3A9B" w:rsidRPr="000634F4">
        <w:t xml:space="preserve"> is that this shows that there can be significant revenue advantages to credits trading for the sector as a whole, despite the fact that there is </w:t>
      </w:r>
      <w:r w:rsidR="006A3A9B" w:rsidRPr="00ED0D55">
        <w:t>no explicit individual motivation to avoid bycatch</w:t>
      </w:r>
      <w:r w:rsidR="00671026">
        <w:t xml:space="preserve">.  </w:t>
      </w:r>
      <w:r w:rsidR="006A3A9B" w:rsidRPr="000634F4">
        <w:t>Although the effect is modest, the natural dynamics of the allocation scheme and the trading model by itself can enhance revenues, and reduce bycatch for the fleet as a whole</w:t>
      </w:r>
      <w:r w:rsidR="007C2FDB">
        <w:t>.</w:t>
      </w:r>
    </w:p>
    <w:p w14:paraId="26B74CFA" w14:textId="77777777" w:rsidR="006A3A9B" w:rsidRDefault="001844C6" w:rsidP="00C84FF2">
      <w:r w:rsidRPr="001844C6">
        <w:rPr>
          <w:noProof/>
        </w:rPr>
        <w:drawing>
          <wp:inline distT="0" distB="0" distL="0" distR="0" wp14:anchorId="7A57FCDD" wp14:editId="1C8CA279">
            <wp:extent cx="5486400" cy="3730625"/>
            <wp:effectExtent l="0" t="0" r="0" b="0"/>
            <wp:docPr id="6" name="C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110D8F4" w14:textId="77777777" w:rsidR="00E81A9E" w:rsidRPr="00ED0D55" w:rsidRDefault="00E81A9E" w:rsidP="00E81A9E">
      <w:pPr>
        <w:pStyle w:val="Caption"/>
        <w:ind w:left="720"/>
        <w:rPr>
          <w:b w:val="0"/>
          <w:bCs w:val="0"/>
          <w:sz w:val="24"/>
        </w:rPr>
      </w:pPr>
      <w:bookmarkStart w:id="5" w:name="_Ref220714063"/>
      <w:r w:rsidRPr="00385DFD">
        <w:rPr>
          <w:bCs w:val="0"/>
          <w:sz w:val="24"/>
        </w:rPr>
        <w:t xml:space="preserve">Figure </w:t>
      </w:r>
      <w:bookmarkEnd w:id="5"/>
      <w:r w:rsidR="00E876F5">
        <w:rPr>
          <w:bCs w:val="0"/>
          <w:sz w:val="24"/>
        </w:rPr>
        <w:t>6</w:t>
      </w:r>
      <w:r w:rsidR="00671026">
        <w:rPr>
          <w:bCs w:val="0"/>
          <w:sz w:val="24"/>
        </w:rPr>
        <w:t xml:space="preserve">.  </w:t>
      </w:r>
      <w:r w:rsidR="004E50BC">
        <w:rPr>
          <w:b w:val="0"/>
          <w:bCs w:val="0"/>
          <w:sz w:val="24"/>
        </w:rPr>
        <w:t>Potential revenue recovered from t</w:t>
      </w:r>
      <w:r w:rsidRPr="00ED0D55">
        <w:rPr>
          <w:b w:val="0"/>
          <w:bCs w:val="0"/>
          <w:sz w:val="24"/>
        </w:rPr>
        <w:t xml:space="preserve">rading Chinook salmon encounter credits (ITEC’s) </w:t>
      </w:r>
      <w:r w:rsidR="004E50BC">
        <w:rPr>
          <w:b w:val="0"/>
          <w:bCs w:val="0"/>
          <w:sz w:val="24"/>
        </w:rPr>
        <w:t>under the PPA hardcap</w:t>
      </w:r>
      <w:r w:rsidR="009A63C0">
        <w:rPr>
          <w:b w:val="0"/>
          <w:bCs w:val="0"/>
          <w:sz w:val="24"/>
        </w:rPr>
        <w:t>.  E</w:t>
      </w:r>
      <w:r w:rsidR="001F2EC3">
        <w:rPr>
          <w:b w:val="0"/>
          <w:bCs w:val="0"/>
          <w:sz w:val="24"/>
        </w:rPr>
        <w:t>ven without</w:t>
      </w:r>
      <w:r w:rsidRPr="00ED0D55">
        <w:rPr>
          <w:b w:val="0"/>
          <w:bCs w:val="0"/>
          <w:sz w:val="24"/>
        </w:rPr>
        <w:t xml:space="preserve"> explicit incentives to avoid bycatch</w:t>
      </w:r>
      <w:r w:rsidR="00367C8B">
        <w:rPr>
          <w:b w:val="0"/>
          <w:bCs w:val="0"/>
          <w:sz w:val="24"/>
        </w:rPr>
        <w:t>, Legacy Reallocation by itself</w:t>
      </w:r>
      <w:r w:rsidRPr="00ED0D55">
        <w:rPr>
          <w:b w:val="0"/>
          <w:bCs w:val="0"/>
          <w:sz w:val="24"/>
        </w:rPr>
        <w:t xml:space="preserve"> can help to maximize industry revenues</w:t>
      </w:r>
      <w:r w:rsidR="009274F8" w:rsidRPr="00ED0D55">
        <w:rPr>
          <w:b w:val="0"/>
          <w:bCs w:val="0"/>
          <w:sz w:val="24"/>
        </w:rPr>
        <w:t>.</w:t>
      </w:r>
      <w:r w:rsidR="005E447F">
        <w:rPr>
          <w:b w:val="0"/>
          <w:bCs w:val="0"/>
          <w:sz w:val="24"/>
        </w:rPr>
        <w:t xml:space="preserve">  </w:t>
      </w:r>
      <w:r w:rsidR="001C7CB4">
        <w:rPr>
          <w:b w:val="0"/>
          <w:bCs w:val="0"/>
          <w:sz w:val="24"/>
        </w:rPr>
        <w:t>Reallocation assum</w:t>
      </w:r>
      <w:r w:rsidR="00953A40">
        <w:rPr>
          <w:b w:val="0"/>
          <w:bCs w:val="0"/>
          <w:sz w:val="24"/>
        </w:rPr>
        <w:t>ed “equal weighting” with Q = 4/3 p + 1/3 and a linear penalty function.</w:t>
      </w:r>
    </w:p>
    <w:p w14:paraId="5E5FE314" w14:textId="77777777" w:rsidR="006A3A9B" w:rsidRPr="000634F4" w:rsidRDefault="006A3A9B" w:rsidP="001210F9"/>
    <w:p w14:paraId="1F975953" w14:textId="77777777" w:rsidR="00A97417" w:rsidRDefault="006A3A9B" w:rsidP="001210F9">
      <w:r w:rsidRPr="000634F4">
        <w:t>Note that no trading occurred in 2000 and 2001, as all vessels would have made it through the season without running out of credits.</w:t>
      </w:r>
    </w:p>
    <w:p w14:paraId="0C4A7D94" w14:textId="77777777" w:rsidR="00A97417" w:rsidRDefault="00A97417" w:rsidP="001210F9"/>
    <w:p w14:paraId="20C041A0" w14:textId="77777777" w:rsidR="00A97417" w:rsidRPr="00A97417" w:rsidRDefault="00A97417" w:rsidP="001210F9">
      <w:pPr>
        <w:rPr>
          <w:b/>
        </w:rPr>
      </w:pPr>
      <w:r w:rsidRPr="00A97417">
        <w:rPr>
          <w:b/>
        </w:rPr>
        <w:t>III.</w:t>
      </w:r>
      <w:r w:rsidR="00E540B9">
        <w:rPr>
          <w:b/>
        </w:rPr>
        <w:t>3</w:t>
      </w:r>
      <w:r w:rsidR="00D22B76">
        <w:rPr>
          <w:b/>
        </w:rPr>
        <w:t xml:space="preserve"> Infrastructure for</w:t>
      </w:r>
      <w:r w:rsidR="00813057">
        <w:rPr>
          <w:b/>
        </w:rPr>
        <w:t xml:space="preserve"> Accounting and</w:t>
      </w:r>
      <w:r w:rsidR="00D22B76">
        <w:rPr>
          <w:b/>
        </w:rPr>
        <w:t xml:space="preserve"> Trading</w:t>
      </w:r>
      <w:r w:rsidR="00813057">
        <w:rPr>
          <w:b/>
        </w:rPr>
        <w:t xml:space="preserve"> of</w:t>
      </w:r>
      <w:r w:rsidR="00D22B76">
        <w:rPr>
          <w:b/>
        </w:rPr>
        <w:t xml:space="preserve"> ITEC</w:t>
      </w:r>
    </w:p>
    <w:p w14:paraId="0AA26D12" w14:textId="77777777" w:rsidR="00D22B76" w:rsidRDefault="00D22B76" w:rsidP="001210F9"/>
    <w:p w14:paraId="143F0C21" w14:textId="77777777" w:rsidR="00813057" w:rsidRPr="00002898" w:rsidRDefault="00D22B76" w:rsidP="00813057">
      <w:pPr>
        <w:rPr>
          <w:i/>
        </w:rPr>
      </w:pPr>
      <w:r>
        <w:t>Perhaps the greatest long term benefit of the ITEC trading and allocation plan is the establishment of an independent (</w:t>
      </w:r>
      <w:r w:rsidR="0034085B">
        <w:t xml:space="preserve">CFTC </w:t>
      </w:r>
      <w:r>
        <w:t xml:space="preserve">certified) </w:t>
      </w:r>
      <w:r w:rsidR="0034085B">
        <w:t xml:space="preserve">electronic </w:t>
      </w:r>
      <w:r>
        <w:t>market place for conducting fishery business.</w:t>
      </w:r>
      <w:r w:rsidR="0034085B">
        <w:t xml:space="preserve"> An external (not in-house) trading site would make make gaming and manipulation difficult and illegal under current CFTC statues.</w:t>
      </w:r>
      <w:r>
        <w:t xml:space="preserve"> </w:t>
      </w:r>
      <w:r w:rsidR="00813057">
        <w:t xml:space="preserve"> </w:t>
      </w:r>
      <w:r w:rsidR="0034085B">
        <w:t xml:space="preserve">Having an established trading infrastructure in place will provide a site for other transactions that industry may find desirable and convenient (such as a market place for posting and transacting bids and offers on intra-coop Pollock leases, or the negotiation of futures or option contracts to moderate risk and ITEC purchases). As a new </w:t>
      </w:r>
      <w:r>
        <w:t xml:space="preserve">infrastructural cornerstone </w:t>
      </w:r>
      <w:r w:rsidR="0034085B">
        <w:t>it should be possible to find</w:t>
      </w:r>
      <w:r>
        <w:t xml:space="preserve"> </w:t>
      </w:r>
      <w:r w:rsidR="0034085B">
        <w:t xml:space="preserve">financial </w:t>
      </w:r>
      <w:r>
        <w:t>support from outside sources</w:t>
      </w:r>
      <w:r w:rsidR="0034085B">
        <w:t>,</w:t>
      </w:r>
      <w:r>
        <w:t xml:space="preserve"> and could </w:t>
      </w:r>
      <w:r w:rsidR="0034085B">
        <w:t>involve</w:t>
      </w:r>
      <w:r>
        <w:t xml:space="preserve"> </w:t>
      </w:r>
      <w:r w:rsidR="0034085B">
        <w:t>a collaboration with an existing</w:t>
      </w:r>
      <w:r>
        <w:t xml:space="preserve"> CFTC certified contractor such as the Chicago Climate Exchange. Having such certification would bring </w:t>
      </w:r>
      <w:r w:rsidR="0034085B">
        <w:t xml:space="preserve">security and </w:t>
      </w:r>
      <w:r>
        <w:t>credibility to the</w:t>
      </w:r>
      <w:r w:rsidR="0034085B">
        <w:t xml:space="preserve"> enterprise. </w:t>
      </w:r>
      <w:r>
        <w:t xml:space="preserve"> It would represent a significant</w:t>
      </w:r>
      <w:r w:rsidR="0034085B">
        <w:t xml:space="preserve"> transformative</w:t>
      </w:r>
      <w:r>
        <w:t xml:space="preserve"> step forward toward market efficiency and transparency</w:t>
      </w:r>
      <w:r w:rsidR="0034085B">
        <w:t>.</w:t>
      </w:r>
    </w:p>
    <w:p w14:paraId="51C1177E" w14:textId="77777777" w:rsidR="00813057" w:rsidRDefault="00813057" w:rsidP="001210F9"/>
    <w:p w14:paraId="77AF1DE1" w14:textId="77777777" w:rsidR="00A97417" w:rsidRDefault="00A97417" w:rsidP="001210F9">
      <w:pPr>
        <w:rPr>
          <w:b/>
        </w:rPr>
      </w:pPr>
      <w:r>
        <w:rPr>
          <w:b/>
        </w:rPr>
        <w:t>III.</w:t>
      </w:r>
      <w:r w:rsidR="00E540B9">
        <w:rPr>
          <w:b/>
        </w:rPr>
        <w:t>4</w:t>
      </w:r>
      <w:r>
        <w:rPr>
          <w:b/>
        </w:rPr>
        <w:t xml:space="preserve">  </w:t>
      </w:r>
      <w:r w:rsidRPr="00A97417">
        <w:rPr>
          <w:b/>
        </w:rPr>
        <w:t>Handling Transfers Across Sectors</w:t>
      </w:r>
    </w:p>
    <w:p w14:paraId="141A2A2A" w14:textId="77777777" w:rsidR="00A97417" w:rsidRDefault="00A97417" w:rsidP="001210F9">
      <w:pPr>
        <w:rPr>
          <w:b/>
        </w:rPr>
      </w:pPr>
    </w:p>
    <w:p w14:paraId="4AD0569D" w14:textId="77777777" w:rsidR="00D22B76" w:rsidRDefault="00D22B76" w:rsidP="001210F9">
      <w:r>
        <w:t>As originally conceived the Legacy Market-Incentive program would operate throughout an entire sector, however this can be modified.  It would not be implemented with any other plan (UIP/FIP or otherwise) in the same sector.  Trading of ITEC across sectors operating under different programs would be restricted as described in the report: sectors with Dynamic Salmon Savings can sell credits to any other sector, but may only buy credits from another sector with a Dynamic Salmon Savings rule with the same maximum Salmon Savings Rate.</w:t>
      </w:r>
    </w:p>
    <w:p w14:paraId="35979835" w14:textId="77777777" w:rsidR="00D22B76" w:rsidRDefault="00D22B76" w:rsidP="001210F9"/>
    <w:p w14:paraId="13B6F48F" w14:textId="77777777" w:rsidR="00A97417" w:rsidRDefault="00A97417" w:rsidP="001210F9">
      <w:r>
        <w:t>From the point of view of maintaining rational incentives in the Legacy Market Plan the following rules should apply to transfers across groups or sectors that may or may not participate in the plan.</w:t>
      </w:r>
      <w:r w:rsidR="00D22B76">
        <w:t xml:space="preserve">  </w:t>
      </w:r>
    </w:p>
    <w:p w14:paraId="6CD0DA7A" w14:textId="77777777" w:rsidR="00A97417" w:rsidRPr="00A97417" w:rsidRDefault="00A97417" w:rsidP="001210F9"/>
    <w:p w14:paraId="235A73EE" w14:textId="77777777" w:rsidR="00A97417" w:rsidRDefault="00A97417" w:rsidP="00A97417">
      <w:r w:rsidRPr="00A97417">
        <w:t>1.</w:t>
      </w:r>
      <w:r>
        <w:t>Unless otherwise regulated, s</w:t>
      </w:r>
      <w:r w:rsidRPr="00A97417">
        <w:t>ectors with Dynamic Salmon Savings (DSS) may sell credits to any other sector.</w:t>
      </w:r>
    </w:p>
    <w:p w14:paraId="601E43CE" w14:textId="77777777" w:rsidR="00A97417" w:rsidRPr="00A97417" w:rsidRDefault="00A97417" w:rsidP="00A97417"/>
    <w:p w14:paraId="041C2795" w14:textId="77777777" w:rsidR="00A97417" w:rsidRDefault="00A97417" w:rsidP="00A97417">
      <w:r w:rsidRPr="00A97417">
        <w:t>2.</w:t>
      </w:r>
      <w:r>
        <w:t xml:space="preserve"> Unless otherwise regulated, s</w:t>
      </w:r>
      <w:r w:rsidRPr="00A97417">
        <w:t>ectors without DSS may buy credits from any other sector.</w:t>
      </w:r>
    </w:p>
    <w:p w14:paraId="47272844" w14:textId="77777777" w:rsidR="00A97417" w:rsidRPr="00A97417" w:rsidRDefault="00A97417" w:rsidP="00A97417"/>
    <w:p w14:paraId="444087D4" w14:textId="77777777" w:rsidR="00A97417" w:rsidRPr="00A97417" w:rsidRDefault="00A97417" w:rsidP="00A97417">
      <w:r w:rsidRPr="00A97417">
        <w:t>3.</w:t>
      </w:r>
      <w:r>
        <w:t xml:space="preserve"> </w:t>
      </w:r>
      <w:r w:rsidRPr="00A97417">
        <w:t xml:space="preserve">A sector with DSS </w:t>
      </w:r>
      <w:r w:rsidRPr="00A97417">
        <w:rPr>
          <w:u w:val="single"/>
        </w:rPr>
        <w:t>cannot</w:t>
      </w:r>
      <w:r w:rsidRPr="00A97417">
        <w:t xml:space="preserve"> buy credits from a sector without DSS.</w:t>
      </w:r>
    </w:p>
    <w:p w14:paraId="7AA7A2A9" w14:textId="77777777" w:rsidR="006A3A9B" w:rsidRPr="000634F4" w:rsidRDefault="006A3A9B" w:rsidP="001210F9"/>
    <w:p w14:paraId="0C1814A6" w14:textId="77777777" w:rsidR="00352115" w:rsidRDefault="00352115" w:rsidP="00352115"/>
    <w:p w14:paraId="12DCE379" w14:textId="77777777" w:rsidR="006A3A9B" w:rsidRPr="00352115" w:rsidRDefault="00850863" w:rsidP="00352115">
      <w:pPr>
        <w:rPr>
          <w:b/>
        </w:rPr>
      </w:pPr>
      <w:r>
        <w:rPr>
          <w:b/>
        </w:rPr>
        <w:t>III.</w:t>
      </w:r>
      <w:r w:rsidR="00E540B9">
        <w:rPr>
          <w:b/>
        </w:rPr>
        <w:t>5</w:t>
      </w:r>
      <w:r w:rsidR="00A97417">
        <w:rPr>
          <w:b/>
        </w:rPr>
        <w:t xml:space="preserve"> </w:t>
      </w:r>
      <w:r w:rsidR="00352115" w:rsidRPr="00352115">
        <w:rPr>
          <w:b/>
        </w:rPr>
        <w:t xml:space="preserve"> </w:t>
      </w:r>
      <w:r w:rsidR="006A3A9B" w:rsidRPr="00352115">
        <w:rPr>
          <w:b/>
        </w:rPr>
        <w:t>Incentives and Issues related to the allocation scheme.</w:t>
      </w:r>
    </w:p>
    <w:p w14:paraId="3F0F5127" w14:textId="77777777" w:rsidR="006A3A9B" w:rsidRDefault="006A3A9B" w:rsidP="001210F9"/>
    <w:p w14:paraId="49A927D9" w14:textId="77777777" w:rsidR="00A13594" w:rsidRDefault="00CE207A" w:rsidP="001210F9">
      <w:r>
        <w:t>A key</w:t>
      </w:r>
      <w:r w:rsidR="006A3A9B">
        <w:t xml:space="preserve"> incentive mechanism for the tradable encounter credits model is the allocation of credits based on current and past (legacy) encounter rate behavior</w:t>
      </w:r>
      <w:r w:rsidR="00671026">
        <w:t xml:space="preserve">.  </w:t>
      </w:r>
      <w:r w:rsidR="006A3A9B">
        <w:t xml:space="preserve">As we have already seen (Appendix B) the intrinsic fishery value of credits can be very high, and in years of high salmon abundance the cost of forgone </w:t>
      </w:r>
      <w:r w:rsidR="00BD5F36">
        <w:t>Pollock</w:t>
      </w:r>
      <w:r w:rsidR="006A3A9B">
        <w:t xml:space="preserve"> under a </w:t>
      </w:r>
      <w:r w:rsidR="00BD5F36">
        <w:t>Chinook</w:t>
      </w:r>
      <w:r w:rsidR="006A3A9B">
        <w:t xml:space="preserve"> hard cap can represent a catastrophic loss</w:t>
      </w:r>
      <w:r w:rsidR="00671026">
        <w:t xml:space="preserve">.  </w:t>
      </w:r>
      <w:r w:rsidR="006A3A9B">
        <w:t>Having extra Chinook encounter credits or so-called “bonus credits” over and above the initial allocation based purely on Pollock makes the value of avoiding current encounters high if in the future there are years of high or moderate salmon abundance</w:t>
      </w:r>
      <w:r w:rsidR="00671026">
        <w:t xml:space="preserve">.  </w:t>
      </w:r>
      <w:r w:rsidR="006A3A9B">
        <w:t>This requires forward thinking similar to buying insurance</w:t>
      </w:r>
      <w:r w:rsidR="00671026">
        <w:t xml:space="preserve">.  </w:t>
      </w:r>
      <w:r w:rsidR="006A3A9B">
        <w:t>Having extra</w:t>
      </w:r>
      <w:r w:rsidR="00ED2BF7">
        <w:t xml:space="preserve"> credits reduces the risk of expenses</w:t>
      </w:r>
      <w:r w:rsidR="006A3A9B">
        <w:t xml:space="preserve"> associated with encountering years of moderate to high salmon abundance.</w:t>
      </w:r>
    </w:p>
    <w:p w14:paraId="796A9223" w14:textId="77777777" w:rsidR="00A13594" w:rsidRDefault="00A13594" w:rsidP="001210F9"/>
    <w:p w14:paraId="08752E8C" w14:textId="77777777" w:rsidR="006A3A9B" w:rsidRDefault="00A13594" w:rsidP="001210F9">
      <w:r>
        <w:t xml:space="preserve">Of special significance is the fact that this allocation scheme operates more sensitively during years of low salmon abundance (Figure 3 and 7a,b).   Figure 3 shows that That is, vessels are more strongly rewarded or penalized for fishing behavior during sparse salmon encounter years.  Additionally, the intrinsic fishery value of the credits is higher at times of low salmon abundance (Appendix B).  </w:t>
      </w:r>
    </w:p>
    <w:p w14:paraId="12875EA5" w14:textId="77777777" w:rsidR="006A3A9B" w:rsidRDefault="009703F3" w:rsidP="00C84FF2">
      <w:r w:rsidRPr="009703F3">
        <w:rPr>
          <w:noProof/>
        </w:rPr>
        <w:drawing>
          <wp:inline distT="0" distB="0" distL="0" distR="0" wp14:anchorId="5A41BCEB" wp14:editId="26F96FB8">
            <wp:extent cx="5193102" cy="3407434"/>
            <wp:effectExtent l="25400" t="0" r="0" b="0"/>
            <wp:docPr id="26"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E4692BE" w14:textId="77777777" w:rsidR="00C91176" w:rsidRPr="00ED0D55" w:rsidRDefault="00C91176" w:rsidP="00C91176">
      <w:pPr>
        <w:pStyle w:val="Caption"/>
        <w:ind w:left="720"/>
        <w:rPr>
          <w:b w:val="0"/>
          <w:bCs w:val="0"/>
          <w:sz w:val="24"/>
        </w:rPr>
      </w:pPr>
      <w:bookmarkStart w:id="6" w:name="_Ref220714104"/>
      <w:r w:rsidRPr="0059000A">
        <w:rPr>
          <w:bCs w:val="0"/>
          <w:sz w:val="24"/>
        </w:rPr>
        <w:t xml:space="preserve">Figure </w:t>
      </w:r>
      <w:bookmarkEnd w:id="6"/>
      <w:r w:rsidR="00E876F5">
        <w:rPr>
          <w:bCs w:val="0"/>
          <w:sz w:val="24"/>
        </w:rPr>
        <w:t>7</w:t>
      </w:r>
      <w:r w:rsidR="007910C0">
        <w:rPr>
          <w:bCs w:val="0"/>
          <w:sz w:val="24"/>
        </w:rPr>
        <w:t>a</w:t>
      </w:r>
      <w:r w:rsidR="00671026">
        <w:rPr>
          <w:bCs w:val="0"/>
          <w:sz w:val="24"/>
        </w:rPr>
        <w:t xml:space="preserve">.  </w:t>
      </w:r>
      <w:r w:rsidRPr="00ED0D55">
        <w:rPr>
          <w:b w:val="0"/>
          <w:bCs w:val="0"/>
          <w:sz w:val="24"/>
        </w:rPr>
        <w:t>Bonus credits (extra ITEC) achievable with 10 fewer Chinook salmon caught</w:t>
      </w:r>
      <w:r w:rsidR="008E0BF7">
        <w:rPr>
          <w:b w:val="0"/>
          <w:bCs w:val="0"/>
          <w:sz w:val="24"/>
        </w:rPr>
        <w:t xml:space="preserve"> using the </w:t>
      </w:r>
      <w:r w:rsidR="001D4DE9">
        <w:rPr>
          <w:b w:val="0"/>
          <w:bCs w:val="0"/>
          <w:sz w:val="24"/>
        </w:rPr>
        <w:t>“equal</w:t>
      </w:r>
      <w:r w:rsidR="00951982">
        <w:rPr>
          <w:b w:val="0"/>
          <w:bCs w:val="0"/>
          <w:sz w:val="24"/>
        </w:rPr>
        <w:t xml:space="preserve"> weight</w:t>
      </w:r>
      <w:r w:rsidR="001D4DE9">
        <w:rPr>
          <w:b w:val="0"/>
          <w:bCs w:val="0"/>
          <w:sz w:val="24"/>
        </w:rPr>
        <w:t xml:space="preserve">” </w:t>
      </w:r>
      <w:r w:rsidR="008E0BF7">
        <w:rPr>
          <w:b w:val="0"/>
          <w:bCs w:val="0"/>
          <w:sz w:val="24"/>
        </w:rPr>
        <w:t>Legacy Allocation Formula (eqn 2) with a linear penalty function</w:t>
      </w:r>
      <w:r w:rsidR="00671026">
        <w:rPr>
          <w:b w:val="0"/>
          <w:bCs w:val="0"/>
          <w:sz w:val="24"/>
        </w:rPr>
        <w:t xml:space="preserve">.  </w:t>
      </w:r>
      <w:r w:rsidRPr="00ED0D55">
        <w:rPr>
          <w:b w:val="0"/>
          <w:bCs w:val="0"/>
          <w:sz w:val="24"/>
        </w:rPr>
        <w:t>This is analyzed vessel by vessel</w:t>
      </w:r>
      <w:r w:rsidR="00671026">
        <w:rPr>
          <w:b w:val="0"/>
          <w:bCs w:val="0"/>
          <w:sz w:val="24"/>
        </w:rPr>
        <w:t xml:space="preserve">.  </w:t>
      </w:r>
      <w:r w:rsidRPr="00ED0D55">
        <w:rPr>
          <w:b w:val="0"/>
          <w:bCs w:val="0"/>
          <w:sz w:val="24"/>
        </w:rPr>
        <w:t>(</w:t>
      </w:r>
      <w:r w:rsidR="009B0E10">
        <w:rPr>
          <w:b w:val="0"/>
          <w:bCs w:val="0"/>
          <w:sz w:val="24"/>
        </w:rPr>
        <w:t xml:space="preserve">based on original annual data) </w:t>
      </w:r>
      <w:r w:rsidRPr="00ED0D55">
        <w:rPr>
          <w:b w:val="0"/>
          <w:bCs w:val="0"/>
          <w:sz w:val="24"/>
        </w:rPr>
        <w:t xml:space="preserve"> The additional revenue per bonus credit in the 2007 A-season (assuming the vessel would have otherwise run out of credits) is ~$7</w:t>
      </w:r>
      <w:r w:rsidR="00282DCB">
        <w:rPr>
          <w:b w:val="0"/>
          <w:bCs w:val="0"/>
          <w:sz w:val="24"/>
        </w:rPr>
        <w:t>k-20</w:t>
      </w:r>
      <w:r w:rsidRPr="00ED0D55">
        <w:rPr>
          <w:b w:val="0"/>
          <w:bCs w:val="0"/>
          <w:sz w:val="24"/>
        </w:rPr>
        <w:t>k/credit</w:t>
      </w:r>
      <w:r w:rsidR="00671026">
        <w:rPr>
          <w:b w:val="0"/>
          <w:bCs w:val="0"/>
          <w:sz w:val="24"/>
        </w:rPr>
        <w:t xml:space="preserve">.  </w:t>
      </w:r>
      <w:r w:rsidRPr="00ED0D55">
        <w:rPr>
          <w:b w:val="0"/>
          <w:bCs w:val="0"/>
          <w:sz w:val="24"/>
        </w:rPr>
        <w:t>Allocation provides strong motivation in terms of potential cost.</w:t>
      </w:r>
    </w:p>
    <w:p w14:paraId="247862B5" w14:textId="77777777" w:rsidR="00A01632" w:rsidRDefault="00A01632" w:rsidP="0059000A">
      <w:r w:rsidRPr="00015F01">
        <w:rPr>
          <w:b/>
          <w:noProof/>
        </w:rPr>
        <w:drawing>
          <wp:inline distT="0" distB="0" distL="0" distR="0" wp14:anchorId="4A3FB258" wp14:editId="08A9C545">
            <wp:extent cx="5227608" cy="3200400"/>
            <wp:effectExtent l="25400" t="0" r="4792" b="0"/>
            <wp:docPr id="24"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96F91F2" w14:textId="77777777" w:rsidR="0039003C" w:rsidRPr="00ED0D55" w:rsidRDefault="0039003C" w:rsidP="0039003C">
      <w:pPr>
        <w:pStyle w:val="Caption"/>
        <w:ind w:left="720"/>
        <w:rPr>
          <w:b w:val="0"/>
          <w:bCs w:val="0"/>
          <w:sz w:val="24"/>
        </w:rPr>
      </w:pPr>
      <w:r w:rsidRPr="0059000A">
        <w:rPr>
          <w:bCs w:val="0"/>
          <w:sz w:val="24"/>
        </w:rPr>
        <w:t xml:space="preserve">Figure </w:t>
      </w:r>
      <w:r w:rsidR="00E876F5">
        <w:rPr>
          <w:bCs w:val="0"/>
          <w:sz w:val="24"/>
        </w:rPr>
        <w:t>7</w:t>
      </w:r>
      <w:r>
        <w:rPr>
          <w:bCs w:val="0"/>
          <w:sz w:val="24"/>
        </w:rPr>
        <w:t>b</w:t>
      </w:r>
      <w:r w:rsidR="00671026">
        <w:rPr>
          <w:bCs w:val="0"/>
          <w:sz w:val="24"/>
        </w:rPr>
        <w:t xml:space="preserve">.  </w:t>
      </w:r>
      <w:r>
        <w:rPr>
          <w:b w:val="0"/>
          <w:bCs w:val="0"/>
          <w:sz w:val="24"/>
        </w:rPr>
        <w:t>Credit penalties</w:t>
      </w:r>
      <w:r w:rsidRPr="00ED0D55">
        <w:rPr>
          <w:b w:val="0"/>
          <w:bCs w:val="0"/>
          <w:sz w:val="24"/>
        </w:rPr>
        <w:t xml:space="preserve"> (</w:t>
      </w:r>
      <w:r>
        <w:rPr>
          <w:b w:val="0"/>
          <w:bCs w:val="0"/>
          <w:sz w:val="24"/>
        </w:rPr>
        <w:t>reduced</w:t>
      </w:r>
      <w:r w:rsidRPr="00ED0D55">
        <w:rPr>
          <w:b w:val="0"/>
          <w:bCs w:val="0"/>
          <w:sz w:val="24"/>
        </w:rPr>
        <w:t xml:space="preserve"> ITEC) </w:t>
      </w:r>
      <w:r>
        <w:rPr>
          <w:b w:val="0"/>
          <w:bCs w:val="0"/>
          <w:sz w:val="24"/>
        </w:rPr>
        <w:t xml:space="preserve">as a result of </w:t>
      </w:r>
      <w:r w:rsidRPr="00ED0D55">
        <w:rPr>
          <w:b w:val="0"/>
          <w:bCs w:val="0"/>
          <w:sz w:val="24"/>
        </w:rPr>
        <w:t xml:space="preserve">10 </w:t>
      </w:r>
      <w:r>
        <w:rPr>
          <w:b w:val="0"/>
          <w:bCs w:val="0"/>
          <w:sz w:val="24"/>
        </w:rPr>
        <w:t>more</w:t>
      </w:r>
      <w:r w:rsidRPr="00ED0D55">
        <w:rPr>
          <w:b w:val="0"/>
          <w:bCs w:val="0"/>
          <w:sz w:val="24"/>
        </w:rPr>
        <w:t xml:space="preserve"> Chi</w:t>
      </w:r>
      <w:r>
        <w:rPr>
          <w:b w:val="0"/>
          <w:bCs w:val="0"/>
          <w:sz w:val="24"/>
        </w:rPr>
        <w:t>nook salmon caught</w:t>
      </w:r>
      <w:r w:rsidR="00907453">
        <w:rPr>
          <w:b w:val="0"/>
          <w:bCs w:val="0"/>
          <w:sz w:val="24"/>
        </w:rPr>
        <w:t xml:space="preserve"> using the </w:t>
      </w:r>
      <w:r w:rsidR="00007CCB">
        <w:rPr>
          <w:b w:val="0"/>
          <w:bCs w:val="0"/>
          <w:sz w:val="24"/>
        </w:rPr>
        <w:t>“</w:t>
      </w:r>
      <w:r w:rsidR="00401343">
        <w:rPr>
          <w:b w:val="0"/>
          <w:bCs w:val="0"/>
          <w:sz w:val="24"/>
        </w:rPr>
        <w:t>equal weight</w:t>
      </w:r>
      <w:r w:rsidR="00007CCB">
        <w:rPr>
          <w:b w:val="0"/>
          <w:bCs w:val="0"/>
          <w:sz w:val="24"/>
        </w:rPr>
        <w:t xml:space="preserve">” </w:t>
      </w:r>
      <w:r w:rsidR="00907453">
        <w:rPr>
          <w:b w:val="0"/>
          <w:bCs w:val="0"/>
          <w:sz w:val="24"/>
        </w:rPr>
        <w:t>Legacy Allocation Formula (eqn 2) with a linear penalty function</w:t>
      </w:r>
      <w:r w:rsidR="00671026">
        <w:rPr>
          <w:b w:val="0"/>
          <w:bCs w:val="0"/>
          <w:sz w:val="24"/>
        </w:rPr>
        <w:t xml:space="preserve">.  </w:t>
      </w:r>
      <w:r w:rsidRPr="00ED0D55">
        <w:rPr>
          <w:b w:val="0"/>
          <w:bCs w:val="0"/>
          <w:sz w:val="24"/>
        </w:rPr>
        <w:t>(</w:t>
      </w:r>
      <w:r>
        <w:rPr>
          <w:b w:val="0"/>
          <w:bCs w:val="0"/>
          <w:sz w:val="24"/>
        </w:rPr>
        <w:t>b</w:t>
      </w:r>
      <w:r w:rsidR="006161BB">
        <w:rPr>
          <w:b w:val="0"/>
          <w:bCs w:val="0"/>
          <w:sz w:val="24"/>
        </w:rPr>
        <w:t xml:space="preserve">ased on </w:t>
      </w:r>
      <w:r w:rsidR="009B0E10">
        <w:rPr>
          <w:b w:val="0"/>
          <w:bCs w:val="0"/>
          <w:sz w:val="24"/>
        </w:rPr>
        <w:t>annual data)</w:t>
      </w:r>
    </w:p>
    <w:p w14:paraId="083EC2BD" w14:textId="77777777" w:rsidR="00784AB8" w:rsidRDefault="00784AB8" w:rsidP="0059000A">
      <w:pPr>
        <w:tabs>
          <w:tab w:val="left" w:pos="360"/>
        </w:tabs>
      </w:pPr>
    </w:p>
    <w:p w14:paraId="6AC18D9F" w14:textId="77777777" w:rsidR="006A3A9B" w:rsidRDefault="00850863" w:rsidP="00C84FEE">
      <w:pPr>
        <w:tabs>
          <w:tab w:val="left" w:pos="360"/>
        </w:tabs>
        <w:rPr>
          <w:b/>
        </w:rPr>
      </w:pPr>
      <w:r>
        <w:rPr>
          <w:b/>
        </w:rPr>
        <w:t>III.</w:t>
      </w:r>
      <w:r w:rsidR="00E540B9">
        <w:rPr>
          <w:b/>
        </w:rPr>
        <w:t>6</w:t>
      </w:r>
      <w:r w:rsidR="00A97417">
        <w:rPr>
          <w:b/>
        </w:rPr>
        <w:t xml:space="preserve"> </w:t>
      </w:r>
      <w:r w:rsidR="00784AB8" w:rsidRPr="0059000A">
        <w:rPr>
          <w:b/>
        </w:rPr>
        <w:t xml:space="preserve"> </w:t>
      </w:r>
      <w:r w:rsidR="006A3A9B" w:rsidRPr="0059000A">
        <w:rPr>
          <w:b/>
        </w:rPr>
        <w:t>Ince</w:t>
      </w:r>
      <w:r w:rsidR="00CA5ED6" w:rsidRPr="0059000A">
        <w:rPr>
          <w:b/>
        </w:rPr>
        <w:t>ntives related to trading ITEC</w:t>
      </w:r>
      <w:r w:rsidR="006A3A9B" w:rsidRPr="0059000A">
        <w:rPr>
          <w:b/>
        </w:rPr>
        <w:t>.</w:t>
      </w:r>
    </w:p>
    <w:p w14:paraId="1E62F91C" w14:textId="77777777" w:rsidR="002D7F8E" w:rsidRPr="002D7F8E" w:rsidRDefault="002D7F8E" w:rsidP="00C84FEE">
      <w:pPr>
        <w:tabs>
          <w:tab w:val="left" w:pos="360"/>
        </w:tabs>
      </w:pPr>
    </w:p>
    <w:p w14:paraId="55FB73AC" w14:textId="77777777" w:rsidR="006A3A9B" w:rsidRDefault="006A3A9B" w:rsidP="00C84FEE">
      <w:r>
        <w:t>If vessel-ow</w:t>
      </w:r>
      <w:r w:rsidR="00282DCB">
        <w:t>ners believe they have excess</w:t>
      </w:r>
      <w:r>
        <w:t xml:space="preserve"> credits in any</w:t>
      </w:r>
      <w:r w:rsidR="001C1202">
        <w:t xml:space="preserve"> given year they can post them</w:t>
      </w:r>
      <w:r>
        <w:t xml:space="preserve"> for sale on </w:t>
      </w:r>
      <w:r w:rsidR="00813057">
        <w:t>the</w:t>
      </w:r>
      <w:r>
        <w:t xml:space="preserve"> electro</w:t>
      </w:r>
      <w:r w:rsidR="001C1202">
        <w:t>nic market site</w:t>
      </w:r>
      <w:r w:rsidR="00671026">
        <w:t xml:space="preserve">.  </w:t>
      </w:r>
      <w:r>
        <w:t>This could represent significant extra revenue, especially if there is significant asymmetry in performance among vessels</w:t>
      </w:r>
      <w:r w:rsidR="00671026">
        <w:t xml:space="preserve">.  </w:t>
      </w:r>
      <w:r>
        <w:t>Similarly, if a vessel owner needs to buy credits he is required to pay the market price</w:t>
      </w:r>
      <w:r w:rsidR="00671026">
        <w:t xml:space="preserve">.  </w:t>
      </w:r>
      <w:r>
        <w:t>This incentive structure is similar to the incentives for trading pollution offset cred</w:t>
      </w:r>
      <w:r w:rsidR="001C1202">
        <w:t>its, however it also involves a Dynamic Salmon Savings</w:t>
      </w:r>
      <w:r w:rsidR="001255B6">
        <w:t xml:space="preserve"> (and a maximal withholding tax</w:t>
      </w:r>
      <w:r w:rsidR="0059522A">
        <w:t xml:space="preserve"> (PSSR) of 6</w:t>
      </w:r>
      <w:r w:rsidR="001255B6">
        <w:t>0% on early credits sales)</w:t>
      </w:r>
      <w:r w:rsidR="001C1202">
        <w:t xml:space="preserve"> to control </w:t>
      </w:r>
      <w:r w:rsidR="00F27942">
        <w:t xml:space="preserve">possible excess </w:t>
      </w:r>
      <w:r w:rsidR="001C1202">
        <w:t xml:space="preserve">supply at times of low </w:t>
      </w:r>
      <w:r>
        <w:t>salmon abundance</w:t>
      </w:r>
      <w:r w:rsidR="00671026">
        <w:t xml:space="preserve">.  </w:t>
      </w:r>
      <w:r>
        <w:t>It is not known whether credit pricing will be sufficient to deter chronic bad performers who respond only to current incentives as trading is not always required (eg</w:t>
      </w:r>
      <w:r w:rsidR="00671026">
        <w:t xml:space="preserve">.  </w:t>
      </w:r>
      <w:r>
        <w:t>2000 and 2001).</w:t>
      </w:r>
      <w:r w:rsidR="00D16D93">
        <w:t xml:space="preserve">  </w:t>
      </w:r>
      <w:r w:rsidR="001255B6">
        <w:t>Monitoring and adjustment will be required</w:t>
      </w:r>
      <w:r w:rsidR="0059522A">
        <w:t xml:space="preserve"> (a withholding tax of up to 60% can be tolerated without directly harming the Pollock harvest)</w:t>
      </w:r>
      <w:r w:rsidR="001255B6">
        <w:t xml:space="preserve">. </w:t>
      </w:r>
      <w:r w:rsidR="00D16D93">
        <w:t>However, these are times where the legacy incentives are strongest.</w:t>
      </w:r>
      <w:r w:rsidR="00587F8A">
        <w:t xml:space="preserve">  </w:t>
      </w:r>
    </w:p>
    <w:p w14:paraId="2A9178C9" w14:textId="77777777" w:rsidR="006A3A9B" w:rsidRPr="00F92839" w:rsidRDefault="006A3A9B" w:rsidP="00C84FEE"/>
    <w:p w14:paraId="29D36EB1" w14:textId="77777777" w:rsidR="006A3A9B" w:rsidRPr="00F667EB" w:rsidRDefault="00850863" w:rsidP="00C84FEE">
      <w:pPr>
        <w:rPr>
          <w:b/>
        </w:rPr>
      </w:pPr>
      <w:r>
        <w:rPr>
          <w:b/>
        </w:rPr>
        <w:t>III.</w:t>
      </w:r>
      <w:r w:rsidR="00E540B9">
        <w:rPr>
          <w:b/>
        </w:rPr>
        <w:t>7</w:t>
      </w:r>
      <w:r w:rsidR="00A97417">
        <w:rPr>
          <w:b/>
        </w:rPr>
        <w:t xml:space="preserve"> </w:t>
      </w:r>
      <w:r w:rsidR="006A3A9B" w:rsidRPr="00F667EB">
        <w:rPr>
          <w:b/>
        </w:rPr>
        <w:t>Legacy Incentives</w:t>
      </w:r>
    </w:p>
    <w:p w14:paraId="2F4A5491" w14:textId="77777777" w:rsidR="006A3A9B" w:rsidRPr="00F667EB" w:rsidRDefault="006A3A9B" w:rsidP="00C84FEE"/>
    <w:p w14:paraId="519B1777" w14:textId="77777777" w:rsidR="006A3A9B" w:rsidRPr="00F92839" w:rsidRDefault="006A3A9B" w:rsidP="00C84FEE">
      <w:r w:rsidRPr="00F92839">
        <w:t>The second term of the allocation formula 1 is the so-called “legacy” component that incorporates past behavior into the current allocation scheme</w:t>
      </w:r>
      <w:r w:rsidR="00671026">
        <w:t xml:space="preserve">.  </w:t>
      </w:r>
      <w:r w:rsidRPr="00F92839">
        <w:t xml:space="preserve">This component serves three important functions: </w:t>
      </w:r>
    </w:p>
    <w:p w14:paraId="45E0136F" w14:textId="77777777" w:rsidR="006A3A9B" w:rsidRPr="00F92839" w:rsidRDefault="006A3A9B" w:rsidP="00C84FEE">
      <w:pPr>
        <w:tabs>
          <w:tab w:val="left" w:pos="1260"/>
        </w:tabs>
      </w:pPr>
    </w:p>
    <w:p w14:paraId="4056760C" w14:textId="77777777" w:rsidR="006A3A9B" w:rsidRDefault="006A3A9B" w:rsidP="00A325E3">
      <w:pPr>
        <w:numPr>
          <w:ilvl w:val="0"/>
          <w:numId w:val="16"/>
        </w:numPr>
        <w:tabs>
          <w:tab w:val="clear" w:pos="1080"/>
          <w:tab w:val="left" w:pos="900"/>
        </w:tabs>
        <w:ind w:left="900" w:hanging="540"/>
      </w:pPr>
      <w:r w:rsidRPr="00F92839">
        <w:t>It moderates the random component in seasonal year-to-year variability in seasonal bycatch that is due to chance, and tends to amplify the behavioral component</w:t>
      </w:r>
      <w:r w:rsidR="00671026">
        <w:t xml:space="preserve">.  </w:t>
      </w:r>
      <w:r>
        <w:t>One of the problems with any performance related reward/penalty system is that it is almost always subject to randomness in some form</w:t>
      </w:r>
      <w:r w:rsidR="00671026">
        <w:t xml:space="preserve">.  </w:t>
      </w:r>
      <w:r>
        <w:t>Chance is part of life, but one wants to minimize this as much as possible without also destroying the incentives created by rewarding/penalizing differences in performance</w:t>
      </w:r>
      <w:r w:rsidR="00671026">
        <w:t xml:space="preserve">.  </w:t>
      </w:r>
      <w:r>
        <w:t>Separating out such random variation in bycatch rates (eg</w:t>
      </w:r>
      <w:r w:rsidR="00671026">
        <w:t xml:space="preserve">.  </w:t>
      </w:r>
      <w:r>
        <w:t>sampling error or bad luck), from variation due to behavior is difficult but is handled somewhat by the Legacy component, which rewards and penalizes consistent behavior</w:t>
      </w:r>
      <w:r w:rsidR="00671026">
        <w:t xml:space="preserve">.  </w:t>
      </w:r>
      <w:r>
        <w:t>This problem is addressed in the present system in several ways (see Appendix A for a fuller discussion), but it is usually problematic to try to separate natural sampling variation, from variability due to behavior without using historical data that can capture consistent patterns of behavior</w:t>
      </w:r>
      <w:r w:rsidR="00671026">
        <w:t xml:space="preserve">.  </w:t>
      </w:r>
      <w:r>
        <w:t>Thus, boats in the same area may have different bycatch rates partly due to sampling variation and partly due to behavior and this is difficult to sort out without assumptions that may be questionable</w:t>
      </w:r>
      <w:r w:rsidR="00671026">
        <w:t xml:space="preserve">.  </w:t>
      </w:r>
      <w:r>
        <w:t>The legacy component dampens out variation due to accident and tends to highlight variation that identifies behavior.</w:t>
      </w:r>
    </w:p>
    <w:p w14:paraId="4FFB7357" w14:textId="77777777" w:rsidR="006A3A9B" w:rsidRDefault="006A3A9B" w:rsidP="00714E70">
      <w:pPr>
        <w:numPr>
          <w:ilvl w:val="0"/>
          <w:numId w:val="16"/>
        </w:numPr>
        <w:tabs>
          <w:tab w:val="clear" w:pos="1080"/>
          <w:tab w:val="left" w:pos="900"/>
        </w:tabs>
        <w:ind w:left="900" w:hanging="540"/>
      </w:pPr>
      <w:r>
        <w:t>The legacy system provides carrot and stick incentives for long-term accountability in behavior</w:t>
      </w:r>
      <w:r w:rsidR="00671026">
        <w:t xml:space="preserve">.  </w:t>
      </w:r>
      <w:r>
        <w:t>It encourages forward thinking and a chance to improve toward the upper bound allocation of 4/3 the initial allocation</w:t>
      </w:r>
      <w:r w:rsidR="00671026">
        <w:t xml:space="preserve">.  </w:t>
      </w:r>
      <w:r>
        <w:t>It also provides the “stick” of having only 2/3 the initial allocation to fall back on</w:t>
      </w:r>
      <w:r w:rsidR="00671026">
        <w:t xml:space="preserve">.  </w:t>
      </w:r>
      <w:r w:rsidR="009F007E">
        <w:t>The catastrophic costs associated with insufficient ITEC</w:t>
      </w:r>
      <w:r w:rsidR="0061254B">
        <w:t xml:space="preserve"> represent</w:t>
      </w:r>
      <w:r>
        <w:t xml:space="preserve"> a strong</w:t>
      </w:r>
      <w:r w:rsidR="0061254B">
        <w:t xml:space="preserve"> financial</w:t>
      </w:r>
      <w:r>
        <w:t xml:space="preserve"> incentive on behavior.</w:t>
      </w:r>
      <w:r w:rsidR="00CE33D6">
        <w:t xml:space="preserve">  </w:t>
      </w:r>
      <w:r w:rsidR="0058196D">
        <w:t>The legacy system</w:t>
      </w:r>
      <w:r w:rsidR="00CE33D6">
        <w:t xml:space="preserve"> makes the full hardcap available to the fleet </w:t>
      </w:r>
      <w:r w:rsidR="0058196D">
        <w:t xml:space="preserve">only </w:t>
      </w:r>
      <w:r w:rsidR="00CE33D6">
        <w:t xml:space="preserve">when </w:t>
      </w:r>
      <w:r w:rsidR="0058196D">
        <w:t xml:space="preserve">it is </w:t>
      </w:r>
      <w:r w:rsidR="00CE33D6">
        <w:t>absolutely necessary, but</w:t>
      </w:r>
      <w:r w:rsidR="0058196D">
        <w:t xml:space="preserve"> at the same time it</w:t>
      </w:r>
      <w:r w:rsidR="00CE33D6">
        <w:t xml:space="preserve"> provides strong financial a</w:t>
      </w:r>
      <w:r w:rsidR="00714E70">
        <w:t>nd competitive incentives to min</w:t>
      </w:r>
      <w:r w:rsidR="00CE33D6">
        <w:t>imize bycatch whenever possible.</w:t>
      </w:r>
    </w:p>
    <w:p w14:paraId="7C84A74B" w14:textId="77777777" w:rsidR="00587F8A" w:rsidRDefault="006A3A9B" w:rsidP="00A13594">
      <w:r>
        <w:t>The legacy system provides cumulative</w:t>
      </w:r>
      <w:r w:rsidR="00CE33D6">
        <w:t xml:space="preserve"> competitive</w:t>
      </w:r>
      <w:r>
        <w:t xml:space="preserve"> incentives (incentives that begin</w:t>
      </w:r>
      <w:r w:rsidR="0059522A">
        <w:t xml:space="preserve"> year 1 and continue</w:t>
      </w:r>
      <w:r>
        <w:t xml:space="preserve"> in all years) that should result in a steady evolution toward fleet-wide improvement in encounter rates</w:t>
      </w:r>
      <w:r w:rsidR="0058196D">
        <w:t xml:space="preserve"> (figure 8)</w:t>
      </w:r>
      <w:r>
        <w:t>.</w:t>
      </w:r>
      <w:r w:rsidR="0059522A">
        <w:t xml:space="preserve">  This is in contrast to static</w:t>
      </w:r>
      <w:r w:rsidR="0058196D">
        <w:t xml:space="preserve"> incentive</w:t>
      </w:r>
      <w:r w:rsidR="0059522A">
        <w:t xml:space="preserve"> plans (</w:t>
      </w:r>
      <w:r w:rsidR="00330865">
        <w:t xml:space="preserve">e.g. </w:t>
      </w:r>
      <w:r w:rsidR="0059522A">
        <w:t xml:space="preserve">UIP/FIP) </w:t>
      </w:r>
      <w:r w:rsidR="0058196D">
        <w:t xml:space="preserve">and to hard cap reduction proposals </w:t>
      </w:r>
      <w:r w:rsidR="0059522A">
        <w:t xml:space="preserve">that </w:t>
      </w:r>
      <w:r w:rsidR="004C658A">
        <w:t xml:space="preserve">do not </w:t>
      </w:r>
      <w:r w:rsidR="00E90230">
        <w:t>explcit</w:t>
      </w:r>
      <w:r w:rsidR="0058196D">
        <w:t xml:space="preserve">ly </w:t>
      </w:r>
      <w:r w:rsidR="004C658A">
        <w:t xml:space="preserve">encourage a cumulative fleetwide evolution toward lower bycatch rates and </w:t>
      </w:r>
      <w:r w:rsidR="0058196D">
        <w:t xml:space="preserve">that do not </w:t>
      </w:r>
      <w:r w:rsidR="004C658A">
        <w:t xml:space="preserve">promote the development </w:t>
      </w:r>
      <w:r w:rsidR="0058196D">
        <w:t xml:space="preserve">of </w:t>
      </w:r>
      <w:r w:rsidR="004C658A">
        <w:t>fishing methods and technologies that will encourage this desir</w:t>
      </w:r>
      <w:r w:rsidR="0058196D">
        <w:t>able ever-improving result of constant competition.  Such constant improvement in avoiding bycatch</w:t>
      </w:r>
      <w:r w:rsidR="00AC190C">
        <w:t xml:space="preserve"> is a unique hallmark of the legacy plan.</w:t>
      </w:r>
    </w:p>
    <w:p w14:paraId="0812EE85" w14:textId="77777777" w:rsidR="00A97417" w:rsidRDefault="00A97417"/>
    <w:p w14:paraId="59552AF9" w14:textId="77777777" w:rsidR="006A3A9B" w:rsidRPr="00F92839" w:rsidRDefault="006A3A9B"/>
    <w:p w14:paraId="335E7750" w14:textId="77777777" w:rsidR="006A3A9B" w:rsidRPr="006E4200" w:rsidRDefault="00936519" w:rsidP="006E4200">
      <w:pPr>
        <w:tabs>
          <w:tab w:val="left" w:pos="720"/>
        </w:tabs>
        <w:rPr>
          <w:sz w:val="28"/>
          <w:szCs w:val="28"/>
        </w:rPr>
      </w:pPr>
      <w:r>
        <w:rPr>
          <w:sz w:val="28"/>
          <w:szCs w:val="28"/>
        </w:rPr>
        <w:t>IV</w:t>
      </w:r>
      <w:r w:rsidR="000134E0" w:rsidRPr="006E4200">
        <w:rPr>
          <w:sz w:val="28"/>
          <w:szCs w:val="28"/>
        </w:rPr>
        <w:t>.</w:t>
      </w:r>
      <w:r w:rsidR="000134E0" w:rsidRPr="006E4200">
        <w:rPr>
          <w:sz w:val="28"/>
          <w:szCs w:val="28"/>
        </w:rPr>
        <w:tab/>
      </w:r>
      <w:r w:rsidR="006A3A9B" w:rsidRPr="006E4200">
        <w:rPr>
          <w:sz w:val="28"/>
          <w:szCs w:val="28"/>
        </w:rPr>
        <w:t>Hypothetical Modeling of Incentives:</w:t>
      </w:r>
      <w:r w:rsidR="00A13594">
        <w:rPr>
          <w:sz w:val="28"/>
          <w:szCs w:val="28"/>
        </w:rPr>
        <w:t xml:space="preserve"> Modeling the Magnitude of Bycatch Reduction</w:t>
      </w:r>
    </w:p>
    <w:p w14:paraId="4A13FE45" w14:textId="77777777" w:rsidR="006A3A9B" w:rsidRPr="00ED0D55" w:rsidRDefault="006A3A9B" w:rsidP="006A3A9B"/>
    <w:p w14:paraId="7C0E7E78" w14:textId="77777777" w:rsidR="00714E70" w:rsidRPr="00F92839" w:rsidRDefault="00714E70" w:rsidP="00482FB5">
      <w:r>
        <w:t xml:space="preserve">The actual year-to-year magnitude of bycatch reduction in </w:t>
      </w:r>
      <w:r w:rsidR="00482FB5">
        <w:t>any bycatch reduction plan</w:t>
      </w:r>
      <w:r w:rsidR="00FF5609">
        <w:t xml:space="preserve"> </w:t>
      </w:r>
      <w:r w:rsidR="00482FB5">
        <w:t>(</w:t>
      </w:r>
      <w:r w:rsidR="00FF5609">
        <w:t>where complex contingent human behavior must be quantified</w:t>
      </w:r>
      <w:r w:rsidR="00482FB5">
        <w:t>)</w:t>
      </w:r>
      <w:r w:rsidR="00FF5609">
        <w:t xml:space="preserve"> </w:t>
      </w:r>
      <w:r>
        <w:t>cannot be known</w:t>
      </w:r>
      <w:r w:rsidR="00FF5609">
        <w:t xml:space="preserve"> </w:t>
      </w:r>
      <w:r w:rsidR="00FF5609" w:rsidRPr="00482FB5">
        <w:rPr>
          <w:i/>
        </w:rPr>
        <w:t>ex ante</w:t>
      </w:r>
      <w:r w:rsidR="00482FB5">
        <w:t>.  It requires</w:t>
      </w:r>
      <w:r w:rsidR="00FF5609">
        <w:t xml:space="preserve"> </w:t>
      </w:r>
      <w:r w:rsidR="00482FB5">
        <w:t>monitoring and</w:t>
      </w:r>
      <w:r w:rsidR="00515633">
        <w:t>/or</w:t>
      </w:r>
      <w:r w:rsidR="00482FB5">
        <w:t xml:space="preserve"> </w:t>
      </w:r>
      <w:r w:rsidR="00FF5609">
        <w:t>experimental trial</w:t>
      </w:r>
      <w:r w:rsidR="00482FB5">
        <w:t>. That said, for heuristic purposes we</w:t>
      </w:r>
      <w:r>
        <w:t xml:space="preserve"> </w:t>
      </w:r>
      <w:r w:rsidR="00482FB5">
        <w:t>attempt to illustrate a plausible</w:t>
      </w:r>
      <w:r>
        <w:t xml:space="preserve"> qualitative outcome using a simple behavioral model to simulate the evolutio</w:t>
      </w:r>
      <w:r w:rsidR="00FF5609">
        <w:t>n of bycatch patterns.  This is</w:t>
      </w:r>
      <w:r>
        <w:t xml:space="preserve"> intended only to inform intuition</w:t>
      </w:r>
      <w:r w:rsidR="00482FB5">
        <w:t>. Rather than presenting</w:t>
      </w:r>
      <w:r w:rsidR="00515633">
        <w:t xml:space="preserve"> a complicated analyses having</w:t>
      </w:r>
      <w:r w:rsidR="00482FB5">
        <w:t xml:space="preserve"> large structural uncertainty (not all relevant variables are accounted for or represented correctly, and where human behavior is</w:t>
      </w:r>
      <w:r w:rsidR="00515633">
        <w:t xml:space="preserve"> often</w:t>
      </w:r>
      <w:r w:rsidR="00482FB5">
        <w:t xml:space="preserve"> ignored), we </w:t>
      </w:r>
      <w:r w:rsidR="00FF5609">
        <w:t xml:space="preserve">decided on the honest presentation of a humble qualitative result that matches what can realistically be known without experimental implementation.  </w:t>
      </w:r>
      <w:r w:rsidR="00515633">
        <w:t>Our parameterization is transparent and intended to be conservative.</w:t>
      </w:r>
    </w:p>
    <w:p w14:paraId="5316C6E4" w14:textId="77777777" w:rsidR="00714E70" w:rsidRDefault="00714E70" w:rsidP="001B3AA6"/>
    <w:p w14:paraId="2BD8F810" w14:textId="77777777" w:rsidR="00515633" w:rsidRDefault="00515633" w:rsidP="001B3AA6">
      <w:r>
        <w:t>We examine a</w:t>
      </w:r>
      <w:r w:rsidR="006A3A9B" w:rsidRPr="0062509E">
        <w:t xml:space="preserve"> simple behavioral s</w:t>
      </w:r>
      <w:r>
        <w:t>elf-correcting model</w:t>
      </w:r>
      <w:r w:rsidR="006A3A9B" w:rsidRPr="0062509E">
        <w:t xml:space="preserve"> </w:t>
      </w:r>
      <w:r w:rsidR="00482FB5">
        <w:t xml:space="preserve">as a qualitative guide </w:t>
      </w:r>
      <w:r w:rsidR="006A3A9B" w:rsidRPr="0062509E">
        <w:t xml:space="preserve">to model the action of cumulative incentives to lower </w:t>
      </w:r>
      <w:r w:rsidR="006A3A9B">
        <w:t>bycatch</w:t>
      </w:r>
      <w:r w:rsidR="00671026">
        <w:t xml:space="preserve">.  </w:t>
      </w:r>
      <w:r w:rsidR="006A3A9B" w:rsidRPr="0062509E">
        <w:t>The model assumes that a vessel’s motivation to im</w:t>
      </w:r>
      <w:r w:rsidR="00F71F52">
        <w:t>prove behavior will be directly</w:t>
      </w:r>
      <w:r w:rsidR="006A3A9B" w:rsidRPr="0062509E">
        <w:t xml:space="preserve"> related to it’s recent bycatch rate</w:t>
      </w:r>
      <w:r w:rsidR="00671026">
        <w:t xml:space="preserve">.  </w:t>
      </w:r>
      <w:r w:rsidR="006A3A9B" w:rsidRPr="0062509E">
        <w:t>The allocation-transfer simulation described in 2 above (fig</w:t>
      </w:r>
      <w:r w:rsidR="00671026">
        <w:t xml:space="preserve">.  </w:t>
      </w:r>
      <w:r w:rsidR="006A3A9B" w:rsidRPr="0062509E">
        <w:t xml:space="preserve">4) was combined with an incentive model that was fit to reflect </w:t>
      </w:r>
      <w:r w:rsidR="005F1AB0">
        <w:t>“</w:t>
      </w:r>
      <w:r w:rsidR="006A3A9B" w:rsidRPr="0062509E">
        <w:t>maximum</w:t>
      </w:r>
      <w:r w:rsidR="005F1AB0">
        <w:t>”</w:t>
      </w:r>
      <w:r w:rsidR="006A3A9B" w:rsidRPr="0062509E">
        <w:t xml:space="preserve"> intentional changes on the order of 25% of the observed changes in </w:t>
      </w:r>
      <w:r w:rsidR="006A3A9B">
        <w:t>bycatch</w:t>
      </w:r>
      <w:r w:rsidR="006A3A9B" w:rsidRPr="0062509E">
        <w:t xml:space="preserve"> rate</w:t>
      </w:r>
      <w:r w:rsidR="00671026">
        <w:t xml:space="preserve">.  </w:t>
      </w:r>
      <w:r w:rsidR="006A3A9B" w:rsidRPr="0062509E">
        <w:t xml:space="preserve">That is to say, that </w:t>
      </w:r>
      <w:r w:rsidR="006A3A9B" w:rsidRPr="00623998">
        <w:rPr>
          <w:i/>
        </w:rPr>
        <w:t>the model is parameterized so that the directional changes in bycatch rate are maximally ¼ the magnitude of historically observed variations in bycatch rate</w:t>
      </w:r>
      <w:r w:rsidR="00671026" w:rsidRPr="00623998">
        <w:rPr>
          <w:i/>
        </w:rPr>
        <w:t xml:space="preserve">.  </w:t>
      </w:r>
      <w:r w:rsidR="00F203AC">
        <w:t>This was reckoned to be a conservative figure.</w:t>
      </w:r>
    </w:p>
    <w:p w14:paraId="3DB1527B" w14:textId="77777777" w:rsidR="00515633" w:rsidRDefault="00515633" w:rsidP="001B3AA6"/>
    <w:p w14:paraId="56B61C43" w14:textId="77777777" w:rsidR="00515633" w:rsidRDefault="00515633" w:rsidP="00515633">
      <w:r>
        <w:t>Note that we did not literally assume a 25% reduction in bycatch.  Rather we scaled the “maximum allowable” or upper bound amount of bycatch reduction that could possibly be effected through behavioral changes to be some conservative fraction of the observed historical variation without incentives (the magnitude of changes actually observed). That is, we used observed variation as a benchmark to scale possible behavioral changes accordingly. Thus, if bycatch varies historically by X percent, our conservative assumption is that 25%X is the maximum possible change in bycatch that could be attributed to behavior.  More specifically, we analyzed the historical data by taking the median values of the changes for individual vessels across many years.  The minimum of these median values was around 50%, so to be conservative we set half of that, or 25%, as the maximum possible reduction in bycatch attributable to behavior (with the majority of behavioral changes in the simulation being far less).  Furthermore, this 25% is scaled by the relative values of Q for each vessel: vessels with a lower value of Q (i.e. relatively high bycatch) were simulated to have greater reductions in bycatch due to a greater incentive to make up for bad performance in the year before.  Given the formulation for Q (as 4/3 p + 1/3), the maximum reduction was actually 18.75%, and the minimum reduction was 9.375%.  Again, these are only simulated reductions in bycatch, based on a conservative estimate of the amount of reduction that individual vessels are capable of, when properly incentivized.  It is likely that larger changes due to active incentives will be witnessed.  Again, this is intended as a somewhat conservative guideline.</w:t>
      </w:r>
    </w:p>
    <w:p w14:paraId="23671F8B" w14:textId="77777777" w:rsidR="006A3A9B" w:rsidRPr="00F203AC" w:rsidRDefault="006A3A9B" w:rsidP="001B3AA6"/>
    <w:p w14:paraId="4631CBDF" w14:textId="77777777" w:rsidR="006A3A9B" w:rsidRPr="0062509E" w:rsidRDefault="006A3A9B" w:rsidP="001B3AA6"/>
    <w:p w14:paraId="7F670293" w14:textId="77777777" w:rsidR="006A3A9B" w:rsidRPr="0062509E" w:rsidRDefault="006A3A9B" w:rsidP="001B3AA6">
      <w:r w:rsidRPr="0062509E">
        <w:t xml:space="preserve">Briefly, the incentive to reduce </w:t>
      </w:r>
      <w:r>
        <w:t>bycatch</w:t>
      </w:r>
      <w:r w:rsidRPr="0062509E">
        <w:t xml:space="preserve"> is modeled as a simple function of </w:t>
      </w:r>
      <w:r>
        <w:t>bycatch</w:t>
      </w:r>
      <w:r w:rsidRPr="0062509E">
        <w:t xml:space="preserve"> rates as follows</w:t>
      </w:r>
      <w:r w:rsidR="00671026">
        <w:t xml:space="preserve">.  </w:t>
      </w:r>
      <w:r w:rsidRPr="0062509E">
        <w:t xml:space="preserve">We used actual vessel </w:t>
      </w:r>
      <w:r>
        <w:t>bycatch</w:t>
      </w:r>
      <w:r w:rsidRPr="0062509E">
        <w:t xml:space="preserve"> rates and defined the simple incentive function:</w:t>
      </w:r>
    </w:p>
    <w:p w14:paraId="2DDAB611" w14:textId="77777777" w:rsidR="006A3A9B" w:rsidRPr="0062509E" w:rsidRDefault="006A3A9B" w:rsidP="001B3AA6"/>
    <w:p w14:paraId="3A877CF9" w14:textId="77777777" w:rsidR="006A3A9B" w:rsidRPr="0062509E" w:rsidRDefault="006A3A9B" w:rsidP="001B3AA6">
      <w:r w:rsidRPr="0062509E">
        <w:t xml:space="preserve">incentive = 1/[1+Q] * ψ,    </w:t>
      </w:r>
    </w:p>
    <w:p w14:paraId="7AD22B47" w14:textId="77777777" w:rsidR="006A3A9B" w:rsidRPr="0062509E" w:rsidRDefault="006A3A9B" w:rsidP="001B3AA6"/>
    <w:p w14:paraId="6BD3464A" w14:textId="77777777" w:rsidR="006A3A9B" w:rsidRPr="0062509E" w:rsidRDefault="006A3A9B" w:rsidP="001B3AA6">
      <w:r w:rsidRPr="0062509E">
        <w:t>where ψ = ¼ in this simulation to represent the plain assumption that 25% of the variation in observed encounter rates can be due to behavior</w:t>
      </w:r>
      <w:r w:rsidR="00671026">
        <w:t xml:space="preserve">.  </w:t>
      </w:r>
      <w:r w:rsidRPr="0062509E">
        <w:t>Here the</w:t>
      </w:r>
    </w:p>
    <w:p w14:paraId="233C7CB2" w14:textId="77777777" w:rsidR="006A3A9B" w:rsidRPr="0062509E" w:rsidRDefault="006A3A9B" w:rsidP="001B3AA6"/>
    <w:p w14:paraId="62887D39" w14:textId="77777777" w:rsidR="006A3A9B" w:rsidRPr="0062509E" w:rsidRDefault="006A3A9B" w:rsidP="001B3AA6">
      <w:r w:rsidRPr="0062509E">
        <w:t>incentive multiplier = 1 – incentive.</w:t>
      </w:r>
    </w:p>
    <w:p w14:paraId="2938D544" w14:textId="77777777" w:rsidR="006A3A9B" w:rsidRPr="0062509E" w:rsidRDefault="006A3A9B" w:rsidP="001B3AA6"/>
    <w:p w14:paraId="045A5837" w14:textId="77777777" w:rsidR="006A3A9B" w:rsidRPr="0062509E" w:rsidRDefault="006A3A9B" w:rsidP="001B3AA6">
      <w:r w:rsidRPr="0062509E">
        <w:t>And the cumulative incentive multiplier CIM is simply</w:t>
      </w:r>
    </w:p>
    <w:p w14:paraId="18F6E689" w14:textId="77777777" w:rsidR="006A3A9B" w:rsidRPr="0062509E" w:rsidRDefault="006A3A9B" w:rsidP="001B3AA6"/>
    <w:p w14:paraId="52F6E438" w14:textId="77777777" w:rsidR="006A3A9B" w:rsidRPr="0062509E" w:rsidRDefault="006A3A9B" w:rsidP="001B3AA6">
      <w:r w:rsidRPr="0062509E">
        <w:t>CIM(t+1) = CIM(t) * incentive multiplier</w:t>
      </w:r>
    </w:p>
    <w:p w14:paraId="649E1900" w14:textId="77777777" w:rsidR="006A3A9B" w:rsidRPr="0062509E" w:rsidRDefault="006A3A9B" w:rsidP="001B3AA6"/>
    <w:p w14:paraId="2031FAFB" w14:textId="77777777" w:rsidR="006A3A9B" w:rsidRPr="0062509E" w:rsidRDefault="006A3A9B" w:rsidP="001B3AA6">
      <w:r w:rsidRPr="0062509E">
        <w:t>And,</w:t>
      </w:r>
    </w:p>
    <w:p w14:paraId="38762AD4" w14:textId="77777777" w:rsidR="006A3A9B" w:rsidRPr="0062509E" w:rsidRDefault="006A3A9B" w:rsidP="001B3AA6"/>
    <w:p w14:paraId="2855D0F9" w14:textId="77777777" w:rsidR="006A3A9B" w:rsidRPr="0062509E" w:rsidRDefault="006A3A9B" w:rsidP="001B3AA6">
      <w:r w:rsidRPr="0062509E">
        <w:t xml:space="preserve">Market incentive adjusted </w:t>
      </w:r>
      <w:r>
        <w:t>bycatch</w:t>
      </w:r>
      <w:r w:rsidRPr="0062509E">
        <w:t xml:space="preserve"> = CIM(t) * actual </w:t>
      </w:r>
      <w:r>
        <w:t>bycatch</w:t>
      </w:r>
      <w:r w:rsidRPr="0062509E">
        <w:t xml:space="preserve"> at time t.</w:t>
      </w:r>
    </w:p>
    <w:p w14:paraId="7F3E9EA5" w14:textId="77777777" w:rsidR="006A3A9B" w:rsidRPr="0062509E" w:rsidRDefault="006A3A9B" w:rsidP="001B3AA6"/>
    <w:p w14:paraId="20591701" w14:textId="77777777" w:rsidR="00623998" w:rsidRDefault="006A3A9B" w:rsidP="001B3AA6">
      <w:r w:rsidRPr="0062509E">
        <w:t xml:space="preserve">These dynamics are then incorporated into the simulation in II- 2 above, and run forward to produce the following </w:t>
      </w:r>
      <w:r w:rsidR="00603467">
        <w:t xml:space="preserve">results shown in </w:t>
      </w:r>
      <w:r w:rsidR="00E876F5">
        <w:t xml:space="preserve">Figure 8 </w:t>
      </w:r>
      <w:r w:rsidR="00603467">
        <w:t xml:space="preserve">and </w:t>
      </w:r>
      <w:r w:rsidR="00E876F5">
        <w:t>Figure 9</w:t>
      </w:r>
      <w:r w:rsidR="00671026">
        <w:t xml:space="preserve">.  </w:t>
      </w:r>
      <w:r w:rsidRPr="0062509E">
        <w:t xml:space="preserve">The results are similar but </w:t>
      </w:r>
      <w:r>
        <w:t>more dramatic than the earlier simple allocati</w:t>
      </w:r>
      <w:r w:rsidR="00031D73">
        <w:t>on and trading results (</w:t>
      </w:r>
      <w:r w:rsidR="00866D32">
        <w:fldChar w:fldCharType="begin"/>
      </w:r>
      <w:r w:rsidR="00031D73">
        <w:instrText xml:space="preserve"> REF _Ref220714063 \h </w:instrText>
      </w:r>
      <w:r w:rsidR="00866D32">
        <w:fldChar w:fldCharType="separate"/>
      </w:r>
      <w:r w:rsidR="001B0374" w:rsidRPr="00385DFD">
        <w:t xml:space="preserve">Figure </w:t>
      </w:r>
      <w:r w:rsidR="001B0374">
        <w:rPr>
          <w:bCs/>
          <w:noProof/>
        </w:rPr>
        <w:t>4</w:t>
      </w:r>
      <w:r w:rsidR="00866D32">
        <w:fldChar w:fldCharType="end"/>
      </w:r>
      <w:r>
        <w:t xml:space="preserve">) without rational incentives to improve relative standing in the fleet with respect to </w:t>
      </w:r>
      <w:r w:rsidR="00F71F52">
        <w:t>I</w:t>
      </w:r>
      <w:r>
        <w:t>TEC allocation.</w:t>
      </w:r>
      <w:r w:rsidR="00623998">
        <w:t xml:space="preserve">   </w:t>
      </w:r>
    </w:p>
    <w:p w14:paraId="14D44CF8" w14:textId="77777777" w:rsidR="00623998" w:rsidRDefault="00623998" w:rsidP="001B3AA6"/>
    <w:p w14:paraId="2F998423" w14:textId="77777777" w:rsidR="006A3A9B" w:rsidRDefault="00623998" w:rsidP="001B3AA6">
      <w:r>
        <w:t xml:space="preserve">It is important to note that even though the model was roughly scaled to fit observed variation, the results are highly dependent on the basic model assumption of self-correction and should be treated only as a plausible scenario to guide expectations. Actual implementation </w:t>
      </w:r>
      <w:r w:rsidR="00A34E34">
        <w:t xml:space="preserve">of the plan </w:t>
      </w:r>
      <w:r>
        <w:t xml:space="preserve">should allow one to retrospectively construct </w:t>
      </w:r>
      <w:r w:rsidR="00587F8A">
        <w:t>a more accurate incentive model, and the flexibility of model parameters should allow</w:t>
      </w:r>
      <w:r w:rsidR="00543A13">
        <w:t xml:space="preserve"> adjustments to suit desired performance criteria.</w:t>
      </w:r>
    </w:p>
    <w:p w14:paraId="2F6EF57A" w14:textId="77777777" w:rsidR="00F96459" w:rsidRDefault="00F96459" w:rsidP="001B3AA6">
      <w:pPr>
        <w:pStyle w:val="Caption"/>
        <w:rPr>
          <w:b w:val="0"/>
          <w:bCs w:val="0"/>
          <w:sz w:val="24"/>
        </w:rPr>
      </w:pPr>
    </w:p>
    <w:p w14:paraId="4ECC1D17" w14:textId="77777777" w:rsidR="00A133A9" w:rsidRPr="00F96459" w:rsidRDefault="00A133A9" w:rsidP="001B3AA6"/>
    <w:p w14:paraId="0784D80C" w14:textId="77777777" w:rsidR="00A133A9" w:rsidRPr="00ED0D55" w:rsidRDefault="00E876F5" w:rsidP="00C84FF2">
      <w:pPr>
        <w:pStyle w:val="Caption"/>
        <w:rPr>
          <w:b w:val="0"/>
          <w:bCs w:val="0"/>
          <w:sz w:val="24"/>
        </w:rPr>
      </w:pPr>
      <w:r w:rsidRPr="00ED0D55">
        <w:rPr>
          <w:b w:val="0"/>
          <w:bCs w:val="0"/>
          <w:noProof/>
          <w:sz w:val="24"/>
        </w:rPr>
        <w:drawing>
          <wp:inline distT="0" distB="0" distL="0" distR="0" wp14:anchorId="74019FBC" wp14:editId="7D59EDEC">
            <wp:extent cx="5486400" cy="3752215"/>
            <wp:effectExtent l="0" t="0" r="0"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14:paraId="0E60EBED" w14:textId="77777777" w:rsidR="006A3A9B" w:rsidRPr="00ED0D55" w:rsidRDefault="00A133A9" w:rsidP="00A133A9">
      <w:pPr>
        <w:pStyle w:val="Caption"/>
        <w:ind w:left="720"/>
        <w:rPr>
          <w:b w:val="0"/>
          <w:bCs w:val="0"/>
          <w:sz w:val="24"/>
        </w:rPr>
      </w:pPr>
      <w:bookmarkStart w:id="7" w:name="_Ref220714124"/>
      <w:r w:rsidRPr="00335F80">
        <w:rPr>
          <w:bCs w:val="0"/>
          <w:sz w:val="24"/>
        </w:rPr>
        <w:t xml:space="preserve">Figure </w:t>
      </w:r>
      <w:bookmarkEnd w:id="7"/>
      <w:r w:rsidR="00E876F5">
        <w:rPr>
          <w:bCs w:val="0"/>
          <w:sz w:val="24"/>
        </w:rPr>
        <w:t>8</w:t>
      </w:r>
      <w:r w:rsidR="00671026">
        <w:rPr>
          <w:bCs w:val="0"/>
          <w:sz w:val="24"/>
        </w:rPr>
        <w:t xml:space="preserve">.  </w:t>
      </w:r>
      <w:r w:rsidRPr="00ED0D55">
        <w:rPr>
          <w:b w:val="0"/>
          <w:bCs w:val="0"/>
          <w:sz w:val="24"/>
        </w:rPr>
        <w:t xml:space="preserve">Hypothetical revenue gain </w:t>
      </w:r>
      <w:r w:rsidR="00481729">
        <w:rPr>
          <w:b w:val="0"/>
          <w:bCs w:val="0"/>
          <w:sz w:val="24"/>
        </w:rPr>
        <w:t xml:space="preserve">(i.e., avoided revenue losses due to unharvested Pollock resulting from hitting a hard cap) </w:t>
      </w:r>
      <w:r w:rsidRPr="00ED0D55">
        <w:rPr>
          <w:b w:val="0"/>
          <w:bCs w:val="0"/>
          <w:sz w:val="24"/>
        </w:rPr>
        <w:t>for the Inshore sector from trading and allocation incentives to avoid bycatch assuming a sector maximum hard cap of 38,059.</w:t>
      </w:r>
    </w:p>
    <w:p w14:paraId="374792FA" w14:textId="77777777" w:rsidR="00A133A9" w:rsidRDefault="00A133A9" w:rsidP="00A133A9"/>
    <w:p w14:paraId="4FDE5D48" w14:textId="77777777" w:rsidR="00A13594" w:rsidRDefault="00A13594" w:rsidP="00A133A9"/>
    <w:p w14:paraId="20AD728B" w14:textId="77777777" w:rsidR="006A3A9B" w:rsidRDefault="00D16D49" w:rsidP="00C84FF2">
      <w:r>
        <w:rPr>
          <w:noProof/>
        </w:rPr>
        <w:drawing>
          <wp:inline distT="0" distB="0" distL="0" distR="0" wp14:anchorId="7E097609" wp14:editId="4C02287C">
            <wp:extent cx="5486400" cy="3752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14:paraId="390FFABD" w14:textId="77777777" w:rsidR="00A133A9" w:rsidRPr="0062509E" w:rsidRDefault="00A133A9" w:rsidP="0091422F">
      <w:pPr>
        <w:ind w:left="720"/>
      </w:pPr>
      <w:bookmarkStart w:id="8" w:name="_Ref220714128"/>
      <w:r w:rsidRPr="00335F80">
        <w:rPr>
          <w:b/>
        </w:rPr>
        <w:t xml:space="preserve">Figure </w:t>
      </w:r>
      <w:bookmarkEnd w:id="8"/>
      <w:r w:rsidR="00E876F5">
        <w:rPr>
          <w:b/>
        </w:rPr>
        <w:t>9</w:t>
      </w:r>
      <w:r w:rsidR="00671026">
        <w:rPr>
          <w:b/>
        </w:rPr>
        <w:t xml:space="preserve">.  </w:t>
      </w:r>
      <w:r w:rsidRPr="00DA0185">
        <w:t xml:space="preserve">Effects for the Inshore sector of cumulative market incentives for reducing Chinook salmon </w:t>
      </w:r>
      <w:r>
        <w:t>bycatch</w:t>
      </w:r>
      <w:r w:rsidR="0091422F">
        <w:t xml:space="preserve"> under the PPA hardcap</w:t>
      </w:r>
      <w:r w:rsidRPr="00DA0185">
        <w:t>.</w:t>
      </w:r>
    </w:p>
    <w:p w14:paraId="35130000" w14:textId="77777777" w:rsidR="006A3A9B" w:rsidRDefault="006A3A9B" w:rsidP="006A3A9B"/>
    <w:p w14:paraId="34F3C396" w14:textId="77777777" w:rsidR="00C6355D" w:rsidRPr="004A6104" w:rsidRDefault="00CC6F09" w:rsidP="00CC6F09">
      <w:pPr>
        <w:tabs>
          <w:tab w:val="left" w:pos="360"/>
        </w:tabs>
        <w:rPr>
          <w:sz w:val="28"/>
        </w:rPr>
      </w:pPr>
      <w:r w:rsidRPr="004A6104">
        <w:rPr>
          <w:sz w:val="28"/>
        </w:rPr>
        <w:t>V.</w:t>
      </w:r>
      <w:r w:rsidRPr="004A6104">
        <w:rPr>
          <w:sz w:val="28"/>
        </w:rPr>
        <w:tab/>
      </w:r>
      <w:r w:rsidR="00EB426D" w:rsidRPr="004A6104">
        <w:rPr>
          <w:sz w:val="28"/>
        </w:rPr>
        <w:t xml:space="preserve">MONITORING AND </w:t>
      </w:r>
      <w:r w:rsidRPr="004A6104">
        <w:rPr>
          <w:sz w:val="28"/>
        </w:rPr>
        <w:t>PERFORMANCE MEASURES</w:t>
      </w:r>
    </w:p>
    <w:p w14:paraId="06A32531" w14:textId="77777777" w:rsidR="00EB426D" w:rsidRDefault="00EB426D" w:rsidP="00EB426D"/>
    <w:p w14:paraId="3BD67828" w14:textId="77777777" w:rsidR="00EB426D" w:rsidRPr="000B1A46" w:rsidRDefault="000B1A46" w:rsidP="000B1A46">
      <w:pPr>
        <w:rPr>
          <w:b/>
        </w:rPr>
      </w:pPr>
      <w:r w:rsidRPr="000B1A46">
        <w:rPr>
          <w:b/>
        </w:rPr>
        <w:t>V.1</w:t>
      </w:r>
      <w:r w:rsidRPr="000B1A46">
        <w:rPr>
          <w:b/>
        </w:rPr>
        <w:tab/>
      </w:r>
      <w:r w:rsidR="00EB426D" w:rsidRPr="000B1A46">
        <w:rPr>
          <w:b/>
        </w:rPr>
        <w:t>How will the implementation of the plan be monitored over time?</w:t>
      </w:r>
    </w:p>
    <w:p w14:paraId="2DCC6894" w14:textId="77777777" w:rsidR="00EB426D" w:rsidRPr="009F6ECC" w:rsidRDefault="00EB426D" w:rsidP="00EB426D"/>
    <w:p w14:paraId="15D4CBA3" w14:textId="77777777" w:rsidR="00EB426D" w:rsidRDefault="00EB426D" w:rsidP="00EB426D">
      <w:r>
        <w:t>The infrastructural aspects of implementation (of computing reallocation, trading interface, verification and back office accounting) will be done by a legitimate third party as discussed above.  We expect that Sea State will continue to monitor to provide live spatial information as to by catch rates which will be used by the fleet as well as by the exchange to provide market-relevant information and live verification of credit balances.</w:t>
      </w:r>
    </w:p>
    <w:p w14:paraId="1F94E5D6" w14:textId="77777777" w:rsidR="00EB426D" w:rsidRDefault="00EB426D" w:rsidP="00EB426D"/>
    <w:p w14:paraId="2E42105F" w14:textId="77777777" w:rsidR="00EB426D" w:rsidRPr="009F6ECC" w:rsidRDefault="00EB426D" w:rsidP="00EB426D">
      <w:r w:rsidRPr="009F6ECC">
        <w:t xml:space="preserve">One expectation for the plan is to have reduced variance in bycatch rates: we expect vessels to adopt the strategies (e.g. fishing time and location, equipment) of the vessels with the lowest bycatch rates in order to </w:t>
      </w:r>
      <w:r>
        <w:t xml:space="preserve">increase ITEC allocations.  These behavioral </w:t>
      </w:r>
      <w:r w:rsidRPr="009F6ECC">
        <w:t>changes</w:t>
      </w:r>
      <w:r>
        <w:t xml:space="preserve"> (trackable by questionnaire) along with reduced variance are two</w:t>
      </w:r>
      <w:r w:rsidRPr="009F6ECC">
        <w:t xml:space="preserve"> way</w:t>
      </w:r>
      <w:r>
        <w:t>s</w:t>
      </w:r>
      <w:r w:rsidRPr="009F6ECC">
        <w:t xml:space="preserve"> to monitor the effectiveness of the plan to reduce bycatch.</w:t>
      </w:r>
    </w:p>
    <w:p w14:paraId="377AC6E2" w14:textId="77777777" w:rsidR="00EB426D" w:rsidRPr="009F6ECC" w:rsidRDefault="00EB426D" w:rsidP="00EB426D"/>
    <w:p w14:paraId="7C2C92AE" w14:textId="77777777" w:rsidR="00EB426D" w:rsidRDefault="00EB426D" w:rsidP="00EB426D">
      <w:r w:rsidRPr="009F6ECC">
        <w:t>A decrease in salmon encounter (over the short-term or long-term) would not necessarily be a valid indication that the program was successful in incentivizing vessels to reduce bycatch.  Without independent stock assessments of Chinook in</w:t>
      </w:r>
      <w:r>
        <w:t xml:space="preserve"> the BSAI fishery, it would be</w:t>
      </w:r>
      <w:r w:rsidR="0038789C">
        <w:t xml:space="preserve"> incorrect</w:t>
      </w:r>
      <w:r w:rsidRPr="009F6ECC">
        <w:t xml:space="preserve"> to assume that lower-than-average (or higher-than-average) leve</w:t>
      </w:r>
      <w:r>
        <w:t>ls of salmon encounter indicate</w:t>
      </w:r>
      <w:r w:rsidRPr="009F6ECC">
        <w:t xml:space="preserve"> the success or failure of an incentive plan.  Similarly, the lack of a well-investigated causal link between Chinook bycatch and returns to Western Alaskan rivers would also disqualify any assessments of the effectiveness of the program from that perspective.</w:t>
      </w:r>
      <w:r>
        <w:t xml:space="preserve">  This speaks to the necessity of gathering base line data on Chinook runs so that more definitive scientific results can be produced.  I believe this kind of fundamental research should be </w:t>
      </w:r>
      <w:r w:rsidR="00293F02">
        <w:t>carried out</w:t>
      </w:r>
      <w:r>
        <w:t xml:space="preserve"> and that all parties would benefit from a better scientific understanding.  </w:t>
      </w:r>
    </w:p>
    <w:p w14:paraId="55042175" w14:textId="77777777" w:rsidR="00EB426D" w:rsidRDefault="00EB426D" w:rsidP="00EB426D"/>
    <w:p w14:paraId="1A847646" w14:textId="77777777" w:rsidR="00EB426D" w:rsidRDefault="00EB426D" w:rsidP="00EB426D">
      <w:r>
        <w:t xml:space="preserve">However, acknowledging these problems, we still need to be pragmatic. </w:t>
      </w:r>
      <w:r w:rsidRPr="009F6ECC">
        <w:t xml:space="preserve">Given our current state of knowledge, the first indicator (variance in bycatch rates) seems to be </w:t>
      </w:r>
      <w:r>
        <w:t>a reasonable</w:t>
      </w:r>
      <w:r w:rsidRPr="009F6ECC">
        <w:t xml:space="preserve"> method for monitoring the plan: the cleanest fishing vessels have no reason to change their behavior to </w:t>
      </w:r>
      <w:r w:rsidRPr="009F6ECC">
        <w:rPr>
          <w:i/>
        </w:rPr>
        <w:t>increase</w:t>
      </w:r>
      <w:r w:rsidRPr="009F6ECC">
        <w:t xml:space="preserve"> bycatch rates, so in the worst case scenario, their bycatch behavior would remain the same.  Meanwhile, the vessels with the worst bycatch rates would seek to improve their behavior (and reduce potential ITEC allocation decreases) by reducing bycatch.  </w:t>
      </w:r>
      <w:r>
        <w:t>Thus, the variance can plausibly</w:t>
      </w:r>
      <w:r w:rsidRPr="009F6ECC">
        <w:t xml:space="preserve"> be expected to decrease over time.  </w:t>
      </w:r>
    </w:p>
    <w:p w14:paraId="66BA1D11" w14:textId="77777777" w:rsidR="00EB426D" w:rsidRDefault="00EB426D" w:rsidP="00EB426D"/>
    <w:p w14:paraId="0CF9F384" w14:textId="77777777" w:rsidR="00EB426D" w:rsidRPr="009F6ECC" w:rsidRDefault="00EB426D" w:rsidP="00EB426D">
      <w:r>
        <w:t>Additionally, as t</w:t>
      </w:r>
      <w:r w:rsidRPr="009F6ECC">
        <w:t>he data</w:t>
      </w:r>
      <w:r>
        <w:t xml:space="preserve"> in Figure 3 indicates</w:t>
      </w:r>
      <w:r w:rsidRPr="009F6ECC">
        <w:t>, historically, bycatch rate an</w:t>
      </w:r>
      <w:r>
        <w:t xml:space="preserve">d variance are closely related.  One could imagine constructing an index that measures </w:t>
      </w:r>
      <w:r w:rsidRPr="009F6ECC">
        <w:t>significant departure</w:t>
      </w:r>
      <w:r>
        <w:t>s</w:t>
      </w:r>
      <w:r w:rsidRPr="009F6ECC">
        <w:t xml:space="preserve"> from this relationship in the right direction</w:t>
      </w:r>
      <w:r>
        <w:t>.  Such a departure</w:t>
      </w:r>
      <w:r w:rsidRPr="009F6ECC">
        <w:t xml:space="preserve"> might be a preliminary indicator that an incentive plan is working.</w:t>
      </w:r>
    </w:p>
    <w:p w14:paraId="6BFFB65D" w14:textId="77777777" w:rsidR="00764C02" w:rsidRDefault="00764C02" w:rsidP="00CC6F09">
      <w:pPr>
        <w:tabs>
          <w:tab w:val="left" w:pos="360"/>
        </w:tabs>
      </w:pPr>
    </w:p>
    <w:p w14:paraId="4C03FC74" w14:textId="77777777" w:rsidR="00CC6F09" w:rsidRPr="00BA252B" w:rsidRDefault="004E413E" w:rsidP="006A3A9B">
      <w:pPr>
        <w:rPr>
          <w:b/>
        </w:rPr>
      </w:pPr>
      <w:r w:rsidRPr="00BA252B">
        <w:rPr>
          <w:b/>
        </w:rPr>
        <w:t>V.2</w:t>
      </w:r>
      <w:r w:rsidRPr="00BA252B">
        <w:rPr>
          <w:b/>
        </w:rPr>
        <w:tab/>
      </w:r>
      <w:r w:rsidR="00BA252B" w:rsidRPr="00BA252B">
        <w:rPr>
          <w:b/>
        </w:rPr>
        <w:t>Research Funding</w:t>
      </w:r>
    </w:p>
    <w:p w14:paraId="4FF8D2EB" w14:textId="77777777" w:rsidR="0038789C" w:rsidRDefault="0038789C" w:rsidP="006A3A9B"/>
    <w:p w14:paraId="17C066FA" w14:textId="77777777" w:rsidR="00C6355D" w:rsidRDefault="0038789C" w:rsidP="006A3A9B">
      <w:r>
        <w:t>Information regarding independent stock assessments of chinook in the BASI fishery would help to directly evaluate</w:t>
      </w:r>
      <w:r w:rsidR="00BF37F3">
        <w:t xml:space="preserve"> </w:t>
      </w:r>
      <w:r>
        <w:t>the performance of the Legacy Market Incentive Plan in reducing bycatch. Thus, gathering basic information on Chinook population dynamics (eg. runs counts and stock assessments) to better understand the impacts of the Pollock Industry on Chinook populations should be a priority to validate industry actions</w:t>
      </w:r>
      <w:r w:rsidR="005E0DD5">
        <w:t xml:space="preserve"> in bycatch reduction. Therefore, w</w:t>
      </w:r>
      <w:r w:rsidR="00A362C4">
        <w:t xml:space="preserve">e suggest an </w:t>
      </w:r>
      <w:r w:rsidR="00BF37F3">
        <w:t xml:space="preserve">industry sponsored research component to monitor and evaluate the Legacy Market Incentive Plan performance in reducing bycatch as well as to obtain basic information on Chinook population </w:t>
      </w:r>
      <w:r w:rsidR="00A362C4">
        <w:t>dynamics.</w:t>
      </w:r>
    </w:p>
    <w:p w14:paraId="4B3B43FC" w14:textId="77777777" w:rsidR="00BF37F3" w:rsidRDefault="00BF37F3" w:rsidP="006A3A9B"/>
    <w:p w14:paraId="3BABF91B" w14:textId="77777777" w:rsidR="0034085B" w:rsidRPr="00E34743" w:rsidRDefault="0034085B" w:rsidP="006A3A9B">
      <w:pPr>
        <w:rPr>
          <w:sz w:val="28"/>
        </w:rPr>
      </w:pPr>
      <w:r w:rsidRPr="00E34743">
        <w:rPr>
          <w:sz w:val="28"/>
        </w:rPr>
        <w:t>V</w:t>
      </w:r>
      <w:r w:rsidR="00CC6F09" w:rsidRPr="00E34743">
        <w:rPr>
          <w:sz w:val="28"/>
        </w:rPr>
        <w:t>I</w:t>
      </w:r>
      <w:r w:rsidRPr="00E34743">
        <w:rPr>
          <w:sz w:val="28"/>
        </w:rPr>
        <w:t xml:space="preserve">  GENERAL QUESTIONS AND ANSWERS:</w:t>
      </w:r>
    </w:p>
    <w:p w14:paraId="4F80637D" w14:textId="77777777" w:rsidR="0034085B" w:rsidRDefault="0034085B" w:rsidP="006A3A9B"/>
    <w:p w14:paraId="0B7594B8" w14:textId="77777777" w:rsidR="0034085B" w:rsidRPr="00002898" w:rsidRDefault="0034085B" w:rsidP="0034085B">
      <w:pPr>
        <w:rPr>
          <w:i/>
        </w:rPr>
      </w:pPr>
    </w:p>
    <w:p w14:paraId="38D7164F" w14:textId="77777777" w:rsidR="0034085B" w:rsidRDefault="0034085B" w:rsidP="0034085B">
      <w:pPr>
        <w:numPr>
          <w:ilvl w:val="0"/>
          <w:numId w:val="29"/>
        </w:numPr>
        <w:rPr>
          <w:i/>
        </w:rPr>
      </w:pPr>
      <w:r w:rsidRPr="00002898">
        <w:rPr>
          <w:i/>
        </w:rPr>
        <w:t>Can the plan be gamed by any of the companies?</w:t>
      </w:r>
    </w:p>
    <w:p w14:paraId="2E7FA8C5" w14:textId="77777777" w:rsidR="0034085B" w:rsidRDefault="0034085B" w:rsidP="0034085B">
      <w:pPr>
        <w:rPr>
          <w:i/>
        </w:rPr>
      </w:pPr>
    </w:p>
    <w:p w14:paraId="727A5FC3" w14:textId="77777777" w:rsidR="0034085B" w:rsidRDefault="0034085B" w:rsidP="0034085B">
      <w:r w:rsidRPr="00D9111A">
        <w:t xml:space="preserve">Any plan could potentially have loopholes that could be exploited by companies or individual vessels.  We believe that </w:t>
      </w:r>
      <w:r>
        <w:t xml:space="preserve">with a legitimate outside firm handling the allocation accounting, verification and trading of ITEC, that </w:t>
      </w:r>
      <w:r w:rsidRPr="00D9111A">
        <w:t>Legacy Market-Incentive Plan is, for the most part, resistant to manipulation</w:t>
      </w:r>
      <w:r>
        <w:t>.  Reallocations of ITEC are</w:t>
      </w:r>
      <w:r w:rsidRPr="00D9111A">
        <w:t xml:space="preserve"> based on a vessel’s relative bycatch performance, </w:t>
      </w:r>
      <w:r>
        <w:t>which is a function</w:t>
      </w:r>
      <w:r w:rsidRPr="00D9111A">
        <w:t xml:space="preserve"> of the </w:t>
      </w:r>
      <w:r w:rsidRPr="00C4116F">
        <w:t>full distribution of sector-wide</w:t>
      </w:r>
      <w:r w:rsidRPr="00D9111A">
        <w:t xml:space="preserve"> average bycatch rate</w:t>
      </w:r>
      <w:r>
        <w:t>s. This fact makes it</w:t>
      </w:r>
      <w:r w:rsidRPr="00D9111A">
        <w:t xml:space="preserve"> extremely difficult for individual vessels or small groups to manipulate.</w:t>
      </w:r>
      <w:r>
        <w:t xml:space="preserve">  Also, CFTC certification makes such manipulation illegal under current statues. Direct manipulation may be more likely to arise if allocation, ITEC accounting and trading were done in-house (non transparently). Thus, we suggest the use of a properly certified third-party firm to handle transfers, verification, accounting and ledgers (the front and back office operations).  </w:t>
      </w:r>
    </w:p>
    <w:p w14:paraId="5BB89FA5" w14:textId="77777777" w:rsidR="0034085B" w:rsidRDefault="0034085B" w:rsidP="006A3A9B"/>
    <w:p w14:paraId="54D154AE" w14:textId="77777777" w:rsidR="0034085B" w:rsidRDefault="0034085B" w:rsidP="0034085B">
      <w:r>
        <w:t>Having an established trading infrastructure in place will provide a site for other transactions that industry may find desirable and convenient (such as a market place for posting and transacting bids and offers on intra-coop Pollock leases, or the negotiation of futures or option contracts to moderate risk and ITEC purchases).The possibility of using Scripps name to an exchange specifically aimed at creating organized rational markets that help to reduce industry risk and promote sustainability and conservation may be a reasonable approach for discussion.  Membership with this exchange could carry an important marketing advantage similar to an MSC certification, and may indeed become part of that certification. There are currently a number of firms that can be approached who provide similar services (eg. CCX).</w:t>
      </w:r>
    </w:p>
    <w:p w14:paraId="7DAA8BF2" w14:textId="77777777" w:rsidR="0034085B" w:rsidRDefault="0034085B" w:rsidP="0034085B"/>
    <w:p w14:paraId="12C7C2F8" w14:textId="77777777" w:rsidR="0034085B" w:rsidRDefault="0034085B" w:rsidP="0034085B">
      <w:r>
        <w:t xml:space="preserve">One potential source of manipulation that we saw and addressed was the possibility of firms employing strategies to evade the Dynamic Salmon Savings rule.  Our solution was to implement a provisional salmon saving rule which prevents such abuse (the PSSR is askin to a maximum withholding tax in dynamic salmon savings). This rule </w:t>
      </w:r>
      <w:r w:rsidRPr="00D9111A">
        <w:t>ensure</w:t>
      </w:r>
      <w:r>
        <w:t>s</w:t>
      </w:r>
      <w:r w:rsidRPr="00D9111A">
        <w:t xml:space="preserve"> that vessels are unable to evade certain restrictions on ITEC trading (such as Dynamic Salmon Savings).  We encourage both the SSC and the public to examine the plan for weaknesses, so that it may be continually revi</w:t>
      </w:r>
      <w:r>
        <w:t>sed and strengthened over time.</w:t>
      </w:r>
    </w:p>
    <w:p w14:paraId="148F67E8" w14:textId="77777777" w:rsidR="0034085B" w:rsidRDefault="0034085B" w:rsidP="006A3A9B"/>
    <w:p w14:paraId="5C91F184" w14:textId="77777777" w:rsidR="00302A18" w:rsidRPr="00302A18" w:rsidRDefault="00302A18" w:rsidP="00302A18">
      <w:pPr>
        <w:numPr>
          <w:ilvl w:val="0"/>
          <w:numId w:val="30"/>
        </w:numPr>
        <w:rPr>
          <w:i/>
        </w:rPr>
      </w:pPr>
      <w:r w:rsidRPr="00302A18">
        <w:rPr>
          <w:i/>
        </w:rPr>
        <w:t>Can dynamic savings be gamed, especially by large companies?</w:t>
      </w:r>
    </w:p>
    <w:p w14:paraId="65EB44AB" w14:textId="77777777" w:rsidR="00302A18" w:rsidRPr="00CB7235" w:rsidRDefault="00302A18" w:rsidP="00302A18">
      <w:pPr>
        <w:rPr>
          <w:b/>
        </w:rPr>
      </w:pPr>
    </w:p>
    <w:p w14:paraId="0DB64DA8" w14:textId="77777777" w:rsidR="00302A18" w:rsidRDefault="00302A18" w:rsidP="00302A18">
      <w:r>
        <w:t>If we assume that the estimation of the number of needed credits is accurate (neither too low to cause credit shortages, nor too high so as to be ineffective), then it does not appear as though Dynamic Salmon Savings (DSS) can be gamed.  The provisional rule prevents companies with multiple vessels from evading DSS by shuffling around credits before they are “retired”.  The only way I can see that DSS can be gamed would be to manipulate the estimate of the number of needed credits.  The only way this works in the favor of a large company would be to make the estimate too high (reduce the effectiveness of DSS).  Based on the current method for constructing the estimate, this would be accomplished by elevating bycatch early in the B season.  This does not seem like a very rational strategy, even for large companies, since the gains (reduced DSS) are shared across all vessels, whereas the costs (spending extra credits in the current season AND reduced allocation in subsequent years from increased bycatch) are only seen by vessels manipulating DSS.  The gains would need to outweigh the costs for this strategy to be viable, which seems highly unlikely.</w:t>
      </w:r>
    </w:p>
    <w:p w14:paraId="25CDF156" w14:textId="77777777" w:rsidR="00302A18" w:rsidRDefault="00302A18" w:rsidP="006A3A9B"/>
    <w:p w14:paraId="68B038C5" w14:textId="77777777" w:rsidR="00813057" w:rsidRDefault="00813057" w:rsidP="00813057">
      <w:pPr>
        <w:numPr>
          <w:ilvl w:val="0"/>
          <w:numId w:val="29"/>
        </w:numPr>
        <w:rPr>
          <w:i/>
        </w:rPr>
      </w:pPr>
      <w:r w:rsidRPr="00002898">
        <w:rPr>
          <w:i/>
        </w:rPr>
        <w:t xml:space="preserve">How will this plan interact with the </w:t>
      </w:r>
      <w:r>
        <w:rPr>
          <w:i/>
        </w:rPr>
        <w:t>U</w:t>
      </w:r>
      <w:r w:rsidRPr="00002898">
        <w:rPr>
          <w:i/>
        </w:rPr>
        <w:t>IP</w:t>
      </w:r>
      <w:r>
        <w:rPr>
          <w:i/>
        </w:rPr>
        <w:t>/FIP</w:t>
      </w:r>
      <w:r w:rsidRPr="00002898">
        <w:rPr>
          <w:i/>
        </w:rPr>
        <w:t>?</w:t>
      </w:r>
    </w:p>
    <w:p w14:paraId="4B7ED72D" w14:textId="77777777" w:rsidR="00813057" w:rsidRDefault="00813057" w:rsidP="00813057">
      <w:pPr>
        <w:rPr>
          <w:i/>
        </w:rPr>
      </w:pPr>
    </w:p>
    <w:p w14:paraId="5C11AB9E" w14:textId="77777777" w:rsidR="00813057" w:rsidRDefault="00813057" w:rsidP="00813057">
      <w:r>
        <w:t>The Legacy Market-Incentive program would operate throughout an entire sector.  It would not be implemented with any other plan (UIP/FIP or otherwise) in the same sector.  Trading of ITEC across sectors operating under different programs would be restricted as described in the report: sectors with Dynamic Salmon Savings can sell credits to any other sector, but may only buy credits from another sector with a Dynamic Salmon Savings rule with the same maximum Salmon Savings Rate.</w:t>
      </w:r>
    </w:p>
    <w:p w14:paraId="2CF1B72C" w14:textId="77777777" w:rsidR="00813057" w:rsidRPr="00002898" w:rsidRDefault="00813057" w:rsidP="00813057">
      <w:pPr>
        <w:rPr>
          <w:i/>
        </w:rPr>
      </w:pPr>
    </w:p>
    <w:p w14:paraId="500CE69B" w14:textId="77777777" w:rsidR="00813057" w:rsidRDefault="00813057" w:rsidP="00813057">
      <w:pPr>
        <w:numPr>
          <w:ilvl w:val="0"/>
          <w:numId w:val="29"/>
        </w:numPr>
        <w:rPr>
          <w:i/>
        </w:rPr>
      </w:pPr>
      <w:r w:rsidRPr="00002898">
        <w:rPr>
          <w:i/>
        </w:rPr>
        <w:t xml:space="preserve">To what extent does this analysis rely on the assumption that each vessel acts as an independent entity? How will the results change when some vessels are able to collude through their parent company, while other vessels lack an opportunity to collude? </w:t>
      </w:r>
    </w:p>
    <w:p w14:paraId="19F79710" w14:textId="77777777" w:rsidR="00813057" w:rsidRDefault="00813057" w:rsidP="00813057">
      <w:pPr>
        <w:rPr>
          <w:i/>
        </w:rPr>
      </w:pPr>
    </w:p>
    <w:p w14:paraId="4A6AF09E" w14:textId="77777777" w:rsidR="00813057" w:rsidRDefault="00813057" w:rsidP="00813057">
      <w:pPr>
        <w:tabs>
          <w:tab w:val="left" w:pos="540"/>
        </w:tabs>
      </w:pPr>
      <w:r>
        <w:t>Vessels would collude if it is in their best interest to do so.  Because the mean and variance in bycatch rates is relatively independent of the performance of any individual vessel or group of vessels, it would be very difficult to manipulate the mean and variance to affect ITEC reallocations.</w:t>
      </w:r>
    </w:p>
    <w:p w14:paraId="039DB2E5" w14:textId="77777777" w:rsidR="00813057" w:rsidRDefault="00813057" w:rsidP="00813057">
      <w:pPr>
        <w:rPr>
          <w:i/>
        </w:rPr>
      </w:pPr>
    </w:p>
    <w:p w14:paraId="53E4B855" w14:textId="77777777" w:rsidR="00813057" w:rsidRPr="00631AFE" w:rsidRDefault="00813057" w:rsidP="00813057">
      <w:pPr>
        <w:tabs>
          <w:tab w:val="left" w:pos="540"/>
        </w:tabs>
      </w:pPr>
      <w:r>
        <w:t>The ability of vessels to collude will primarily be limited to having no-cost credit transactions.  (I.e. vessels belonging to the same parent company would not charge each other for credits.)  However, both transfer rules would still apply to individual vessels: vessels would be restricted to purchasing a fixed fraction of their original allocation, and Dynamic Salmon Savings would apply.  Because vessels in a parent company see less risk by operating this way (i.e. with free credit transactions), the entire company would be treated as an individual entity for the purposes of ITEC reallocation.</w:t>
      </w:r>
    </w:p>
    <w:p w14:paraId="0880771D" w14:textId="77777777" w:rsidR="00813057" w:rsidRPr="00002898" w:rsidRDefault="00813057" w:rsidP="00813057">
      <w:pPr>
        <w:rPr>
          <w:i/>
        </w:rPr>
      </w:pPr>
    </w:p>
    <w:p w14:paraId="43664C08" w14:textId="77777777" w:rsidR="00813057" w:rsidRDefault="00813057" w:rsidP="00813057">
      <w:pPr>
        <w:numPr>
          <w:ilvl w:val="0"/>
          <w:numId w:val="29"/>
        </w:numPr>
        <w:rPr>
          <w:i/>
        </w:rPr>
      </w:pPr>
      <w:r w:rsidRPr="00002898">
        <w:rPr>
          <w:i/>
        </w:rPr>
        <w:t>Some vessels currently operate near their physical or regulatory capacity for pollock. If these vessels fish clean and acquire ITEC, they can sell the excess ITEC to other vessels, but cannot lease additional pollock to fish on their own vessel. How will this asymmetry affect the results? Will it tend to lower the price of ITEC?</w:t>
      </w:r>
    </w:p>
    <w:p w14:paraId="467FA719" w14:textId="77777777" w:rsidR="00813057" w:rsidRDefault="00813057" w:rsidP="00813057">
      <w:pPr>
        <w:rPr>
          <w:i/>
        </w:rPr>
      </w:pPr>
    </w:p>
    <w:p w14:paraId="2A3A3BE8" w14:textId="77777777" w:rsidR="00813057" w:rsidRDefault="00813057" w:rsidP="00957D9E">
      <w:pPr>
        <w:tabs>
          <w:tab w:val="left" w:pos="540"/>
        </w:tabs>
      </w:pPr>
      <w:r>
        <w:t>This asymmetry has the potential to lower the price of ITEC: however, we believe that the trading rules presented in the report prevent this situation from nullifying the incentives to reduce salmon bycatch.  During years of mid- to high-salmon encounter, demand for ITEC would keep prices high.  During years of low-salmon encounter, Dynamic Salmon Savings should lower the available supply of credits and also keep prices high.</w:t>
      </w:r>
    </w:p>
    <w:p w14:paraId="1718F43F" w14:textId="77777777" w:rsidR="00AD52D1" w:rsidRDefault="00AD52D1" w:rsidP="00957D9E">
      <w:pPr>
        <w:tabs>
          <w:tab w:val="left" w:pos="540"/>
        </w:tabs>
      </w:pPr>
    </w:p>
    <w:p w14:paraId="335EDADF" w14:textId="77777777" w:rsidR="00AD52D1" w:rsidRPr="00AD52D1" w:rsidRDefault="00AD52D1" w:rsidP="00AD52D1">
      <w:pPr>
        <w:pStyle w:val="ListParagraph"/>
        <w:numPr>
          <w:ilvl w:val="0"/>
          <w:numId w:val="29"/>
        </w:numPr>
        <w:tabs>
          <w:tab w:val="left" w:pos="720"/>
        </w:tabs>
        <w:ind w:hanging="450"/>
        <w:rPr>
          <w:i/>
        </w:rPr>
      </w:pPr>
      <w:r w:rsidRPr="00AD52D1">
        <w:rPr>
          <w:i/>
        </w:rPr>
        <w:t>Does the form of the distribution of bycatch rates affect the effectiveness of the plan in any way?</w:t>
      </w:r>
    </w:p>
    <w:p w14:paraId="58FF6983" w14:textId="77777777" w:rsidR="00AD52D1" w:rsidRDefault="00AD52D1" w:rsidP="00957D9E">
      <w:pPr>
        <w:tabs>
          <w:tab w:val="left" w:pos="540"/>
        </w:tabs>
      </w:pPr>
    </w:p>
    <w:p w14:paraId="597FB1E3" w14:textId="77777777" w:rsidR="00FE3585" w:rsidRDefault="00FE3585" w:rsidP="00FE3585">
      <w:r>
        <w:t xml:space="preserve">Bycatch rates have a distribution that look like a gamma distribution (as opposed to a normal distribution).  The specific ideal form of the distribution will not affect our results or the incentives, though it will affect how one interprets things like z-scores.  The incentive structure of the program should not be dependent upon the shape of the distribution of bycatch rates.  The lack of symmetry does pose some computational problems with operating under a fixed hardcap, which we resolve through a rescaling (as described above).  </w:t>
      </w:r>
    </w:p>
    <w:p w14:paraId="12D82F81" w14:textId="77777777" w:rsidR="00AD52D1" w:rsidRDefault="00AD52D1" w:rsidP="00957D9E">
      <w:pPr>
        <w:tabs>
          <w:tab w:val="left" w:pos="540"/>
        </w:tabs>
      </w:pPr>
    </w:p>
    <w:p w14:paraId="0AA319C5" w14:textId="77777777" w:rsidR="00A13594" w:rsidRPr="0062509E" w:rsidRDefault="00A13594" w:rsidP="006A3A9B"/>
    <w:p w14:paraId="2E204CFF" w14:textId="77777777" w:rsidR="006A3A9B" w:rsidRPr="00ED0D55" w:rsidRDefault="006A3A9B">
      <w:r w:rsidRPr="00ED0D55">
        <w:t>GLOSSARY OF TERMS:</w:t>
      </w:r>
    </w:p>
    <w:p w14:paraId="28368F7B" w14:textId="77777777" w:rsidR="006A3A9B" w:rsidRPr="00ED0D55" w:rsidRDefault="006A3A9B"/>
    <w:p w14:paraId="502B280A" w14:textId="77777777" w:rsidR="006A3A9B" w:rsidRDefault="006A3A9B">
      <w:r>
        <w:t>1) Intrinsic Fishery Value  = [(sum value of sector Pollock remaining at time t to the end of the season) / (sum sector actual bycatch remaining to the end of the season)] x [fraction of vessels in sector still fishing]</w:t>
      </w:r>
    </w:p>
    <w:p w14:paraId="22ABF6FA" w14:textId="77777777" w:rsidR="006A3A9B" w:rsidRDefault="006A3A9B">
      <w:r>
        <w:t>Note: this last term averages in the 0’s for the value when a vessel fills it’s quota</w:t>
      </w:r>
      <w:r w:rsidR="00671026">
        <w:t xml:space="preserve">.  </w:t>
      </w:r>
      <w:r>
        <w:t>Thereby giving a weighted average to reflect the differences among vessel allocations and quota.</w:t>
      </w:r>
    </w:p>
    <w:p w14:paraId="3A2EAB83" w14:textId="77777777" w:rsidR="006A3A9B" w:rsidRDefault="006A3A9B"/>
    <w:p w14:paraId="2B76A080" w14:textId="77777777" w:rsidR="006A3A9B" w:rsidRDefault="006A3A9B">
      <w:r>
        <w:t>2) Instantaneous Expected Fishery Value = ( value of Pollock remaining at time t) / (cumulative bycatch rate at t)</w:t>
      </w:r>
    </w:p>
    <w:p w14:paraId="00F81529" w14:textId="77777777" w:rsidR="006A3A9B" w:rsidRDefault="006A3A9B"/>
    <w:p w14:paraId="48508462" w14:textId="77777777" w:rsidR="006A3A9B" w:rsidRDefault="006A3A9B">
      <w:r>
        <w:t>3) Bycatch rate = #</w:t>
      </w:r>
      <w:r w:rsidR="00BD5F36">
        <w:t>Chinook</w:t>
      </w:r>
      <w:r>
        <w:t xml:space="preserve">/mt </w:t>
      </w:r>
      <w:r w:rsidR="00BD5F36">
        <w:t>Pollock</w:t>
      </w:r>
    </w:p>
    <w:p w14:paraId="53F3902C" w14:textId="77777777" w:rsidR="006A3A9B" w:rsidRDefault="006A3A9B"/>
    <w:p w14:paraId="41EED4DB" w14:textId="77777777" w:rsidR="006A3A9B" w:rsidRDefault="006A3A9B">
      <w:r>
        <w:t>4) Back-of-the-envelope Uppe</w:t>
      </w:r>
      <w:r w:rsidR="008C2296">
        <w:t>r Limit Bycatch Rate:  38,000/ 600,000mt = 0.063 = bycatch rate suggested by 38k HC and TAC of 600,000 mt for the inshore sector.</w:t>
      </w:r>
    </w:p>
    <w:p w14:paraId="0268AC7B" w14:textId="77777777" w:rsidR="006A3A9B" w:rsidRPr="0062509E" w:rsidRDefault="006A3A9B"/>
    <w:p w14:paraId="130EA37D" w14:textId="77777777" w:rsidR="00A4180C" w:rsidRDefault="00A4180C">
      <w:r>
        <w:br w:type="page"/>
      </w:r>
    </w:p>
    <w:p w14:paraId="33A2AF2E" w14:textId="77777777" w:rsidR="00A4180C" w:rsidRDefault="00A4180C" w:rsidP="00A4180C">
      <w:pPr>
        <w:pStyle w:val="Heading1"/>
      </w:pPr>
      <w:r>
        <w:t>References</w:t>
      </w:r>
    </w:p>
    <w:p w14:paraId="1279AD8D" w14:textId="77777777" w:rsidR="00A4180C" w:rsidRDefault="00A4180C" w:rsidP="006A3A9B"/>
    <w:p w14:paraId="6103AA2D" w14:textId="64A47AC7" w:rsidR="00A4180C" w:rsidRDefault="00A4180C" w:rsidP="006A3A9B">
      <w:r w:rsidRPr="00A4180C">
        <w:t>Rico 1995, The U.S.  allowance trading system for sulfur dioxide: An update on market experience, Environmental and Resource Economics Volume 5, Number 2 / March, 1995</w:t>
      </w:r>
    </w:p>
    <w:p w14:paraId="04AD92C6" w14:textId="0327371B" w:rsidR="006A3A9B" w:rsidRDefault="006A3A9B" w:rsidP="006A3A9B">
      <w:r w:rsidRPr="0062509E">
        <w:br w:type="page"/>
      </w:r>
      <w:r w:rsidRPr="007229F7">
        <w:rPr>
          <w:b/>
          <w:sz w:val="28"/>
        </w:rPr>
        <w:t>Appendix A</w:t>
      </w:r>
      <w:r w:rsidRPr="00BB7C49">
        <w:rPr>
          <w:b/>
          <w:sz w:val="28"/>
          <w:szCs w:val="28"/>
        </w:rPr>
        <w:t>:</w:t>
      </w:r>
      <w:r w:rsidRPr="00BB7C49">
        <w:rPr>
          <w:sz w:val="28"/>
          <w:szCs w:val="28"/>
        </w:rPr>
        <w:t xml:space="preserve"> Technical Issues Regarding the Allocation Formula</w:t>
      </w:r>
    </w:p>
    <w:p w14:paraId="11E4703B" w14:textId="77777777" w:rsidR="006A3A9B" w:rsidRDefault="006A3A9B" w:rsidP="006A3A9B"/>
    <w:p w14:paraId="03B237AF" w14:textId="77777777" w:rsidR="006A3A9B" w:rsidRDefault="006A3A9B" w:rsidP="006A3A9B">
      <w:r>
        <w:t>Here we examine several technical issues related to the allocation formula (1)</w:t>
      </w:r>
    </w:p>
    <w:p w14:paraId="670ED7E7" w14:textId="77777777" w:rsidR="006A3A9B" w:rsidRDefault="006A3A9B" w:rsidP="006A3A9B">
      <w:pPr>
        <w:ind w:left="360"/>
      </w:pPr>
      <w:r>
        <w:t>P</w:t>
      </w:r>
      <w:r>
        <w:rPr>
          <w:vertAlign w:val="subscript"/>
        </w:rPr>
        <w:t>s,,y, i</w:t>
      </w:r>
      <w:r>
        <w:t xml:space="preserve"> =  α+ βP</w:t>
      </w:r>
      <w:r>
        <w:rPr>
          <w:vertAlign w:val="subscript"/>
        </w:rPr>
        <w:t>s, y-1, i</w:t>
      </w:r>
      <w:r>
        <w:t xml:space="preserve"> + γQ</w:t>
      </w:r>
      <w:r>
        <w:rPr>
          <w:vertAlign w:val="subscript"/>
        </w:rPr>
        <w:t>s, y-1, i</w:t>
      </w:r>
      <w:r>
        <w:tab/>
      </w:r>
    </w:p>
    <w:p w14:paraId="3F7D9844" w14:textId="77777777" w:rsidR="006A3A9B" w:rsidRDefault="006A3A9B" w:rsidP="006A3A9B"/>
    <w:p w14:paraId="504734AE" w14:textId="77777777" w:rsidR="006A3A9B" w:rsidRDefault="00E02CCA" w:rsidP="00E02CCA">
      <w:pPr>
        <w:tabs>
          <w:tab w:val="left" w:pos="360"/>
        </w:tabs>
      </w:pPr>
      <w:r>
        <w:t>1)</w:t>
      </w:r>
      <w:r>
        <w:tab/>
      </w:r>
      <w:r w:rsidR="006A3A9B">
        <w:t>Scaling:</w:t>
      </w:r>
    </w:p>
    <w:p w14:paraId="56BCD818" w14:textId="77777777" w:rsidR="006A3A9B" w:rsidRDefault="006A3A9B" w:rsidP="006A3A9B">
      <w:pPr>
        <w:ind w:left="360"/>
      </w:pPr>
      <w:r>
        <w:t>The proportional allocation fo</w:t>
      </w:r>
      <w:r w:rsidR="00894C98">
        <w:t xml:space="preserve">rmula (1) is transformed into </w:t>
      </w:r>
      <w:r>
        <w:t>number of credits as follows:</w:t>
      </w:r>
    </w:p>
    <w:p w14:paraId="25BAE53D" w14:textId="77777777" w:rsidR="006A3A9B" w:rsidRDefault="006A3A9B" w:rsidP="006A3A9B">
      <w:pPr>
        <w:ind w:left="360"/>
      </w:pPr>
    </w:p>
    <w:p w14:paraId="0DF92ACE" w14:textId="77777777" w:rsidR="006A3A9B" w:rsidRDefault="006A3A9B" w:rsidP="006A3A9B">
      <w:pPr>
        <w:ind w:firstLine="360"/>
        <w:rPr>
          <w:vertAlign w:val="subscript"/>
        </w:rPr>
      </w:pPr>
      <w:r>
        <w:t>Credit Proportion</w:t>
      </w:r>
      <w:r>
        <w:rPr>
          <w:vertAlign w:val="subscript"/>
        </w:rPr>
        <w:t>i</w:t>
      </w:r>
      <w:r>
        <w:t xml:space="preserve"> = P</w:t>
      </w:r>
      <w:r>
        <w:rPr>
          <w:vertAlign w:val="subscript"/>
        </w:rPr>
        <w:t>s,,y, i</w:t>
      </w:r>
      <w:r>
        <w:t xml:space="preserve"> </w:t>
      </w:r>
      <w:r w:rsidR="00A37594">
        <w:t>*</w:t>
      </w:r>
      <w:r>
        <w:t xml:space="preserve"> IFQ</w:t>
      </w:r>
      <w:r>
        <w:rPr>
          <w:vertAlign w:val="subscript"/>
        </w:rPr>
        <w:t>s,y,i</w:t>
      </w:r>
    </w:p>
    <w:p w14:paraId="2AEBEBEA" w14:textId="77777777" w:rsidR="006A3A9B" w:rsidRDefault="006A3A9B" w:rsidP="006A3A9B">
      <w:pPr>
        <w:ind w:firstLine="360"/>
      </w:pPr>
    </w:p>
    <w:p w14:paraId="37C649FF" w14:textId="77777777" w:rsidR="006A3A9B" w:rsidRDefault="006A3A9B" w:rsidP="006A3A9B">
      <w:pPr>
        <w:ind w:left="360"/>
      </w:pPr>
      <w:r>
        <w:t xml:space="preserve">Because the sum of this product across vessels does not necessarily = 1, it is necessary to divide by the sum of these credit proportions over all active vessels in the sector, </w:t>
      </w:r>
      <w:r w:rsidRPr="0062509E">
        <w:t>ΣCredit</w:t>
      </w:r>
      <w:r>
        <w:t xml:space="preserve"> Proportions</w:t>
      </w:r>
      <w:r w:rsidR="00671026">
        <w:t xml:space="preserve">.  </w:t>
      </w:r>
      <w:r>
        <w:t xml:space="preserve">That is, </w:t>
      </w:r>
    </w:p>
    <w:p w14:paraId="4D119B3F" w14:textId="77777777" w:rsidR="006A3A9B" w:rsidRPr="0062509E" w:rsidRDefault="006A3A9B" w:rsidP="006A3A9B">
      <w:pPr>
        <w:ind w:left="360"/>
      </w:pPr>
    </w:p>
    <w:p w14:paraId="377D9109" w14:textId="77777777" w:rsidR="006A3A9B" w:rsidRDefault="006A3A9B" w:rsidP="006A3A9B">
      <w:pPr>
        <w:ind w:left="360"/>
      </w:pPr>
      <w:r>
        <w:t># Credits</w:t>
      </w:r>
      <w:r>
        <w:rPr>
          <w:vertAlign w:val="subscript"/>
        </w:rPr>
        <w:t>i</w:t>
      </w:r>
      <w:r>
        <w:t xml:space="preserve"> = Credit Proportion</w:t>
      </w:r>
      <w:r>
        <w:rPr>
          <w:vertAlign w:val="subscript"/>
        </w:rPr>
        <w:t>i</w:t>
      </w:r>
      <w:r>
        <w:t xml:space="preserve"> / (</w:t>
      </w:r>
      <w:r w:rsidRPr="0062509E">
        <w:t>ΣCredit</w:t>
      </w:r>
      <w:r>
        <w:t xml:space="preserve"> Proportions) * # sector credits for the season</w:t>
      </w:r>
    </w:p>
    <w:p w14:paraId="6731D53E" w14:textId="77777777" w:rsidR="006A3A9B" w:rsidRDefault="006A3A9B" w:rsidP="006A3A9B"/>
    <w:p w14:paraId="7DCE9698" w14:textId="77777777" w:rsidR="00F153EE" w:rsidRDefault="00F153EE" w:rsidP="00F153EE">
      <w:pPr>
        <w:ind w:left="360"/>
      </w:pPr>
      <w:r>
        <w:t xml:space="preserve">Note that this scaling is necessary due to variation in vessel size and a fixed hardcap.  In a simplified example with only two vessels (one large and one small), if the large vessel does well and increases its proportional allocation factor by 10% and the samller vessel decreases its proportional allocation factor by 10%, the 10% increase for the larger vessel is a larger change in credits than the 10% decrease for the smaller vessel.  Since it would be impossible to distribute more credits than the fixed hardcap, it is clearly not possible to actually give the larger vessel 10% more credits in the second year.  Instead, the number of credits is scaled so that the credits that are distributed are done so in the proper ratios for each vessel.  </w:t>
      </w:r>
    </w:p>
    <w:p w14:paraId="797434B5" w14:textId="77777777" w:rsidR="00F153EE" w:rsidRDefault="00F153EE" w:rsidP="006A3A9B"/>
    <w:p w14:paraId="7A170EBE" w14:textId="77777777" w:rsidR="000A4F58" w:rsidRDefault="00EE6BEF" w:rsidP="00EE6BEF">
      <w:pPr>
        <w:tabs>
          <w:tab w:val="left" w:pos="360"/>
        </w:tabs>
      </w:pPr>
      <w:r>
        <w:t>2)</w:t>
      </w:r>
      <w:r>
        <w:tab/>
      </w:r>
      <w:r w:rsidR="000A4F58">
        <w:t>Upper and lower bounds for proportional allocations:</w:t>
      </w:r>
    </w:p>
    <w:p w14:paraId="619D8D20" w14:textId="77777777" w:rsidR="000A4F58" w:rsidRDefault="000A4F58" w:rsidP="000A4F58">
      <w:pPr>
        <w:ind w:left="360"/>
      </w:pPr>
      <w:r>
        <w:t xml:space="preserve">When the weightings are such that α = γ the lower and upper bounds on P will depend only on </w:t>
      </w:r>
      <w:r w:rsidR="00C669C6">
        <w:t>the bounds for Q</w:t>
      </w:r>
      <w:r w:rsidR="00671026">
        <w:t xml:space="preserve">.  </w:t>
      </w:r>
      <w:r>
        <w:t>Thus, for both equations (2) and (3)</w:t>
      </w:r>
      <w:r w:rsidR="00A15438">
        <w:t xml:space="preserve"> the bounds for P are the same [2/3, 4/3] when the bounds for Q are [1/3, 5/3] (obtained when Q = 1/3 + 4/3 p</w:t>
      </w:r>
      <w:r w:rsidR="00A15438">
        <w:rPr>
          <w:vertAlign w:val="subscript"/>
        </w:rPr>
        <w:t>i</w:t>
      </w:r>
      <w:r w:rsidR="00A15438">
        <w:t>)</w:t>
      </w:r>
      <w:r w:rsidR="00671026">
        <w:t xml:space="preserve">.  </w:t>
      </w:r>
      <w:r>
        <w:t xml:space="preserve">The following bounds </w:t>
      </w:r>
      <w:r w:rsidR="00DA62E9">
        <w:t xml:space="preserve">for P </w:t>
      </w:r>
      <w:r>
        <w:t>apply to the following parameter settings for δ and ε in Q: (in order of wide to narrow limits)</w:t>
      </w:r>
      <w:r w:rsidR="00F013B9">
        <w:t>:</w:t>
      </w:r>
    </w:p>
    <w:p w14:paraId="743BF96F" w14:textId="77777777" w:rsidR="000A4F58" w:rsidRDefault="000A4F58" w:rsidP="000A4F58">
      <w:pPr>
        <w:ind w:left="360"/>
      </w:pPr>
    </w:p>
    <w:p w14:paraId="3BDD1E58" w14:textId="77777777" w:rsidR="000A4F58" w:rsidRDefault="000A4F58" w:rsidP="000A4F58">
      <w:pPr>
        <w:ind w:left="360"/>
      </w:pPr>
      <w:r>
        <w:t>[1/2, 3/2]</w:t>
      </w:r>
      <w:r>
        <w:tab/>
      </w:r>
      <w:r>
        <w:tab/>
        <w:t>Q = 2p</w:t>
      </w:r>
      <w:r w:rsidRPr="00E45121">
        <w:rPr>
          <w:vertAlign w:val="subscript"/>
        </w:rPr>
        <w:t>i</w:t>
      </w:r>
    </w:p>
    <w:p w14:paraId="2CE1FC19" w14:textId="77777777" w:rsidR="000A4F58" w:rsidRDefault="000A4F58" w:rsidP="000A4F58">
      <w:pPr>
        <w:ind w:left="360"/>
      </w:pPr>
    </w:p>
    <w:p w14:paraId="749114A9" w14:textId="77777777" w:rsidR="000A4F58" w:rsidRDefault="000A4F58" w:rsidP="000A4F58">
      <w:pPr>
        <w:ind w:left="360"/>
      </w:pPr>
      <w:r>
        <w:t>[2/3, 4/3]</w:t>
      </w:r>
      <w:r>
        <w:tab/>
      </w:r>
      <w:r>
        <w:tab/>
        <w:t>Q = 1/3 + 4/3p</w:t>
      </w:r>
      <w:r w:rsidRPr="00E45121">
        <w:rPr>
          <w:vertAlign w:val="subscript"/>
        </w:rPr>
        <w:t>i</w:t>
      </w:r>
    </w:p>
    <w:p w14:paraId="7CD27F77" w14:textId="77777777" w:rsidR="000A4F58" w:rsidRDefault="000A4F58" w:rsidP="000A4F58">
      <w:pPr>
        <w:ind w:left="360"/>
      </w:pPr>
    </w:p>
    <w:p w14:paraId="327103F9" w14:textId="77777777" w:rsidR="0082607B" w:rsidRDefault="000A4F58" w:rsidP="0082607B">
      <w:pPr>
        <w:ind w:left="360"/>
      </w:pPr>
      <w:r>
        <w:t>[3/4, 5/4]</w:t>
      </w:r>
      <w:r>
        <w:tab/>
      </w:r>
      <w:r>
        <w:tab/>
        <w:t>Q = 1/2 + p</w:t>
      </w:r>
      <w:r w:rsidRPr="00E45121">
        <w:rPr>
          <w:vertAlign w:val="subscript"/>
        </w:rPr>
        <w:t>i</w:t>
      </w:r>
    </w:p>
    <w:p w14:paraId="34B23828" w14:textId="77777777" w:rsidR="0082607B" w:rsidRDefault="0082607B" w:rsidP="0082607B">
      <w:pPr>
        <w:ind w:left="360"/>
      </w:pPr>
    </w:p>
    <w:p w14:paraId="3421220F" w14:textId="77777777" w:rsidR="000A4F58" w:rsidRPr="0082607B" w:rsidRDefault="0082607B" w:rsidP="0082607B">
      <w:pPr>
        <w:ind w:left="360"/>
      </w:pPr>
      <w:r>
        <w:t>When weightings are α = 0, β = γ = 1 (Case 4), the upper and lower bounds are undefined, but can be set arbitrarily as absorbing boundaries to a random walk</w:t>
      </w:r>
      <w:r w:rsidR="00671026">
        <w:t xml:space="preserve">.  </w:t>
      </w:r>
      <w:r>
        <w:t>They are independent of Q.</w:t>
      </w:r>
    </w:p>
    <w:p w14:paraId="762476E2" w14:textId="77777777" w:rsidR="000A4F58" w:rsidRDefault="000A4F58" w:rsidP="006A3A9B"/>
    <w:p w14:paraId="6FF1A958" w14:textId="77777777" w:rsidR="00630AC7" w:rsidRDefault="00E17AD6" w:rsidP="00E17AD6">
      <w:pPr>
        <w:tabs>
          <w:tab w:val="left" w:pos="360"/>
        </w:tabs>
      </w:pPr>
      <w:r>
        <w:t>3)</w:t>
      </w:r>
      <w:r>
        <w:tab/>
      </w:r>
      <w:r w:rsidR="00630AC7">
        <w:t xml:space="preserve">Specific forms for the penalty function p: </w:t>
      </w:r>
    </w:p>
    <w:p w14:paraId="24FA8EE1" w14:textId="77777777" w:rsidR="00630AC7" w:rsidRDefault="00630AC7" w:rsidP="00630AC7">
      <w:pPr>
        <w:ind w:left="360"/>
      </w:pPr>
      <w:r>
        <w:t>In general p can be any function having a range from 0 to 1 that rewards low</w:t>
      </w:r>
      <w:r w:rsidRPr="00DA0185">
        <w:t xml:space="preserve"> </w:t>
      </w:r>
      <w:r>
        <w:t>bycatch behavior and that penalizes high bycatch behavior</w:t>
      </w:r>
      <w:r w:rsidR="00671026">
        <w:t xml:space="preserve">.  </w:t>
      </w:r>
      <w:r>
        <w:t>The performance measure chosen here involves computing a z-score for bycatch rate and converting via linear scaling</w:t>
      </w:r>
      <w:r w:rsidR="00671026">
        <w:t xml:space="preserve">.  </w:t>
      </w:r>
      <w:r>
        <w:t>Vessels with z-scores less than -2 receive a p of 0, and vessels with z-scores greater than 2 receive a p of 1</w:t>
      </w:r>
      <w:r w:rsidR="00671026">
        <w:t xml:space="preserve">.  </w:t>
      </w:r>
      <w:r>
        <w:t>Vessels with z-scores in between -2 and +2 have p computed as p = z/4 + 1/2</w:t>
      </w:r>
      <w:r w:rsidR="00671026">
        <w:t xml:space="preserve">.  </w:t>
      </w:r>
      <w:r>
        <w:t>Note that this penalty function provides equal incentive for the vast majority of vessels</w:t>
      </w:r>
      <w:r w:rsidR="00671026">
        <w:t xml:space="preserve">.  </w:t>
      </w:r>
      <w:r>
        <w:t>Here, the incentive is directly related to the slope of the penalty function: a greater slope indicates a greater change in credit reallocation for the same change in bycatch rate.</w:t>
      </w:r>
    </w:p>
    <w:p w14:paraId="3B481598" w14:textId="77777777" w:rsidR="00630AC7" w:rsidRDefault="00443097" w:rsidP="00443097">
      <w:r w:rsidRPr="00443097">
        <w:rPr>
          <w:noProof/>
        </w:rPr>
        <w:drawing>
          <wp:inline distT="0" distB="0" distL="0" distR="0" wp14:anchorId="09D80893" wp14:editId="3FCD959E">
            <wp:extent cx="5486400" cy="3833331"/>
            <wp:effectExtent l="0" t="0" r="0" b="0"/>
            <wp:docPr id="1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7714979" w14:textId="77777777" w:rsidR="00443097" w:rsidRDefault="00443097" w:rsidP="00A51BD2">
      <w:pPr>
        <w:pStyle w:val="Caption"/>
        <w:ind w:left="720"/>
        <w:rPr>
          <w:b w:val="0"/>
          <w:sz w:val="24"/>
        </w:rPr>
      </w:pPr>
      <w:r w:rsidRPr="00A51BD2">
        <w:rPr>
          <w:sz w:val="24"/>
        </w:rPr>
        <w:t xml:space="preserve">Figure A- </w:t>
      </w:r>
      <w:r w:rsidR="00866D32" w:rsidRPr="00A51BD2">
        <w:rPr>
          <w:sz w:val="24"/>
        </w:rPr>
        <w:fldChar w:fldCharType="begin"/>
      </w:r>
      <w:r w:rsidRPr="00A51BD2">
        <w:rPr>
          <w:sz w:val="24"/>
        </w:rPr>
        <w:instrText xml:space="preserve"> SEQ Figure_A- \* ARABIC </w:instrText>
      </w:r>
      <w:r w:rsidR="00866D32" w:rsidRPr="00A51BD2">
        <w:rPr>
          <w:sz w:val="24"/>
        </w:rPr>
        <w:fldChar w:fldCharType="separate"/>
      </w:r>
      <w:r w:rsidR="001B0374">
        <w:rPr>
          <w:noProof/>
          <w:sz w:val="24"/>
        </w:rPr>
        <w:t>1</w:t>
      </w:r>
      <w:r w:rsidR="00866D32" w:rsidRPr="00A51BD2">
        <w:rPr>
          <w:sz w:val="24"/>
        </w:rPr>
        <w:fldChar w:fldCharType="end"/>
      </w:r>
      <w:r w:rsidRPr="00A51BD2">
        <w:rPr>
          <w:sz w:val="24"/>
        </w:rPr>
        <w:t xml:space="preserve">.  </w:t>
      </w:r>
      <w:r w:rsidRPr="00A51BD2">
        <w:rPr>
          <w:b w:val="0"/>
          <w:sz w:val="24"/>
        </w:rPr>
        <w:t>A linear penalty function truncated at z-scores of +2 and -2.  Because the slope of the penalty function is equal for all z-scores, all vessels have equal incentive to reduce bycatch</w:t>
      </w:r>
      <w:r w:rsidR="00537196" w:rsidRPr="00A51BD2">
        <w:rPr>
          <w:b w:val="0"/>
          <w:sz w:val="24"/>
        </w:rPr>
        <w:t xml:space="preserve"> regardless of their position in the pack</w:t>
      </w:r>
      <w:r w:rsidRPr="00A51BD2">
        <w:rPr>
          <w:b w:val="0"/>
          <w:sz w:val="24"/>
        </w:rPr>
        <w:t>.</w:t>
      </w:r>
    </w:p>
    <w:p w14:paraId="301C9E52" w14:textId="77777777" w:rsidR="00A51BD2" w:rsidRPr="00A51BD2" w:rsidRDefault="00A51BD2" w:rsidP="00A51BD2"/>
    <w:p w14:paraId="54F270D3" w14:textId="77777777" w:rsidR="00630AC7" w:rsidRDefault="00630AC7" w:rsidP="00630AC7">
      <w:pPr>
        <w:ind w:left="360"/>
      </w:pPr>
      <w:r>
        <w:t>An alternative penalty function was considered that uses each vessel’s z-score to compute a cumulative p-value based on a normal distribution</w:t>
      </w:r>
      <w:r w:rsidR="00671026">
        <w:t xml:space="preserve">.  </w:t>
      </w:r>
      <w:r>
        <w:t>This penalty function would create the highest incentives in any year to the most vessels</w:t>
      </w:r>
      <w:r w:rsidR="00671026">
        <w:t xml:space="preserve">.  </w:t>
      </w:r>
      <w:r>
        <w:t>These are the vessels in the middle of the pack can move up and down in Q value more quickly than those at the extremes</w:t>
      </w:r>
      <w:r w:rsidR="00671026">
        <w:t xml:space="preserve">.  </w:t>
      </w:r>
      <w:r>
        <w:t>It also protects vessels that are at the extremes (in particular the lower extreme of high encounter rates)</w:t>
      </w:r>
      <w:r w:rsidR="00671026">
        <w:t xml:space="preserve">.  </w:t>
      </w:r>
      <w:r>
        <w:t>This is a way to helping to buffer against bad luck</w:t>
      </w:r>
      <w:r w:rsidR="00671026">
        <w:t xml:space="preserve">.  </w:t>
      </w:r>
      <w:r w:rsidRPr="007229F7">
        <w:t>That is, with this form of Q incentive to improve is large for the</w:t>
      </w:r>
      <w:r w:rsidR="00D107D9">
        <w:t xml:space="preserve"> most vessels, and “occasional”</w:t>
      </w:r>
      <w:r w:rsidRPr="007229F7">
        <w:t xml:space="preserve"> accidents are buffered</w:t>
      </w:r>
      <w:r w:rsidR="00671026">
        <w:t xml:space="preserve">.  </w:t>
      </w:r>
      <w:r w:rsidRPr="007229F7">
        <w:t>The main disadvantage is that it exposes the average player to more variation</w:t>
      </w:r>
      <w:r w:rsidR="00671026">
        <w:t xml:space="preserve">.  </w:t>
      </w:r>
      <w:r w:rsidRPr="007229F7">
        <w:t>More incentive and more variation are two sides of the same coin.</w:t>
      </w:r>
    </w:p>
    <w:p w14:paraId="73DF41F7" w14:textId="77777777" w:rsidR="00630AC7" w:rsidRDefault="00630AC7" w:rsidP="00630AC7">
      <w:pPr>
        <w:ind w:left="360"/>
      </w:pPr>
    </w:p>
    <w:p w14:paraId="56F28F79" w14:textId="77777777" w:rsidR="00B16DFE" w:rsidRDefault="00B16DFE" w:rsidP="00B16DFE">
      <w:r w:rsidRPr="00B16DFE">
        <w:rPr>
          <w:noProof/>
        </w:rPr>
        <w:drawing>
          <wp:inline distT="0" distB="0" distL="0" distR="0" wp14:anchorId="4CF19A4D" wp14:editId="6BB955E2">
            <wp:extent cx="5486400" cy="3833331"/>
            <wp:effectExtent l="0" t="0" r="0" b="0"/>
            <wp:docPr id="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27700C8" w14:textId="77777777" w:rsidR="00CA05CB" w:rsidRPr="003A1D22" w:rsidRDefault="00065897" w:rsidP="003A1D22">
      <w:pPr>
        <w:pStyle w:val="Caption"/>
        <w:ind w:left="720"/>
        <w:rPr>
          <w:sz w:val="24"/>
        </w:rPr>
      </w:pPr>
      <w:r w:rsidRPr="003A1D22">
        <w:rPr>
          <w:sz w:val="24"/>
        </w:rPr>
        <w:t xml:space="preserve">Figure A- </w:t>
      </w:r>
      <w:r w:rsidR="00866D32" w:rsidRPr="003A1D22">
        <w:rPr>
          <w:sz w:val="24"/>
        </w:rPr>
        <w:fldChar w:fldCharType="begin"/>
      </w:r>
      <w:r w:rsidRPr="003A1D22">
        <w:rPr>
          <w:sz w:val="24"/>
        </w:rPr>
        <w:instrText xml:space="preserve"> SEQ Figure_A- \* ARABIC </w:instrText>
      </w:r>
      <w:r w:rsidR="00866D32" w:rsidRPr="003A1D22">
        <w:rPr>
          <w:sz w:val="24"/>
        </w:rPr>
        <w:fldChar w:fldCharType="separate"/>
      </w:r>
      <w:r w:rsidR="001B0374">
        <w:rPr>
          <w:noProof/>
          <w:sz w:val="24"/>
        </w:rPr>
        <w:t>2</w:t>
      </w:r>
      <w:r w:rsidR="00866D32" w:rsidRPr="003A1D22">
        <w:rPr>
          <w:sz w:val="24"/>
        </w:rPr>
        <w:fldChar w:fldCharType="end"/>
      </w:r>
      <w:r w:rsidRPr="003A1D22">
        <w:rPr>
          <w:sz w:val="24"/>
        </w:rPr>
        <w:t xml:space="preserve">.  </w:t>
      </w:r>
      <w:r w:rsidRPr="003A1D22">
        <w:rPr>
          <w:b w:val="0"/>
          <w:sz w:val="24"/>
        </w:rPr>
        <w:t>A penalty function computed as the cumulative p-value of the z-score.  The slope is highest in the middle: therefore the largest incentives are for vessels in the middle of the pack.</w:t>
      </w:r>
    </w:p>
    <w:p w14:paraId="1A65BABF" w14:textId="77777777" w:rsidR="00B16DFE" w:rsidRDefault="00B16DFE" w:rsidP="00630AC7">
      <w:pPr>
        <w:ind w:left="360"/>
      </w:pPr>
    </w:p>
    <w:p w14:paraId="4BB9ECCE" w14:textId="77777777" w:rsidR="00630AC7" w:rsidRDefault="00630AC7" w:rsidP="00630AC7">
      <w:pPr>
        <w:ind w:left="360"/>
      </w:pPr>
      <w:r>
        <w:t>Another possibility is to construct a function for Q that is flat in the middle so that average vessels will see very little change (the fleet will have less incentive) and so that the extreme bad luck year is more readily penalized</w:t>
      </w:r>
      <w:r w:rsidR="00671026">
        <w:t xml:space="preserve">.  </w:t>
      </w:r>
      <w:r>
        <w:t>The advantage of this kind of function is that it will dampen the effects of random chance for the middle of the pack but at the cost of creating less incentive for the pack as a whole to improve</w:t>
      </w:r>
      <w:r w:rsidR="00671026">
        <w:t xml:space="preserve">.  </w:t>
      </w:r>
      <w:r>
        <w:t>Overall, tinkering with Q makes more sense in systems that lack a legacy component to help buffer random events</w:t>
      </w:r>
      <w:r w:rsidR="00671026">
        <w:t xml:space="preserve">.  </w:t>
      </w:r>
      <w:r>
        <w:t>Though modifying Q still might merit some additional experimentation, t</w:t>
      </w:r>
      <w:r w:rsidRPr="007229F7">
        <w:t xml:space="preserve">he main idea is to create incentives to shift the whole fleet over to have lower </w:t>
      </w:r>
      <w:r>
        <w:t>bycatch</w:t>
      </w:r>
      <w:r w:rsidR="00D33055">
        <w:t xml:space="preserve"> from year to year</w:t>
      </w:r>
      <w:r w:rsidR="00671026">
        <w:t xml:space="preserve">.  </w:t>
      </w:r>
      <w:r w:rsidRPr="007229F7">
        <w:t>That said, the real issue is not so much what the p-value is (how sensitive it is to changes in z-score) but how the "allocation" actually varies, and the legacy system gives some buffering capacity there.</w:t>
      </w:r>
    </w:p>
    <w:p w14:paraId="36BE7640" w14:textId="77777777" w:rsidR="00630AC7" w:rsidRDefault="00630AC7" w:rsidP="00630AC7">
      <w:pPr>
        <w:ind w:left="360"/>
      </w:pPr>
    </w:p>
    <w:p w14:paraId="43CB3FCE" w14:textId="77777777" w:rsidR="000501E7" w:rsidRDefault="00304B1B" w:rsidP="000501E7">
      <w:pPr>
        <w:pStyle w:val="ListParagraph"/>
        <w:numPr>
          <w:ilvl w:val="0"/>
          <w:numId w:val="20"/>
        </w:numPr>
        <w:tabs>
          <w:tab w:val="left" w:pos="360"/>
        </w:tabs>
      </w:pPr>
      <w:r>
        <w:t>Computation of z-scores:</w:t>
      </w:r>
    </w:p>
    <w:p w14:paraId="675B9168" w14:textId="77777777" w:rsidR="000501E7" w:rsidRDefault="000501E7" w:rsidP="000501E7">
      <w:pPr>
        <w:ind w:left="360"/>
      </w:pPr>
      <w:r>
        <w:t xml:space="preserve">The variance in bycatch rates between vessels can be attributed in part to </w:t>
      </w:r>
      <w:r w:rsidRPr="005B6045">
        <w:rPr>
          <w:i/>
        </w:rPr>
        <w:t xml:space="preserve">chance encounters </w:t>
      </w:r>
      <w:r>
        <w:t xml:space="preserve">with patchy pockets of Chinook salmon (which is related in part to sample size effects or sampling variation and vessel size), and in part to </w:t>
      </w:r>
      <w:r w:rsidRPr="005B6045">
        <w:rPr>
          <w:i/>
        </w:rPr>
        <w:t>consistent beha</w:t>
      </w:r>
      <w:r w:rsidRPr="00FC5B38">
        <w:rPr>
          <w:i/>
        </w:rPr>
        <w:t>viors</w:t>
      </w:r>
      <w:r>
        <w:t xml:space="preserve"> shown by vessels that appear to directly influence bycatch rates (caution in gear deployment, locational choices, timing etc).</w:t>
      </w:r>
    </w:p>
    <w:p w14:paraId="3EE63F3D" w14:textId="77777777" w:rsidR="000501E7" w:rsidRDefault="000501E7" w:rsidP="000501E7">
      <w:pPr>
        <w:ind w:left="360"/>
      </w:pPr>
    </w:p>
    <w:p w14:paraId="2214D5B0" w14:textId="77777777" w:rsidR="00304B1B" w:rsidRDefault="00304B1B" w:rsidP="000501E7">
      <w:pPr>
        <w:tabs>
          <w:tab w:val="left" w:pos="360"/>
        </w:tabs>
        <w:ind w:left="360"/>
      </w:pPr>
      <w:r>
        <w:t>One reasonable expectation of the Industry Market-Incentive Plan is for the distribution of bycatch rates among vessels to decrease over time as vessels exploit the same behavioral changes to reduce bycatch rates</w:t>
      </w:r>
      <w:r w:rsidR="00671026">
        <w:t xml:space="preserve">.  </w:t>
      </w:r>
      <w:r>
        <w:t>A larger proportion of the variation in bycatch rates would then be due to random chance and not intentional behavior on the part of vessels</w:t>
      </w:r>
      <w:r w:rsidR="00671026">
        <w:t xml:space="preserve">.  </w:t>
      </w:r>
      <w:r>
        <w:t xml:space="preserve">Since z-scores are scaled to the standard deviation of the bycatch rates, large </w:t>
      </w:r>
      <w:r w:rsidR="001360AD">
        <w:t>fluctuations</w:t>
      </w:r>
      <w:r>
        <w:t xml:space="preserve"> in z-scores may become due to random chance</w:t>
      </w:r>
      <w:r w:rsidR="00671026">
        <w:t xml:space="preserve">.  </w:t>
      </w:r>
      <w:r>
        <w:t>To mitigate this problem, we use an estimated standard deviation based upon a sector-wide bycatch rate</w:t>
      </w:r>
      <w:r w:rsidR="00671026">
        <w:t xml:space="preserve">.  </w:t>
      </w:r>
      <w:r>
        <w:t>(equivalent to a weighted average of individual vessel’s bycatch rates)  This calculation is based on historical data across the Inshore Catcher-Vessel sector, the Mothership sector, and the Catcher-Processo</w:t>
      </w:r>
      <w:r w:rsidR="00873BAA">
        <w:t>r sector</w:t>
      </w:r>
      <w:r w:rsidR="00671026">
        <w:t xml:space="preserve">.  </w:t>
      </w:r>
      <w:r w:rsidR="00873BAA">
        <w:t>(</w:t>
      </w:r>
      <w:r w:rsidR="00866D32">
        <w:fldChar w:fldCharType="begin"/>
      </w:r>
      <w:r w:rsidR="00B77B85">
        <w:instrText xml:space="preserve"> REF _Ref220714206 \h </w:instrText>
      </w:r>
      <w:r w:rsidR="00866D32">
        <w:fldChar w:fldCharType="separate"/>
      </w:r>
      <w:r w:rsidR="001B0374" w:rsidRPr="00A8160E">
        <w:t xml:space="preserve">Figure A- </w:t>
      </w:r>
      <w:r w:rsidR="001B0374">
        <w:rPr>
          <w:noProof/>
        </w:rPr>
        <w:t>3</w:t>
      </w:r>
      <w:r w:rsidR="00866D32">
        <w:fldChar w:fldCharType="end"/>
      </w:r>
      <w:r>
        <w:t>)</w:t>
      </w:r>
    </w:p>
    <w:p w14:paraId="14568234" w14:textId="77777777" w:rsidR="00304B1B" w:rsidRDefault="00304B1B" w:rsidP="00AC7693">
      <w:pPr>
        <w:ind w:left="360"/>
      </w:pPr>
    </w:p>
    <w:p w14:paraId="55CDC062" w14:textId="77777777" w:rsidR="00304B1B" w:rsidRDefault="00304B1B" w:rsidP="00AC7693">
      <w:pPr>
        <w:ind w:left="360"/>
      </w:pPr>
      <w:r>
        <w:t>Because small vessels are subject to</w:t>
      </w:r>
      <w:r w:rsidR="00B77B85">
        <w:t xml:space="preserve"> more sampling error (</w:t>
      </w:r>
      <w:r w:rsidR="00866D32">
        <w:fldChar w:fldCharType="begin"/>
      </w:r>
      <w:r w:rsidR="00BA0B3A">
        <w:instrText xml:space="preserve"> REF _Ref220714240 \h </w:instrText>
      </w:r>
      <w:r w:rsidR="00866D32">
        <w:fldChar w:fldCharType="separate"/>
      </w:r>
      <w:r w:rsidR="001B0374" w:rsidRPr="000043D6">
        <w:t xml:space="preserve">Figure A- </w:t>
      </w:r>
      <w:r w:rsidR="001B0374">
        <w:rPr>
          <w:noProof/>
        </w:rPr>
        <w:t>4</w:t>
      </w:r>
      <w:r w:rsidR="00866D32">
        <w:fldChar w:fldCharType="end"/>
      </w:r>
      <w:r>
        <w:t>), we also use a corrected standard deviation to reduce the effects of random noise due to vessel size</w:t>
      </w:r>
      <w:r w:rsidR="00671026">
        <w:t xml:space="preserve">.  </w:t>
      </w:r>
      <w:r>
        <w:t>This random noise varies with the inverse square root of 1 + pollock allocation %</w:t>
      </w:r>
      <w:r w:rsidR="00671026">
        <w:t xml:space="preserve">.  </w:t>
      </w:r>
      <w:r>
        <w:t>Thus, we correct standard deviation in the following way:</w:t>
      </w:r>
    </w:p>
    <w:p w14:paraId="515A51FB" w14:textId="77777777" w:rsidR="00304B1B" w:rsidRDefault="00304B1B" w:rsidP="00AC7693">
      <w:pPr>
        <w:ind w:left="360"/>
      </w:pPr>
    </w:p>
    <w:p w14:paraId="1107F6FC" w14:textId="77777777" w:rsidR="00304B1B" w:rsidRDefault="00304B1B" w:rsidP="00AC7693">
      <w:pPr>
        <w:ind w:left="360"/>
      </w:pPr>
      <w:r>
        <w:t>sd</w:t>
      </w:r>
      <w:r>
        <w:rPr>
          <w:vertAlign w:val="subscript"/>
        </w:rPr>
        <w:t>i</w:t>
      </w:r>
      <w:r>
        <w:t xml:space="preserve"> = sd * sqrt(1 + avg</w:t>
      </w:r>
      <w:r w:rsidR="00671026">
        <w:t xml:space="preserve">.  </w:t>
      </w:r>
      <w:r>
        <w:t>pollock allocation %) / sqrt(1 + pollock allocation % of vessel i)</w:t>
      </w:r>
    </w:p>
    <w:p w14:paraId="799ACB21" w14:textId="77777777" w:rsidR="00304B1B" w:rsidRDefault="00304B1B" w:rsidP="00AC7693">
      <w:pPr>
        <w:ind w:left="360"/>
      </w:pPr>
    </w:p>
    <w:p w14:paraId="426FA9EC" w14:textId="77777777" w:rsidR="00304B1B" w:rsidRDefault="00304B1B" w:rsidP="00AC7693">
      <w:pPr>
        <w:ind w:left="360"/>
      </w:pPr>
      <w:r>
        <w:t>This adjusted standard deviation is then used to calculate the z-score for vessel i:</w:t>
      </w:r>
    </w:p>
    <w:p w14:paraId="50D6A32B" w14:textId="77777777" w:rsidR="00304B1B" w:rsidRDefault="00304B1B" w:rsidP="00AC7693">
      <w:pPr>
        <w:ind w:left="360"/>
      </w:pPr>
    </w:p>
    <w:p w14:paraId="553E79B1" w14:textId="77777777" w:rsidR="00304B1B" w:rsidRDefault="00304B1B" w:rsidP="00AC7693">
      <w:pPr>
        <w:ind w:left="360"/>
      </w:pPr>
      <w:r>
        <w:t>z</w:t>
      </w:r>
      <w:r>
        <w:rPr>
          <w:vertAlign w:val="subscript"/>
        </w:rPr>
        <w:t>i</w:t>
      </w:r>
      <w:r>
        <w:t xml:space="preserve"> = (fleet wide bycatch rate – bycatch rate of vessel i) / sd</w:t>
      </w:r>
      <w:r>
        <w:rPr>
          <w:vertAlign w:val="subscript"/>
        </w:rPr>
        <w:t>i</w:t>
      </w:r>
    </w:p>
    <w:p w14:paraId="58CF69AB" w14:textId="77777777" w:rsidR="00304B1B" w:rsidRDefault="00304B1B" w:rsidP="00AC7693">
      <w:pPr>
        <w:ind w:left="360"/>
      </w:pPr>
    </w:p>
    <w:p w14:paraId="2815B451" w14:textId="77777777" w:rsidR="00304B1B" w:rsidRDefault="00304B1B" w:rsidP="00AC7693">
      <w:pPr>
        <w:ind w:left="360"/>
      </w:pPr>
      <w:r>
        <w:t>Note that this calculation for z-score is of the opposite sign of the traditional calculation of z-scores</w:t>
      </w:r>
      <w:r w:rsidR="00671026">
        <w:t xml:space="preserve">.  </w:t>
      </w:r>
      <w:r>
        <w:t>Thus, high bycatch rates (corresponding to poor performing vessels) map to low (i.e</w:t>
      </w:r>
      <w:r w:rsidR="00671026">
        <w:t xml:space="preserve">.  </w:t>
      </w:r>
      <w:r>
        <w:t>negative) z-scores and low bycatch rates (corresponding to the best performing vessels) map to high (i.e</w:t>
      </w:r>
      <w:r w:rsidR="00671026">
        <w:t xml:space="preserve">.  </w:t>
      </w:r>
      <w:r>
        <w:t>positive) z-scores.</w:t>
      </w:r>
    </w:p>
    <w:p w14:paraId="63B3502E" w14:textId="77777777" w:rsidR="001E63F3" w:rsidRDefault="005234BD" w:rsidP="006A3A9B">
      <w:pPr>
        <w:rPr>
          <w:noProof/>
        </w:rPr>
      </w:pPr>
      <w:r w:rsidRPr="005234BD">
        <w:rPr>
          <w:noProof/>
        </w:rPr>
        <w:drawing>
          <wp:inline distT="0" distB="0" distL="0" distR="0" wp14:anchorId="4020BE1B" wp14:editId="4329E727">
            <wp:extent cx="5624423" cy="3640347"/>
            <wp:effectExtent l="0" t="0" r="0" b="0"/>
            <wp:docPr id="1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117DCDC" w14:textId="77777777" w:rsidR="007B6781" w:rsidRPr="00A8160E" w:rsidRDefault="00873BAA" w:rsidP="007D13FE">
      <w:pPr>
        <w:pStyle w:val="Caption"/>
        <w:ind w:left="720"/>
        <w:rPr>
          <w:b w:val="0"/>
          <w:sz w:val="24"/>
        </w:rPr>
      </w:pPr>
      <w:bookmarkStart w:id="9" w:name="_Ref220714206"/>
      <w:r w:rsidRPr="00A8160E">
        <w:rPr>
          <w:sz w:val="24"/>
        </w:rPr>
        <w:t xml:space="preserve">Figure A- </w:t>
      </w:r>
      <w:r w:rsidR="00866D32" w:rsidRPr="00A8160E">
        <w:rPr>
          <w:sz w:val="24"/>
        </w:rPr>
        <w:fldChar w:fldCharType="begin"/>
      </w:r>
      <w:r w:rsidRPr="00A8160E">
        <w:rPr>
          <w:sz w:val="24"/>
        </w:rPr>
        <w:instrText xml:space="preserve"> SEQ Figure_A- \* ARABIC </w:instrText>
      </w:r>
      <w:r w:rsidR="00866D32" w:rsidRPr="00A8160E">
        <w:rPr>
          <w:sz w:val="24"/>
        </w:rPr>
        <w:fldChar w:fldCharType="separate"/>
      </w:r>
      <w:r w:rsidR="001B0374">
        <w:rPr>
          <w:noProof/>
          <w:sz w:val="24"/>
        </w:rPr>
        <w:t>3</w:t>
      </w:r>
      <w:r w:rsidR="00866D32" w:rsidRPr="00A8160E">
        <w:rPr>
          <w:sz w:val="24"/>
        </w:rPr>
        <w:fldChar w:fldCharType="end"/>
      </w:r>
      <w:bookmarkEnd w:id="9"/>
      <w:r w:rsidR="00671026">
        <w:rPr>
          <w:sz w:val="24"/>
        </w:rPr>
        <w:t xml:space="preserve">.  </w:t>
      </w:r>
      <w:r w:rsidR="007B6781" w:rsidRPr="00A8160E">
        <w:rPr>
          <w:b w:val="0"/>
          <w:sz w:val="24"/>
        </w:rPr>
        <w:t>standard deviation of bycatch rates as a function of sector total bycatch rate</w:t>
      </w:r>
      <w:r w:rsidR="00671026">
        <w:rPr>
          <w:b w:val="0"/>
          <w:sz w:val="24"/>
        </w:rPr>
        <w:t xml:space="preserve">.  </w:t>
      </w:r>
      <w:r w:rsidR="009922E2">
        <w:rPr>
          <w:b w:val="0"/>
          <w:sz w:val="24"/>
        </w:rPr>
        <w:t>(A</w:t>
      </w:r>
      <w:r w:rsidR="00574F50" w:rsidRPr="00A8160E">
        <w:rPr>
          <w:b w:val="0"/>
          <w:sz w:val="24"/>
        </w:rPr>
        <w:t>nnual data from multiple sectors</w:t>
      </w:r>
      <w:r w:rsidR="00671026">
        <w:rPr>
          <w:b w:val="0"/>
          <w:sz w:val="24"/>
        </w:rPr>
        <w:t xml:space="preserve">.  </w:t>
      </w:r>
      <w:r w:rsidR="009922E2">
        <w:rPr>
          <w:b w:val="0"/>
          <w:sz w:val="24"/>
        </w:rPr>
        <w:t>Provided by</w:t>
      </w:r>
      <w:r w:rsidR="00820A85">
        <w:rPr>
          <w:b w:val="0"/>
          <w:sz w:val="24"/>
        </w:rPr>
        <w:t xml:space="preserve"> Sea State</w:t>
      </w:r>
      <w:r w:rsidR="00574F50" w:rsidRPr="00A8160E">
        <w:rPr>
          <w:b w:val="0"/>
          <w:sz w:val="24"/>
        </w:rPr>
        <w:t>)</w:t>
      </w:r>
      <w:r w:rsidR="00820A85">
        <w:rPr>
          <w:b w:val="0"/>
          <w:sz w:val="24"/>
        </w:rPr>
        <w:t>.</w:t>
      </w:r>
    </w:p>
    <w:p w14:paraId="3B80D032" w14:textId="77777777" w:rsidR="0012445F" w:rsidRPr="0012445F" w:rsidRDefault="0012445F" w:rsidP="0012445F"/>
    <w:p w14:paraId="57BFD3C5" w14:textId="77777777" w:rsidR="001E63F3" w:rsidRDefault="005234BD" w:rsidP="006A3A9B">
      <w:pPr>
        <w:rPr>
          <w:noProof/>
        </w:rPr>
      </w:pPr>
      <w:r w:rsidRPr="005234BD">
        <w:rPr>
          <w:noProof/>
        </w:rPr>
        <w:drawing>
          <wp:inline distT="0" distB="0" distL="0" distR="0" wp14:anchorId="399598BD" wp14:editId="3B114EC5">
            <wp:extent cx="5943600" cy="3795623"/>
            <wp:effectExtent l="0" t="0" r="0" b="0"/>
            <wp:docPr id="19"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52C22F3" w14:textId="77777777" w:rsidR="00124968" w:rsidRPr="000043D6" w:rsidRDefault="000043D6" w:rsidP="000043D6">
      <w:pPr>
        <w:pStyle w:val="Caption"/>
        <w:ind w:left="720"/>
        <w:rPr>
          <w:b w:val="0"/>
          <w:sz w:val="24"/>
        </w:rPr>
      </w:pPr>
      <w:bookmarkStart w:id="10" w:name="_Ref220714240"/>
      <w:r w:rsidRPr="000043D6">
        <w:rPr>
          <w:sz w:val="24"/>
        </w:rPr>
        <w:t xml:space="preserve">Figure A- </w:t>
      </w:r>
      <w:r w:rsidR="00866D32" w:rsidRPr="000043D6">
        <w:rPr>
          <w:sz w:val="24"/>
        </w:rPr>
        <w:fldChar w:fldCharType="begin"/>
      </w:r>
      <w:r w:rsidRPr="000043D6">
        <w:rPr>
          <w:sz w:val="24"/>
        </w:rPr>
        <w:instrText xml:space="preserve"> SEQ Figure_A- \* ARABIC </w:instrText>
      </w:r>
      <w:r w:rsidR="00866D32" w:rsidRPr="000043D6">
        <w:rPr>
          <w:sz w:val="24"/>
        </w:rPr>
        <w:fldChar w:fldCharType="separate"/>
      </w:r>
      <w:r w:rsidR="001B0374">
        <w:rPr>
          <w:noProof/>
          <w:sz w:val="24"/>
        </w:rPr>
        <w:t>4</w:t>
      </w:r>
      <w:r w:rsidR="00866D32" w:rsidRPr="000043D6">
        <w:rPr>
          <w:sz w:val="24"/>
        </w:rPr>
        <w:fldChar w:fldCharType="end"/>
      </w:r>
      <w:bookmarkEnd w:id="10"/>
      <w:r w:rsidR="00671026">
        <w:rPr>
          <w:sz w:val="24"/>
        </w:rPr>
        <w:t xml:space="preserve">.  </w:t>
      </w:r>
      <w:r w:rsidR="00124968" w:rsidRPr="000043D6">
        <w:rPr>
          <w:b w:val="0"/>
          <w:sz w:val="24"/>
        </w:rPr>
        <w:t>Smaller vessels show higher variability in bycatch rates</w:t>
      </w:r>
      <w:r w:rsidR="00671026">
        <w:rPr>
          <w:b w:val="0"/>
          <w:sz w:val="24"/>
        </w:rPr>
        <w:t xml:space="preserve">.  </w:t>
      </w:r>
      <w:r w:rsidR="00124968" w:rsidRPr="000043D6">
        <w:rPr>
          <w:b w:val="0"/>
          <w:sz w:val="24"/>
        </w:rPr>
        <w:t>(annual data)</w:t>
      </w:r>
    </w:p>
    <w:p w14:paraId="3945C42E" w14:textId="77777777" w:rsidR="00493074" w:rsidRDefault="00493074" w:rsidP="006A3A9B"/>
    <w:p w14:paraId="4483F4F3" w14:textId="77777777" w:rsidR="006A3A9B" w:rsidRDefault="00321973" w:rsidP="0087647A">
      <w:pPr>
        <w:tabs>
          <w:tab w:val="left" w:pos="360"/>
        </w:tabs>
      </w:pPr>
      <w:r>
        <w:t>5</w:t>
      </w:r>
      <w:r w:rsidR="0087647A">
        <w:t>)</w:t>
      </w:r>
      <w:r w:rsidR="0087647A">
        <w:tab/>
      </w:r>
      <w:r w:rsidR="006A3A9B">
        <w:t xml:space="preserve">Convergence: </w:t>
      </w:r>
    </w:p>
    <w:p w14:paraId="1558D8C2" w14:textId="77777777" w:rsidR="006A3A9B" w:rsidRDefault="006A3A9B" w:rsidP="006A3A9B">
      <w:pPr>
        <w:ind w:left="360"/>
      </w:pPr>
      <w:r>
        <w:t>The legacy weighting not only affects the magnitude of the variance in credit allocations P, (a smaller γ results in lower year to year variation in P), but it also affects the rate at which one can move in the pack in terms of allocations due to directed behavior</w:t>
      </w:r>
      <w:r w:rsidR="00671026">
        <w:t xml:space="preserve">.  </w:t>
      </w:r>
      <w:r w:rsidR="005C107D">
        <w:t>The graphs below (Fig A-3</w:t>
      </w:r>
      <w:r>
        <w:t>a,b) show the extreme cases realized by the two different weighting schemes: (1/3, 1/3, 1/3) and (1/4, 1/2, 1/4)</w:t>
      </w:r>
      <w:r w:rsidR="00671026">
        <w:t xml:space="preserve">.  </w:t>
      </w:r>
      <w:r w:rsidR="009557E2">
        <w:t>There is little substantial difference between these schemes and</w:t>
      </w:r>
    </w:p>
    <w:p w14:paraId="0C805316" w14:textId="77777777" w:rsidR="006A3A9B" w:rsidRDefault="006A3A9B" w:rsidP="006A3A9B">
      <w:pPr>
        <w:ind w:left="360"/>
      </w:pPr>
    </w:p>
    <w:p w14:paraId="320026D8" w14:textId="77777777" w:rsidR="006A3A9B" w:rsidRDefault="006A3A9B" w:rsidP="006A3A9B">
      <w:pPr>
        <w:ind w:left="360"/>
      </w:pPr>
      <w:r>
        <w:t>If one uses the weighting scheme (1/3/, 1/3, 1/3) the legacy component receives less weig</w:t>
      </w:r>
      <w:r w:rsidR="000B0F62">
        <w:t>ht than (1/4, 1/2, 1/4), and incentives are increased (larger change in allocations from year-to-year)</w:t>
      </w:r>
      <w:r w:rsidR="00671026">
        <w:t xml:space="preserve">.  </w:t>
      </w:r>
      <w:r w:rsidR="000B0F62">
        <w:t>However, fluctuations in allocation due to random noise affecting bycatch rates are similarly magnified and should be taken into account when choosing a weighting system</w:t>
      </w:r>
    </w:p>
    <w:p w14:paraId="4ADEFA9E" w14:textId="77777777" w:rsidR="000B0F62" w:rsidRDefault="000B0F62" w:rsidP="006A3A9B">
      <w:pPr>
        <w:ind w:left="360"/>
      </w:pPr>
    </w:p>
    <w:p w14:paraId="67416A8B" w14:textId="77777777" w:rsidR="000B0F62" w:rsidRDefault="009557E2" w:rsidP="006A3A9B">
      <w:pPr>
        <w:ind w:left="360"/>
      </w:pPr>
      <w:r>
        <w:t>A degenerate</w:t>
      </w:r>
      <w:r w:rsidR="00D37110">
        <w:t xml:space="preserve"> </w:t>
      </w:r>
      <w:r w:rsidR="00177C9E">
        <w:t>form (eqn</w:t>
      </w:r>
      <w:r w:rsidR="00671026">
        <w:t xml:space="preserve">.  </w:t>
      </w:r>
      <w:r w:rsidR="00177C9E">
        <w:t>4) of the Legacy Allocation formula creates equal incentive for the same perfor</w:t>
      </w:r>
      <w:r w:rsidR="00B36D69">
        <w:t>mance regardless of the previous season’s</w:t>
      </w:r>
      <w:r w:rsidR="00665CCE">
        <w:t xml:space="preserve"> credit proportion</w:t>
      </w:r>
      <w:r w:rsidR="00671026">
        <w:t xml:space="preserve">.  </w:t>
      </w:r>
      <w:r w:rsidR="00B36D69">
        <w:t xml:space="preserve">This form has </w:t>
      </w:r>
      <w:r w:rsidR="00665CCE">
        <w:t>changes in credit</w:t>
      </w:r>
      <w:r w:rsidR="00665CCE" w:rsidRPr="00665CCE">
        <w:t xml:space="preserve"> </w:t>
      </w:r>
      <w:r w:rsidR="00665CCE">
        <w:t>proportion</w:t>
      </w:r>
      <w:r w:rsidR="00B36D69">
        <w:t xml:space="preserve"> computed solely based on the current season’s relative bycatch rate</w:t>
      </w:r>
      <w:r w:rsidR="00671026">
        <w:t xml:space="preserve">.  </w:t>
      </w:r>
      <w:r w:rsidR="0044396F">
        <w:t>In order to achieve the same asymptotic bounds of [2/3, 4/3], we set hard limits on the va</w:t>
      </w:r>
      <w:r w:rsidR="00EA1D01">
        <w:t>lues of P, the credit proportion</w:t>
      </w:r>
      <w:r w:rsidR="0044396F">
        <w:t>.</w:t>
      </w:r>
    </w:p>
    <w:p w14:paraId="53A14CF5" w14:textId="77777777" w:rsidR="006A3A9B" w:rsidRDefault="006A3A9B" w:rsidP="006A3A9B"/>
    <w:p w14:paraId="6E123382" w14:textId="77777777" w:rsidR="006A3A9B" w:rsidRDefault="00C03055" w:rsidP="005B1F12">
      <w:pPr>
        <w:jc w:val="center"/>
      </w:pPr>
      <w:r w:rsidRPr="00C03055">
        <w:rPr>
          <w:noProof/>
        </w:rPr>
        <w:drawing>
          <wp:inline distT="0" distB="0" distL="0" distR="0" wp14:anchorId="2207B9AE" wp14:editId="1D6B0115">
            <wp:extent cx="4229100" cy="2876550"/>
            <wp:effectExtent l="2540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B4F00A1" w14:textId="77777777" w:rsidR="004558BF" w:rsidRDefault="004558BF" w:rsidP="005B1F12">
      <w:pPr>
        <w:jc w:val="center"/>
      </w:pPr>
    </w:p>
    <w:p w14:paraId="30D80AD0" w14:textId="77777777" w:rsidR="004558BF" w:rsidRPr="004558BF" w:rsidRDefault="004558BF" w:rsidP="004558BF">
      <w:pPr>
        <w:pStyle w:val="Caption"/>
        <w:ind w:left="720"/>
        <w:rPr>
          <w:sz w:val="24"/>
        </w:rPr>
      </w:pPr>
      <w:bookmarkStart w:id="11" w:name="_Ref220800288"/>
      <w:r w:rsidRPr="004558BF">
        <w:rPr>
          <w:sz w:val="24"/>
        </w:rPr>
        <w:t xml:space="preserve">Figure A- </w:t>
      </w:r>
      <w:r w:rsidR="00866D32" w:rsidRPr="004558BF">
        <w:rPr>
          <w:sz w:val="24"/>
        </w:rPr>
        <w:fldChar w:fldCharType="begin"/>
      </w:r>
      <w:r w:rsidRPr="004558BF">
        <w:rPr>
          <w:sz w:val="24"/>
        </w:rPr>
        <w:instrText xml:space="preserve"> SEQ Figure_A- \* ARABIC </w:instrText>
      </w:r>
      <w:r w:rsidR="00866D32" w:rsidRPr="004558BF">
        <w:rPr>
          <w:sz w:val="24"/>
        </w:rPr>
        <w:fldChar w:fldCharType="separate"/>
      </w:r>
      <w:r w:rsidR="001B0374">
        <w:rPr>
          <w:noProof/>
          <w:sz w:val="24"/>
        </w:rPr>
        <w:t>5</w:t>
      </w:r>
      <w:r w:rsidR="00866D32" w:rsidRPr="004558BF">
        <w:rPr>
          <w:sz w:val="24"/>
        </w:rPr>
        <w:fldChar w:fldCharType="end"/>
      </w:r>
      <w:bookmarkEnd w:id="11"/>
      <w:r w:rsidRPr="004558BF">
        <w:rPr>
          <w:sz w:val="24"/>
        </w:rPr>
        <w:t xml:space="preserve">.  </w:t>
      </w:r>
      <w:r w:rsidRPr="004558BF">
        <w:rPr>
          <w:b w:val="0"/>
          <w:sz w:val="24"/>
        </w:rPr>
        <w:t>Comparison of two weightings of the legacy component.  Assuming p</w:t>
      </w:r>
      <w:r w:rsidRPr="004558BF">
        <w:rPr>
          <w:b w:val="0"/>
          <w:sz w:val="24"/>
          <w:vertAlign w:val="subscript"/>
        </w:rPr>
        <w:t>i</w:t>
      </w:r>
      <w:r w:rsidRPr="004558BF">
        <w:rPr>
          <w:b w:val="0"/>
          <w:sz w:val="24"/>
        </w:rPr>
        <w:t>=0, worst case.  The more heavily weighted legacy component converges slower.</w:t>
      </w:r>
      <w:r w:rsidR="00184DF4" w:rsidRPr="00184DF4">
        <w:rPr>
          <w:noProof/>
        </w:rPr>
        <w:t xml:space="preserve"> </w:t>
      </w:r>
    </w:p>
    <w:p w14:paraId="6B239DBC" w14:textId="77777777" w:rsidR="006A3A9B" w:rsidRPr="00DA0185" w:rsidRDefault="006A3A9B" w:rsidP="006A3A9B"/>
    <w:p w14:paraId="50671CC6" w14:textId="77777777" w:rsidR="006A3A9B" w:rsidRDefault="00184DF4" w:rsidP="0083061F">
      <w:pPr>
        <w:jc w:val="center"/>
      </w:pPr>
      <w:r w:rsidRPr="00E8622F">
        <w:rPr>
          <w:noProof/>
        </w:rPr>
        <w:drawing>
          <wp:inline distT="0" distB="0" distL="0" distR="0" wp14:anchorId="2D15574D" wp14:editId="26C2E231">
            <wp:extent cx="4229100" cy="2867025"/>
            <wp:effectExtent l="25400" t="0" r="0" b="0"/>
            <wp:docPr id="2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EC7ABED" w14:textId="77777777" w:rsidR="006A3A9B" w:rsidRPr="005F4145" w:rsidRDefault="005F4145" w:rsidP="005F4145">
      <w:pPr>
        <w:pStyle w:val="Caption"/>
        <w:ind w:left="720"/>
        <w:rPr>
          <w:b w:val="0"/>
          <w:sz w:val="24"/>
        </w:rPr>
      </w:pPr>
      <w:r w:rsidRPr="005F4145">
        <w:rPr>
          <w:sz w:val="24"/>
        </w:rPr>
        <w:t xml:space="preserve">Figure A- </w:t>
      </w:r>
      <w:r w:rsidR="00866D32" w:rsidRPr="005F4145">
        <w:rPr>
          <w:sz w:val="24"/>
        </w:rPr>
        <w:fldChar w:fldCharType="begin"/>
      </w:r>
      <w:r w:rsidRPr="005F4145">
        <w:rPr>
          <w:sz w:val="24"/>
        </w:rPr>
        <w:instrText xml:space="preserve"> SEQ Figure_A- \* ARABIC </w:instrText>
      </w:r>
      <w:r w:rsidR="00866D32" w:rsidRPr="005F4145">
        <w:rPr>
          <w:sz w:val="24"/>
        </w:rPr>
        <w:fldChar w:fldCharType="separate"/>
      </w:r>
      <w:r w:rsidR="001B0374">
        <w:rPr>
          <w:noProof/>
          <w:sz w:val="24"/>
        </w:rPr>
        <w:t>6</w:t>
      </w:r>
      <w:r w:rsidR="00866D32" w:rsidRPr="005F4145">
        <w:rPr>
          <w:sz w:val="24"/>
        </w:rPr>
        <w:fldChar w:fldCharType="end"/>
      </w:r>
      <w:r w:rsidRPr="005F4145">
        <w:rPr>
          <w:sz w:val="24"/>
        </w:rPr>
        <w:t xml:space="preserve">.  </w:t>
      </w:r>
      <w:r w:rsidR="006A3A9B" w:rsidRPr="005F4145">
        <w:rPr>
          <w:b w:val="0"/>
          <w:sz w:val="24"/>
        </w:rPr>
        <w:t>Comparison of two weightings of of the legacy component</w:t>
      </w:r>
      <w:r w:rsidR="00671026" w:rsidRPr="005F4145">
        <w:rPr>
          <w:b w:val="0"/>
          <w:sz w:val="24"/>
        </w:rPr>
        <w:t xml:space="preserve">.  </w:t>
      </w:r>
      <w:r w:rsidR="006A3A9B" w:rsidRPr="005F4145">
        <w:rPr>
          <w:b w:val="0"/>
          <w:sz w:val="24"/>
        </w:rPr>
        <w:t>Assuming p</w:t>
      </w:r>
      <w:r w:rsidR="006A3A9B" w:rsidRPr="005F4145">
        <w:rPr>
          <w:b w:val="0"/>
          <w:sz w:val="24"/>
          <w:vertAlign w:val="subscript"/>
        </w:rPr>
        <w:t>i</w:t>
      </w:r>
      <w:r w:rsidR="006A3A9B" w:rsidRPr="005F4145">
        <w:rPr>
          <w:b w:val="0"/>
          <w:sz w:val="24"/>
        </w:rPr>
        <w:t>=1, best case</w:t>
      </w:r>
      <w:r w:rsidR="00671026" w:rsidRPr="005F4145">
        <w:rPr>
          <w:b w:val="0"/>
          <w:sz w:val="24"/>
        </w:rPr>
        <w:t xml:space="preserve">.  </w:t>
      </w:r>
      <w:r w:rsidR="006A3A9B" w:rsidRPr="005F4145">
        <w:rPr>
          <w:b w:val="0"/>
          <w:sz w:val="24"/>
        </w:rPr>
        <w:t>The more heavily weighted legacy component converges slower.</w:t>
      </w:r>
    </w:p>
    <w:p w14:paraId="6D1B6E53" w14:textId="77777777" w:rsidR="006A3A9B" w:rsidRDefault="006A3A9B"/>
    <w:p w14:paraId="50644E14" w14:textId="77777777" w:rsidR="000022E2" w:rsidRDefault="000022E2"/>
    <w:p w14:paraId="33142CB5" w14:textId="77777777" w:rsidR="000022E2" w:rsidRDefault="000022E2"/>
    <w:p w14:paraId="2803F49F" w14:textId="77777777" w:rsidR="000022E2" w:rsidRDefault="000022E2"/>
    <w:p w14:paraId="3ACC3B93" w14:textId="77777777" w:rsidR="000022E2" w:rsidRDefault="000022E2"/>
    <w:p w14:paraId="481638A4" w14:textId="77777777" w:rsidR="000022E2" w:rsidRDefault="000022E2"/>
    <w:p w14:paraId="1787B4F0" w14:textId="77777777" w:rsidR="000022E2" w:rsidRDefault="000022E2">
      <w:r>
        <w:t xml:space="preserve">6) Incentives in the False Legacy Model: </w:t>
      </w:r>
      <w:r>
        <w:tab/>
      </w:r>
    </w:p>
    <w:p w14:paraId="4C3507FF" w14:textId="77777777" w:rsidR="00184DF4" w:rsidRDefault="000022E2" w:rsidP="000022E2">
      <w:pPr>
        <w:ind w:left="720" w:firstLine="720"/>
      </w:pPr>
      <w:r>
        <w:t>P</w:t>
      </w:r>
      <w:r w:rsidRPr="0005214D">
        <w:rPr>
          <w:vertAlign w:val="subscript"/>
        </w:rPr>
        <w:t>s, y, i</w:t>
      </w:r>
      <w:r>
        <w:t xml:space="preserve"> = P</w:t>
      </w:r>
      <w:r w:rsidRPr="0005214D">
        <w:rPr>
          <w:vertAlign w:val="subscript"/>
        </w:rPr>
        <w:t>s, y-1, i</w:t>
      </w:r>
      <w:r>
        <w:t xml:space="preserve"> + Q</w:t>
      </w:r>
      <w:r w:rsidRPr="0005214D">
        <w:rPr>
          <w:vertAlign w:val="subscript"/>
        </w:rPr>
        <w:t xml:space="preserve">s, y-1, </w:t>
      </w:r>
      <w:r>
        <w:rPr>
          <w:vertAlign w:val="subscript"/>
        </w:rPr>
        <w:t>I</w:t>
      </w:r>
      <w:r>
        <w:t xml:space="preserve">   </w:t>
      </w:r>
      <w:r>
        <w:tab/>
      </w:r>
      <w:r>
        <w:tab/>
      </w:r>
      <w:r>
        <w:tab/>
      </w:r>
      <w:r>
        <w:tab/>
        <w:t>(4)</w:t>
      </w:r>
    </w:p>
    <w:p w14:paraId="29808CF1" w14:textId="77777777" w:rsidR="000022E2" w:rsidRDefault="000022E2" w:rsidP="000022E2">
      <w:pPr>
        <w:ind w:left="720" w:firstLine="720"/>
      </w:pPr>
    </w:p>
    <w:p w14:paraId="43ABC215" w14:textId="77777777" w:rsidR="000022E2" w:rsidRDefault="000022E2">
      <w:pPr>
        <w:rPr>
          <w:rFonts w:cs="Helvetica"/>
        </w:rPr>
      </w:pPr>
      <w:r w:rsidRPr="006447C3">
        <w:rPr>
          <w:rFonts w:cs="Helvetica"/>
        </w:rPr>
        <w:t xml:space="preserve">The "false legacy allocation" (eqn 4) does not contain cumulative incentives to continue improving bycatch rates.  </w:t>
      </w:r>
      <w:r>
        <w:rPr>
          <w:rFonts w:cs="Helvetica"/>
        </w:rPr>
        <w:t xml:space="preserve">To see this, simply notice that </w:t>
      </w:r>
      <w:r w:rsidRPr="006447C3">
        <w:rPr>
          <w:rFonts w:cs="Helvetica"/>
        </w:rPr>
        <w:t>having a bycatch rate near the middle of the pack results in no change in proportional allocation</w:t>
      </w:r>
      <w:r>
        <w:rPr>
          <w:rFonts w:cs="Helvetica"/>
        </w:rPr>
        <w:t xml:space="preserve"> (Q=0)</w:t>
      </w:r>
      <w:r w:rsidRPr="006447C3">
        <w:rPr>
          <w:rFonts w:cs="Helvetica"/>
        </w:rPr>
        <w:t xml:space="preserve">.  This property poses a problem for vessels that initially do well (have low encounter rates; improving proportional allocation) and then "slack off": as long as these vessels do not have bycatch rates </w:t>
      </w:r>
      <w:r w:rsidRPr="006447C3">
        <w:rPr>
          <w:rFonts w:cs="Helvetica"/>
          <w:i/>
          <w:iCs/>
        </w:rPr>
        <w:t>higher than average</w:t>
      </w:r>
      <w:r w:rsidRPr="006447C3">
        <w:rPr>
          <w:rFonts w:cs="Helvetica"/>
        </w:rPr>
        <w:t xml:space="preserve">, their proportional allocation factor will </w:t>
      </w:r>
      <w:r w:rsidRPr="006447C3">
        <w:rPr>
          <w:rFonts w:cs="Helvetica"/>
          <w:i/>
          <w:iCs/>
        </w:rPr>
        <w:t>not decrease</w:t>
      </w:r>
      <w:r w:rsidRPr="006447C3">
        <w:rPr>
          <w:rFonts w:cs="Helvetica"/>
        </w:rPr>
        <w:t xml:space="preserve">.  </w:t>
      </w:r>
    </w:p>
    <w:p w14:paraId="2F4172E0" w14:textId="77777777" w:rsidR="000022E2" w:rsidRDefault="000022E2">
      <w:pPr>
        <w:rPr>
          <w:rFonts w:cs="Helvetica"/>
        </w:rPr>
      </w:pPr>
    </w:p>
    <w:p w14:paraId="7CE0CDA5" w14:textId="77777777" w:rsidR="000022E2" w:rsidRDefault="000022E2">
      <w:pPr>
        <w:rPr>
          <w:rFonts w:cs="Helvetica"/>
        </w:rPr>
      </w:pPr>
      <w:r w:rsidRPr="006447C3">
        <w:rPr>
          <w:rFonts w:cs="Helvetica"/>
        </w:rPr>
        <w:t xml:space="preserve">In addition, because of the fixed upper bound (4/3) on the proportional allocation factor, vessels that are at that upper bound </w:t>
      </w:r>
      <w:r w:rsidRPr="006447C3">
        <w:rPr>
          <w:rFonts w:cs="Helvetica"/>
          <w:i/>
          <w:iCs/>
        </w:rPr>
        <w:t>have no incentive</w:t>
      </w:r>
      <w:r w:rsidRPr="006447C3">
        <w:rPr>
          <w:rFonts w:cs="Helvetica"/>
        </w:rPr>
        <w:t xml:space="preserve"> to have the lowest bycatch rates.  As mentioned earlier, these vessels will not experience a decrease in proportional allocation as long as their bycatch rates are better (i.e. lower) than average.  </w:t>
      </w:r>
    </w:p>
    <w:p w14:paraId="573E1DB7" w14:textId="77777777" w:rsidR="000022E2" w:rsidRDefault="000022E2">
      <w:pPr>
        <w:rPr>
          <w:rFonts w:cs="Helvetica"/>
        </w:rPr>
      </w:pPr>
    </w:p>
    <w:p w14:paraId="0506C92E" w14:textId="77777777" w:rsidR="009777CA" w:rsidRPr="000022E2" w:rsidRDefault="000022E2">
      <w:r w:rsidRPr="006447C3">
        <w:rPr>
          <w:rFonts w:cs="Helvetica"/>
        </w:rPr>
        <w:t xml:space="preserve">Perhaps the more problematic issue is those vessels who are at the fixed lower bound (2/3) for the proportional allocation factor.  These vessels may actually improve their bycatch rates from what they were before, but will see no change in proportional allocation factor unless they can bring these bycatch rates to be better (i.e. lower) than average.  Thus, their incentive to change fishing behavior may be significantly reduced, as only a major change in bycatch rate can alter their position.  </w:t>
      </w:r>
      <w:r w:rsidR="006A3A9B" w:rsidRPr="007229F7">
        <w:rPr>
          <w:b/>
        </w:rPr>
        <w:br w:type="page"/>
      </w:r>
      <w:r w:rsidR="009777CA" w:rsidRPr="007229F7">
        <w:rPr>
          <w:b/>
          <w:sz w:val="28"/>
        </w:rPr>
        <w:t xml:space="preserve">Appendix </w:t>
      </w:r>
      <w:r w:rsidR="009777CA">
        <w:rPr>
          <w:b/>
          <w:sz w:val="28"/>
        </w:rPr>
        <w:t>B</w:t>
      </w:r>
      <w:r w:rsidR="009777CA" w:rsidRPr="00BB7C49">
        <w:rPr>
          <w:b/>
          <w:sz w:val="28"/>
          <w:szCs w:val="28"/>
        </w:rPr>
        <w:t>:</w:t>
      </w:r>
      <w:r w:rsidR="009777CA" w:rsidRPr="00BB7C49">
        <w:rPr>
          <w:sz w:val="28"/>
          <w:szCs w:val="28"/>
        </w:rPr>
        <w:t xml:space="preserve"> </w:t>
      </w:r>
      <w:r w:rsidR="00FD6856" w:rsidRPr="00BB7C49">
        <w:rPr>
          <w:sz w:val="28"/>
          <w:szCs w:val="28"/>
        </w:rPr>
        <w:t xml:space="preserve">Technical Issues </w:t>
      </w:r>
      <w:r w:rsidR="00FD6856">
        <w:rPr>
          <w:sz w:val="28"/>
          <w:szCs w:val="28"/>
        </w:rPr>
        <w:t>Regarding the Fixed Transfer Tax and Dynamic Salmon Savings</w:t>
      </w:r>
    </w:p>
    <w:p w14:paraId="70609910" w14:textId="77777777" w:rsidR="00CD102F" w:rsidRPr="00A55E33" w:rsidRDefault="00CD102F"/>
    <w:p w14:paraId="44DCF339" w14:textId="77777777" w:rsidR="00CD102F" w:rsidRPr="00A55E33" w:rsidRDefault="00CD102F" w:rsidP="00A07061">
      <w:pPr>
        <w:tabs>
          <w:tab w:val="left" w:pos="360"/>
        </w:tabs>
      </w:pPr>
      <w:r w:rsidRPr="00A55E33">
        <w:t>1</w:t>
      </w:r>
      <w:r w:rsidR="00A07061" w:rsidRPr="00A55E33">
        <w:t>)</w:t>
      </w:r>
      <w:r w:rsidR="00A07061" w:rsidRPr="00A55E33">
        <w:tab/>
      </w:r>
      <w:r w:rsidR="00A55E33" w:rsidRPr="00A55E33">
        <w:t xml:space="preserve">Fixed </w:t>
      </w:r>
      <w:r w:rsidR="00A55E33">
        <w:t>Transfer Tax:</w:t>
      </w:r>
    </w:p>
    <w:p w14:paraId="6B6BA7A6" w14:textId="77777777" w:rsidR="00321973" w:rsidRDefault="00321973" w:rsidP="00685C4E">
      <w:pPr>
        <w:ind w:left="360"/>
      </w:pPr>
      <w:r>
        <w:t>With a Fixed Transfer Tax</w:t>
      </w:r>
      <w:r w:rsidR="00A75228">
        <w:t xml:space="preserve"> (FTT)</w:t>
      </w:r>
      <w:r>
        <w:t>, a fixed percentage of credits are retired for every ITEC transaction</w:t>
      </w:r>
      <w:r w:rsidR="00671026">
        <w:t xml:space="preserve">.  </w:t>
      </w:r>
      <w:r>
        <w:t>For our simulation, we used a FTT rate of 20%: if a vessel wished to buy 100 credits, 20% or 20 credits would be retired as the “transfer tax”, so that a total of 120 credits would be removed from a seller’s pool of ITEC, but only 100 would be transferred to the buyer.</w:t>
      </w:r>
    </w:p>
    <w:p w14:paraId="1C0B7242" w14:textId="77777777" w:rsidR="00C6485D" w:rsidRDefault="00C6485D" w:rsidP="00685C4E">
      <w:pPr>
        <w:ind w:left="360"/>
      </w:pPr>
    </w:p>
    <w:p w14:paraId="7E2B17A1" w14:textId="77777777" w:rsidR="00C6485D" w:rsidRDefault="00C6485D" w:rsidP="00C6485D">
      <w:pPr>
        <w:tabs>
          <w:tab w:val="left" w:pos="360"/>
        </w:tabs>
      </w:pPr>
      <w:r>
        <w:t>2)</w:t>
      </w:r>
      <w:r>
        <w:tab/>
      </w:r>
      <w:r w:rsidR="00D17FAD">
        <w:t>Dynamic Salmon Savings:</w:t>
      </w:r>
    </w:p>
    <w:p w14:paraId="56366A88" w14:textId="77777777" w:rsidR="005D2A0B" w:rsidRDefault="00321973" w:rsidP="005D2A0B">
      <w:pPr>
        <w:ind w:left="360"/>
      </w:pPr>
      <w:r>
        <w:t>Under a Dynamic Salmon Savings</w:t>
      </w:r>
      <w:r w:rsidR="007E2415">
        <w:t xml:space="preserve"> rule</w:t>
      </w:r>
      <w:r>
        <w:t xml:space="preserve">, a percentage of a vessel’s remaining credits are retired when that vessel finishes fishing its </w:t>
      </w:r>
      <w:r w:rsidR="003A69AA">
        <w:t>Pollock</w:t>
      </w:r>
      <w:r>
        <w:t xml:space="preserve"> quota: this percentage is the Salmon Savings Rate (SSR)</w:t>
      </w:r>
      <w:r w:rsidR="005F5C7F">
        <w:t>.</w:t>
      </w:r>
      <w:r>
        <w:t xml:space="preserve">  To prevent vessels from selling credits before finishing fishing and avoiding having credits retired, it is additionally required that vessels who sell credits before finishing fishing reserve the appropriate fraction of credits corresponding to the SSR (or the maximum upper bound on SSR if the SSR has not yet been determined)</w:t>
      </w:r>
      <w:r w:rsidR="00671026">
        <w:t xml:space="preserve">.  </w:t>
      </w:r>
      <w:r>
        <w:t>In our simulation, we used 40% as the maximum upper bound on SSR.</w:t>
      </w:r>
    </w:p>
    <w:p w14:paraId="00A1C4BE" w14:textId="77777777" w:rsidR="000F217A" w:rsidRDefault="000F217A" w:rsidP="000F217A">
      <w:pPr>
        <w:ind w:left="360"/>
      </w:pPr>
    </w:p>
    <w:p w14:paraId="59055EA0" w14:textId="77777777" w:rsidR="000F217A" w:rsidRPr="00276C4E" w:rsidRDefault="000F217A" w:rsidP="000F217A">
      <w:pPr>
        <w:ind w:left="360"/>
        <w:rPr>
          <w:u w:val="single"/>
        </w:rPr>
      </w:pPr>
      <w:r>
        <w:rPr>
          <w:u w:val="single"/>
        </w:rPr>
        <w:t>(i) Provisional Salmon Savings</w:t>
      </w:r>
      <w:r w:rsidRPr="00276C4E">
        <w:rPr>
          <w:u w:val="single"/>
        </w:rPr>
        <w:t xml:space="preserve"> Rule:</w:t>
      </w:r>
    </w:p>
    <w:p w14:paraId="3E0C0368" w14:textId="77777777" w:rsidR="000F217A" w:rsidRDefault="000F217A" w:rsidP="00D52CEA">
      <w:pPr>
        <w:ind w:left="360"/>
      </w:pPr>
      <w:r>
        <w:t xml:space="preserve">Note that prior to </w:t>
      </w:r>
      <w:r w:rsidR="00EB53A8">
        <w:t>the completion of fishing and having credits retired based on the SSR, vessels may still transfer credits provided that an appropriate number of</w:t>
      </w:r>
      <w:r w:rsidR="00DD5161">
        <w:t xml:space="preserve"> credits are set aside to cover eventual retirement</w:t>
      </w:r>
      <w:r w:rsidR="00671026">
        <w:t xml:space="preserve">.  </w:t>
      </w:r>
    </w:p>
    <w:p w14:paraId="6DEB8592" w14:textId="77777777" w:rsidR="000F217A" w:rsidRDefault="000F217A" w:rsidP="000F217A">
      <w:pPr>
        <w:ind w:left="360"/>
      </w:pPr>
    </w:p>
    <w:p w14:paraId="7F70153E" w14:textId="77777777" w:rsidR="000F217A" w:rsidRDefault="000F217A" w:rsidP="000F217A">
      <w:pPr>
        <w:ind w:left="360"/>
      </w:pPr>
      <w:r>
        <w:t>For example, if a cap is set so the largest</w:t>
      </w:r>
      <w:r w:rsidR="00B340BC">
        <w:t xml:space="preserve"> Salmon Savings R</w:t>
      </w:r>
      <w:r>
        <w:t xml:space="preserve">ate is 40% (a number that historically will not limit the harvest), then prior to setting the </w:t>
      </w:r>
      <w:r w:rsidR="00682AF4">
        <w:t>SSR</w:t>
      </w:r>
      <w:r>
        <w:t>, boats that have finished fishing early can only sell up to 60% of their remainder credits</w:t>
      </w:r>
      <w:r w:rsidR="00671026">
        <w:t xml:space="preserve">.  </w:t>
      </w:r>
      <w:r>
        <w:t>This means that if a vessel has wishes to sell 60 credits early in the season, it must keep 40 ITEC in reserve until the SSR</w:t>
      </w:r>
      <w:r w:rsidR="00A10933">
        <w:t xml:space="preserve"> has been determined.</w:t>
      </w:r>
    </w:p>
    <w:p w14:paraId="09EBD83F" w14:textId="77777777" w:rsidR="00A10933" w:rsidRDefault="00A10933" w:rsidP="000F217A">
      <w:pPr>
        <w:ind w:left="360"/>
      </w:pPr>
    </w:p>
    <w:p w14:paraId="37D3B1F1" w14:textId="77777777" w:rsidR="00D52CEA" w:rsidRDefault="00D52CEA" w:rsidP="000F217A">
      <w:pPr>
        <w:ind w:left="360"/>
      </w:pPr>
      <w:r>
        <w:t>Alternatively, if the SSR</w:t>
      </w:r>
      <w:r w:rsidR="00562CC9">
        <w:t xml:space="preserve"> has been determined to be, say, 20%, vessels that wish to sell credits before fishing the entirety of their Pollock allocation must </w:t>
      </w:r>
      <w:r w:rsidR="00AD3B50">
        <w:t>retire</w:t>
      </w:r>
      <w:r w:rsidR="00562CC9">
        <w:t xml:space="preserve"> </w:t>
      </w:r>
      <w:r w:rsidR="00AD3B50">
        <w:t>an additional 25% credits for each transaction</w:t>
      </w:r>
      <w:r w:rsidR="00671026">
        <w:t xml:space="preserve">.  </w:t>
      </w:r>
      <w:r w:rsidR="00AD3B50">
        <w:t>For example, if that vessel sold 80 credits, it would retire an additional 25% or 20 credits</w:t>
      </w:r>
      <w:r w:rsidR="00671026">
        <w:t xml:space="preserve">.  </w:t>
      </w:r>
      <w:r w:rsidR="00AD3B50">
        <w:t>This fraction is equivalent to applying the SSR of 20% on a vessel that finishes fishing Pollock with 100 credits remaining: for this hypothetical vessel, 20 credits would be retired, leaving it with 80 credits to sell, exactly the same as in the example.</w:t>
      </w:r>
    </w:p>
    <w:p w14:paraId="4F5E4836" w14:textId="77777777" w:rsidR="000F217A" w:rsidRDefault="000F217A" w:rsidP="000F217A">
      <w:pPr>
        <w:ind w:left="360"/>
      </w:pPr>
    </w:p>
    <w:p w14:paraId="6F051B67" w14:textId="77777777" w:rsidR="000F217A" w:rsidRPr="00276C4E" w:rsidRDefault="000F217A" w:rsidP="000F217A">
      <w:pPr>
        <w:ind w:left="360"/>
        <w:rPr>
          <w:u w:val="single"/>
        </w:rPr>
      </w:pPr>
      <w:r>
        <w:rPr>
          <w:u w:val="single"/>
        </w:rPr>
        <w:t>(ii</w:t>
      </w:r>
      <w:r w:rsidRPr="00276C4E">
        <w:rPr>
          <w:u w:val="single"/>
        </w:rPr>
        <w:t xml:space="preserve">) Calculating a </w:t>
      </w:r>
      <w:r>
        <w:rPr>
          <w:u w:val="single"/>
        </w:rPr>
        <w:t xml:space="preserve">savings </w:t>
      </w:r>
      <w:r w:rsidRPr="00276C4E">
        <w:rPr>
          <w:u w:val="single"/>
        </w:rPr>
        <w:t>rate:</w:t>
      </w:r>
    </w:p>
    <w:p w14:paraId="31F92BD1" w14:textId="77777777" w:rsidR="004E7BA1" w:rsidRDefault="004E7BA1" w:rsidP="004E7BA1">
      <w:pPr>
        <w:ind w:left="360"/>
      </w:pPr>
      <w:r>
        <w:t>Numerical experiments with the Inshore daily data suggest that calculating the savings fraction when 2/3 of the sector Pollock quota are caught (2/3 sector TAC)  gives the best result, in terms of estimating the credits needed to complete the season</w:t>
      </w:r>
      <w:r w:rsidR="00671026">
        <w:t xml:space="preserve">.  </w:t>
      </w:r>
      <w:r>
        <w:t>This is the “estimated total sector by-catch for the B-season.”  This estimate normally occurs between August 29 and Sept 16 (see figure and table below)</w:t>
      </w:r>
      <w:r w:rsidR="00671026">
        <w:t xml:space="preserve">.  </w:t>
      </w:r>
      <w:r>
        <w:t>This tends to happen later in low salmon abundance years (when fewer transfers are needed) and occurs earlier in moderate to high abundance years.</w:t>
      </w:r>
    </w:p>
    <w:p w14:paraId="3F12ABE5" w14:textId="77777777" w:rsidR="004E7BA1" w:rsidRPr="00276C4E" w:rsidRDefault="004E7BA1" w:rsidP="004E7BA1">
      <w:pPr>
        <w:ind w:left="360"/>
        <w:rPr>
          <w:u w:val="single"/>
        </w:rPr>
      </w:pPr>
    </w:p>
    <w:p w14:paraId="4A594828" w14:textId="77777777" w:rsidR="004E7BA1" w:rsidRPr="00276C4E" w:rsidRDefault="004E7BA1" w:rsidP="004E7BA1">
      <w:pPr>
        <w:ind w:left="360"/>
      </w:pPr>
      <w:r w:rsidRPr="00276C4E">
        <w:t xml:space="preserve">The “estimated number of surplus credits” in the table below is the (current number of credits for the sector on the date that the </w:t>
      </w:r>
      <w:r w:rsidR="00241276">
        <w:t>salmon savings</w:t>
      </w:r>
      <w:r w:rsidRPr="00276C4E">
        <w:t xml:space="preserve"> rate is calculated) - (estimated total B-season bycatch for the sector + buffer)</w:t>
      </w:r>
      <w:r w:rsidR="00671026">
        <w:t xml:space="preserve">.  </w:t>
      </w:r>
      <w:r w:rsidRPr="00276C4E">
        <w:t>Here the buffer is 5000, to account for error in the estimates of total sector by-catch.</w:t>
      </w:r>
    </w:p>
    <w:p w14:paraId="5E3209CF" w14:textId="77777777" w:rsidR="004E7BA1" w:rsidRPr="00276C4E" w:rsidRDefault="004E7BA1" w:rsidP="004E7BA1">
      <w:pPr>
        <w:ind w:left="360"/>
      </w:pPr>
    </w:p>
    <w:p w14:paraId="40AF3DE4" w14:textId="77777777" w:rsidR="004E7BA1" w:rsidRPr="00276C4E" w:rsidRDefault="004E7BA1" w:rsidP="004E7BA1">
      <w:pPr>
        <w:ind w:left="360"/>
      </w:pPr>
      <w:r w:rsidRPr="00276C4E">
        <w:t xml:space="preserve">The final “allowable </w:t>
      </w:r>
      <w:r w:rsidR="002A3B8B">
        <w:t>salmon savings</w:t>
      </w:r>
      <w:r w:rsidRPr="00276C4E">
        <w:t xml:space="preserve"> rate” would then be (the number of estimated surplus credits) / (current number of credits for the fleet)</w:t>
      </w:r>
      <w:r w:rsidR="00671026">
        <w:t xml:space="preserve">.  </w:t>
      </w:r>
      <w:r w:rsidR="00B13543">
        <w:t xml:space="preserve">It is called an” allowable </w:t>
      </w:r>
      <w:r w:rsidR="00913BD0">
        <w:t>salmon savings</w:t>
      </w:r>
      <w:r w:rsidR="00913BD0" w:rsidRPr="00276C4E">
        <w:t xml:space="preserve"> </w:t>
      </w:r>
      <w:r w:rsidRPr="00276C4E">
        <w:t xml:space="preserve">rate” in that under this </w:t>
      </w:r>
      <w:r w:rsidR="00A456E5">
        <w:t>SSR</w:t>
      </w:r>
      <w:r w:rsidRPr="00276C4E">
        <w:t>, the Pollock harvest for the sector would not be limited by the availability of salmon encounter credits</w:t>
      </w:r>
      <w:r w:rsidR="00671026">
        <w:t xml:space="preserve">.  </w:t>
      </w:r>
      <w:r w:rsidRPr="00276C4E">
        <w:t>These numbers are shown in the blue region of the table below</w:t>
      </w:r>
      <w:r w:rsidR="00671026">
        <w:t xml:space="preserve">.  </w:t>
      </w:r>
      <w:r w:rsidRPr="00276C4E">
        <w:t xml:space="preserve">Notice that in high abundance years the </w:t>
      </w:r>
      <w:r w:rsidR="00643BC8">
        <w:t>SSR</w:t>
      </w:r>
      <w:r w:rsidRPr="00276C4E">
        <w:t xml:space="preserve"> is 0%</w:t>
      </w:r>
      <w:r w:rsidR="00671026">
        <w:t xml:space="preserve">.  </w:t>
      </w:r>
      <w:r w:rsidR="00F9734C">
        <w:t>a</w:t>
      </w:r>
      <w:r w:rsidRPr="00276C4E">
        <w:t xml:space="preserve">nd in low salmon abundance years the </w:t>
      </w:r>
      <w:r w:rsidR="006866A0">
        <w:t>allowable SSR</w:t>
      </w:r>
      <w:r w:rsidRPr="00276C4E">
        <w:t xml:space="preserve"> can be as high as ~79.6%</w:t>
      </w:r>
      <w:r w:rsidR="00671026">
        <w:t xml:space="preserve">.  </w:t>
      </w:r>
      <w:r w:rsidRPr="00276C4E">
        <w:t xml:space="preserve">That is, in year 2000, we would be confident of fishing the entire Pollock quota (with margin for error) if the </w:t>
      </w:r>
      <w:r w:rsidR="00D62CEB">
        <w:t>SSR</w:t>
      </w:r>
      <w:r w:rsidRPr="00276C4E">
        <w:t xml:space="preserve"> were set at 79.6%</w:t>
      </w:r>
      <w:r w:rsidR="00671026">
        <w:t xml:space="preserve">.  </w:t>
      </w:r>
      <w:r w:rsidR="00F9734C">
        <w:t xml:space="preserve">However such a high rate would </w:t>
      </w:r>
      <w:r w:rsidRPr="00276C4E">
        <w:t>put a damper on trading before the rate was posted (albeit, in 2000 no transfers were ultimately necessary)</w:t>
      </w:r>
      <w:r w:rsidR="00671026">
        <w:t xml:space="preserve">.  </w:t>
      </w:r>
      <w:r w:rsidRPr="00276C4E">
        <w:t>Alternatively, we can set a cap on this rate (say 40%), so that early trading can occur more readily if needed</w:t>
      </w:r>
      <w:r w:rsidR="00671026">
        <w:t xml:space="preserve">.  </w:t>
      </w:r>
      <w:r w:rsidRPr="00276C4E">
        <w:t xml:space="preserve">Then any year where the estimated </w:t>
      </w:r>
      <w:r w:rsidR="009E6FD2">
        <w:t>SSR</w:t>
      </w:r>
      <w:r w:rsidRPr="00276C4E">
        <w:t xml:space="preserve"> is above 40% would automatically set </w:t>
      </w:r>
      <w:r w:rsidR="00083F62">
        <w:t xml:space="preserve">the SSR </w:t>
      </w:r>
      <w:r w:rsidRPr="00276C4E">
        <w:t>at 40%</w:t>
      </w:r>
      <w:r w:rsidR="00671026">
        <w:t xml:space="preserve">.  </w:t>
      </w:r>
      <w:r w:rsidR="00B214DB">
        <w:t>A</w:t>
      </w:r>
      <w:r w:rsidRPr="00276C4E">
        <w:t xml:space="preserve">greeing to </w:t>
      </w:r>
      <w:r w:rsidR="00B214DB">
        <w:t xml:space="preserve">retire </w:t>
      </w:r>
      <w:r w:rsidRPr="00276C4E">
        <w:t xml:space="preserve">up to 40% would be thought of favorably by the </w:t>
      </w:r>
      <w:r>
        <w:t>Chinook</w:t>
      </w:r>
      <w:r w:rsidRPr="00276C4E">
        <w:t xml:space="preserve"> salmon interests.</w:t>
      </w:r>
    </w:p>
    <w:tbl>
      <w:tblPr>
        <w:tblpPr w:leftFromText="187" w:rightFromText="187" w:vertAnchor="text" w:horzAnchor="margin" w:tblpXSpec="center" w:tblpY="359"/>
        <w:tblOverlap w:val="never"/>
        <w:tblW w:w="8575" w:type="dxa"/>
        <w:tblLayout w:type="fixed"/>
        <w:tblCellMar>
          <w:left w:w="115" w:type="dxa"/>
          <w:right w:w="115" w:type="dxa"/>
        </w:tblCellMar>
        <w:tblLook w:val="0000" w:firstRow="0" w:lastRow="0" w:firstColumn="0" w:lastColumn="0" w:noHBand="0" w:noVBand="0"/>
      </w:tblPr>
      <w:tblGrid>
        <w:gridCol w:w="828"/>
        <w:gridCol w:w="1080"/>
        <w:gridCol w:w="900"/>
        <w:gridCol w:w="810"/>
        <w:gridCol w:w="990"/>
        <w:gridCol w:w="1177"/>
        <w:gridCol w:w="1170"/>
        <w:gridCol w:w="1620"/>
      </w:tblGrid>
      <w:tr w:rsidR="00245074" w:rsidRPr="000131F9" w14:paraId="4BD2FF2A" w14:textId="77777777">
        <w:trPr>
          <w:trHeight w:val="268"/>
        </w:trPr>
        <w:tc>
          <w:tcPr>
            <w:tcW w:w="828" w:type="dxa"/>
            <w:tcBorders>
              <w:top w:val="single" w:sz="4" w:space="0" w:color="auto"/>
              <w:left w:val="single" w:sz="4" w:space="0" w:color="auto"/>
              <w:bottom w:val="nil"/>
              <w:right w:val="nil"/>
            </w:tcBorders>
            <w:shd w:val="clear" w:color="auto" w:fill="auto"/>
            <w:noWrap/>
            <w:vAlign w:val="bottom"/>
          </w:tcPr>
          <w:p w14:paraId="1DE618B1" w14:textId="77777777" w:rsidR="00245074" w:rsidRPr="00244FE8" w:rsidRDefault="00245074" w:rsidP="00245074">
            <w:pPr>
              <w:ind w:left="360"/>
              <w:rPr>
                <w:rFonts w:ascii="Arial" w:hAnsi="Arial" w:cs="Arial"/>
                <w:sz w:val="22"/>
                <w:szCs w:val="22"/>
              </w:rPr>
            </w:pPr>
          </w:p>
        </w:tc>
        <w:tc>
          <w:tcPr>
            <w:tcW w:w="6127"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tcPr>
          <w:p w14:paraId="1F4DEF02" w14:textId="77777777" w:rsidR="00245074" w:rsidRPr="00244FE8" w:rsidRDefault="00245074" w:rsidP="00AA45D0">
            <w:pPr>
              <w:ind w:left="360"/>
              <w:rPr>
                <w:rFonts w:ascii="Arial" w:hAnsi="Arial" w:cs="Arial"/>
                <w:b/>
                <w:sz w:val="22"/>
                <w:szCs w:val="22"/>
              </w:rPr>
            </w:pPr>
            <w:r w:rsidRPr="00244FE8">
              <w:rPr>
                <w:rFonts w:ascii="Arial" w:hAnsi="Arial" w:cs="Arial"/>
                <w:b/>
                <w:sz w:val="22"/>
                <w:szCs w:val="22"/>
              </w:rPr>
              <w:t xml:space="preserve">Dynamic </w:t>
            </w:r>
            <w:r w:rsidR="00AA45D0">
              <w:rPr>
                <w:rFonts w:ascii="Arial" w:hAnsi="Arial" w:cs="Arial"/>
                <w:b/>
                <w:sz w:val="22"/>
                <w:szCs w:val="22"/>
              </w:rPr>
              <w:t>Salmon Savings</w:t>
            </w:r>
            <w:r w:rsidRPr="00244FE8">
              <w:rPr>
                <w:rFonts w:ascii="Arial" w:hAnsi="Arial" w:cs="Arial"/>
                <w:b/>
                <w:sz w:val="22"/>
                <w:szCs w:val="22"/>
              </w:rPr>
              <w:t xml:space="preserve"> Rate (at end of B season)</w:t>
            </w:r>
          </w:p>
        </w:tc>
        <w:tc>
          <w:tcPr>
            <w:tcW w:w="1620" w:type="dxa"/>
            <w:tcBorders>
              <w:top w:val="single" w:sz="4" w:space="0" w:color="auto"/>
              <w:left w:val="nil"/>
              <w:bottom w:val="single" w:sz="4" w:space="0" w:color="auto"/>
              <w:right w:val="single" w:sz="4" w:space="0" w:color="auto"/>
            </w:tcBorders>
            <w:shd w:val="clear" w:color="auto" w:fill="FCF305"/>
            <w:noWrap/>
            <w:vAlign w:val="bottom"/>
          </w:tcPr>
          <w:p w14:paraId="0BD6D5C1" w14:textId="77777777" w:rsidR="00245074" w:rsidRPr="000131F9" w:rsidRDefault="00245074" w:rsidP="00245074">
            <w:pPr>
              <w:ind w:left="52"/>
              <w:rPr>
                <w:rFonts w:ascii="Arial" w:hAnsi="Arial" w:cs="Arial"/>
                <w:sz w:val="22"/>
                <w:szCs w:val="22"/>
              </w:rPr>
            </w:pPr>
            <w:r w:rsidRPr="000131F9">
              <w:rPr>
                <w:rFonts w:ascii="Arial" w:hAnsi="Arial" w:cs="Arial"/>
                <w:sz w:val="22"/>
                <w:szCs w:val="22"/>
              </w:rPr>
              <w:t>UNKNOWN</w:t>
            </w:r>
          </w:p>
        </w:tc>
      </w:tr>
      <w:tr w:rsidR="00245074" w:rsidRPr="000131F9" w14:paraId="70A3989F" w14:textId="77777777">
        <w:trPr>
          <w:trHeight w:val="338"/>
        </w:trPr>
        <w:tc>
          <w:tcPr>
            <w:tcW w:w="828" w:type="dxa"/>
            <w:tcBorders>
              <w:top w:val="single" w:sz="4" w:space="0" w:color="auto"/>
              <w:left w:val="single" w:sz="4" w:space="0" w:color="auto"/>
              <w:bottom w:val="single" w:sz="4" w:space="0" w:color="auto"/>
              <w:right w:val="single" w:sz="4" w:space="0" w:color="auto"/>
            </w:tcBorders>
            <w:shd w:val="clear" w:color="auto" w:fill="auto"/>
            <w:vAlign w:val="bottom"/>
          </w:tcPr>
          <w:p w14:paraId="7893D4FB" w14:textId="77777777" w:rsidR="00245074" w:rsidRPr="00244FE8" w:rsidRDefault="00245074" w:rsidP="00245074">
            <w:pPr>
              <w:rPr>
                <w:rFonts w:ascii="Arial" w:hAnsi="Arial" w:cs="Arial"/>
                <w:sz w:val="22"/>
                <w:szCs w:val="22"/>
              </w:rPr>
            </w:pPr>
            <w:r w:rsidRPr="00244FE8">
              <w:rPr>
                <w:rFonts w:ascii="Arial" w:hAnsi="Arial" w:cs="Arial"/>
                <w:sz w:val="22"/>
                <w:szCs w:val="22"/>
              </w:rPr>
              <w:t>year</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5A5EA282" w14:textId="77777777" w:rsidR="00245074" w:rsidRPr="00244FE8" w:rsidRDefault="00245074" w:rsidP="00245074">
            <w:pPr>
              <w:ind w:left="15"/>
              <w:rPr>
                <w:rFonts w:ascii="Arial" w:hAnsi="Arial" w:cs="Arial"/>
                <w:sz w:val="22"/>
                <w:szCs w:val="22"/>
              </w:rPr>
            </w:pPr>
            <w:r w:rsidRPr="00244FE8">
              <w:rPr>
                <w:rFonts w:ascii="Arial" w:hAnsi="Arial" w:cs="Arial"/>
                <w:sz w:val="22"/>
                <w:szCs w:val="22"/>
              </w:rPr>
              <w:t>A</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B8D42D8" w14:textId="77777777" w:rsidR="00245074" w:rsidRPr="00244FE8" w:rsidRDefault="00245074" w:rsidP="00245074">
            <w:pPr>
              <w:ind w:left="-10"/>
              <w:rPr>
                <w:rFonts w:ascii="Arial" w:hAnsi="Arial" w:cs="Arial"/>
                <w:sz w:val="22"/>
                <w:szCs w:val="22"/>
              </w:rPr>
            </w:pPr>
            <w:r w:rsidRPr="00244FE8">
              <w:rPr>
                <w:rFonts w:ascii="Arial" w:hAnsi="Arial" w:cs="Arial"/>
                <w:sz w:val="22"/>
                <w:szCs w:val="22"/>
              </w:rPr>
              <w:t>B</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54A4EB4" w14:textId="77777777" w:rsidR="00245074" w:rsidRPr="00244FE8" w:rsidRDefault="00245074" w:rsidP="00245074">
            <w:pPr>
              <w:rPr>
                <w:rFonts w:ascii="Arial" w:hAnsi="Arial" w:cs="Arial"/>
                <w:sz w:val="22"/>
                <w:szCs w:val="22"/>
              </w:rPr>
            </w:pPr>
            <w:r w:rsidRPr="00244FE8">
              <w:rPr>
                <w:rFonts w:ascii="Arial" w:hAnsi="Arial" w:cs="Arial"/>
                <w:sz w:val="22"/>
                <w:szCs w:val="22"/>
              </w:rPr>
              <w:t>C</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EBA4182" w14:textId="77777777" w:rsidR="00245074" w:rsidRPr="00244FE8" w:rsidRDefault="00245074" w:rsidP="00245074">
            <w:pPr>
              <w:rPr>
                <w:rFonts w:ascii="Arial" w:hAnsi="Arial" w:cs="Arial"/>
                <w:sz w:val="22"/>
                <w:szCs w:val="22"/>
              </w:rPr>
            </w:pPr>
            <w:r w:rsidRPr="00244FE8">
              <w:rPr>
                <w:rFonts w:ascii="Arial" w:hAnsi="Arial" w:cs="Arial"/>
                <w:sz w:val="22"/>
                <w:szCs w:val="22"/>
              </w:rPr>
              <w:t>D</w:t>
            </w:r>
          </w:p>
        </w:tc>
        <w:tc>
          <w:tcPr>
            <w:tcW w:w="1177" w:type="dxa"/>
            <w:tcBorders>
              <w:top w:val="single" w:sz="4" w:space="0" w:color="auto"/>
              <w:left w:val="single" w:sz="4" w:space="0" w:color="auto"/>
              <w:bottom w:val="single" w:sz="4" w:space="0" w:color="auto"/>
              <w:right w:val="single" w:sz="4" w:space="0" w:color="auto"/>
            </w:tcBorders>
            <w:shd w:val="clear" w:color="auto" w:fill="auto"/>
            <w:vAlign w:val="bottom"/>
          </w:tcPr>
          <w:p w14:paraId="0A6FE448" w14:textId="77777777" w:rsidR="00245074" w:rsidRPr="00244FE8" w:rsidRDefault="00245074" w:rsidP="00245074">
            <w:pPr>
              <w:ind w:left="37"/>
              <w:rPr>
                <w:rFonts w:ascii="Arial" w:hAnsi="Arial" w:cs="Arial"/>
                <w:sz w:val="22"/>
                <w:szCs w:val="22"/>
              </w:rPr>
            </w:pPr>
            <w:r w:rsidRPr="00244FE8">
              <w:rPr>
                <w:rFonts w:ascii="Arial" w:hAnsi="Arial" w:cs="Arial"/>
                <w:sz w:val="22"/>
                <w:szCs w:val="22"/>
              </w:rPr>
              <w:t>E</w:t>
            </w:r>
          </w:p>
        </w:tc>
        <w:tc>
          <w:tcPr>
            <w:tcW w:w="1170" w:type="dxa"/>
            <w:tcBorders>
              <w:top w:val="single" w:sz="4" w:space="0" w:color="auto"/>
              <w:left w:val="single" w:sz="4" w:space="0" w:color="auto"/>
              <w:bottom w:val="single" w:sz="4" w:space="0" w:color="auto"/>
              <w:right w:val="single" w:sz="4" w:space="0" w:color="auto"/>
            </w:tcBorders>
            <w:shd w:val="clear" w:color="auto" w:fill="CCFFFF"/>
            <w:vAlign w:val="bottom"/>
          </w:tcPr>
          <w:p w14:paraId="01955FA6" w14:textId="77777777" w:rsidR="00245074" w:rsidRPr="00244FE8" w:rsidRDefault="00245074" w:rsidP="00245074">
            <w:pPr>
              <w:rPr>
                <w:rFonts w:ascii="Arial" w:hAnsi="Arial" w:cs="Arial"/>
                <w:sz w:val="22"/>
                <w:szCs w:val="22"/>
              </w:rPr>
            </w:pPr>
            <w:r w:rsidRPr="00244FE8">
              <w:rPr>
                <w:rFonts w:ascii="Arial" w:hAnsi="Arial" w:cs="Arial"/>
                <w:sz w:val="22"/>
                <w:szCs w:val="22"/>
              </w:rPr>
              <w:t>F</w:t>
            </w:r>
          </w:p>
        </w:tc>
        <w:tc>
          <w:tcPr>
            <w:tcW w:w="1620" w:type="dxa"/>
            <w:tcBorders>
              <w:top w:val="single" w:sz="4" w:space="0" w:color="auto"/>
              <w:left w:val="single" w:sz="4" w:space="0" w:color="auto"/>
              <w:bottom w:val="single" w:sz="4" w:space="0" w:color="auto"/>
              <w:right w:val="single" w:sz="4" w:space="0" w:color="auto"/>
            </w:tcBorders>
            <w:shd w:val="clear" w:color="auto" w:fill="FCF305"/>
            <w:vAlign w:val="bottom"/>
          </w:tcPr>
          <w:p w14:paraId="5A830D57" w14:textId="77777777" w:rsidR="00245074" w:rsidRPr="000131F9" w:rsidRDefault="00245074" w:rsidP="00245074">
            <w:pPr>
              <w:ind w:left="4"/>
              <w:rPr>
                <w:rFonts w:ascii="Arial" w:hAnsi="Arial" w:cs="Arial"/>
                <w:sz w:val="22"/>
                <w:szCs w:val="22"/>
              </w:rPr>
            </w:pPr>
            <w:r w:rsidRPr="000131F9">
              <w:rPr>
                <w:rFonts w:ascii="Arial" w:hAnsi="Arial" w:cs="Arial"/>
                <w:sz w:val="22"/>
                <w:szCs w:val="22"/>
              </w:rPr>
              <w:t>G</w:t>
            </w:r>
          </w:p>
        </w:tc>
      </w:tr>
      <w:tr w:rsidR="00245074" w:rsidRPr="000131F9" w14:paraId="2E0CC2E8" w14:textId="77777777">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14:paraId="4F230525" w14:textId="77777777" w:rsidR="00245074" w:rsidRPr="00244FE8" w:rsidRDefault="00245074" w:rsidP="00245074">
            <w:pPr>
              <w:rPr>
                <w:rFonts w:ascii="Arial" w:hAnsi="Arial" w:cs="Arial"/>
                <w:sz w:val="22"/>
                <w:szCs w:val="22"/>
              </w:rPr>
            </w:pPr>
            <w:r w:rsidRPr="00244FE8">
              <w:rPr>
                <w:rFonts w:ascii="Arial" w:hAnsi="Arial" w:cs="Arial"/>
                <w:sz w:val="22"/>
                <w:szCs w:val="22"/>
              </w:rPr>
              <w:t>2000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89402D" w14:textId="77777777" w:rsidR="00245074" w:rsidRPr="00244FE8" w:rsidRDefault="00245074" w:rsidP="00245074">
            <w:pPr>
              <w:ind w:left="15"/>
              <w:rPr>
                <w:rFonts w:ascii="Arial" w:hAnsi="Arial" w:cs="Arial"/>
                <w:sz w:val="22"/>
                <w:szCs w:val="22"/>
              </w:rPr>
            </w:pPr>
            <w:r w:rsidRPr="00244FE8">
              <w:rPr>
                <w:rFonts w:ascii="Arial" w:hAnsi="Arial" w:cs="Arial"/>
                <w:sz w:val="22"/>
                <w:szCs w:val="22"/>
              </w:rPr>
              <w:t>16-Sep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6FA8C1" w14:textId="77777777" w:rsidR="00245074" w:rsidRPr="00244FE8" w:rsidRDefault="00245074" w:rsidP="00245074">
            <w:pPr>
              <w:ind w:left="-10"/>
              <w:rPr>
                <w:rFonts w:ascii="Arial" w:hAnsi="Arial" w:cs="Arial"/>
                <w:sz w:val="22"/>
                <w:szCs w:val="22"/>
              </w:rPr>
            </w:pPr>
            <w:r w:rsidRPr="00244FE8">
              <w:rPr>
                <w:rFonts w:ascii="Arial" w:hAnsi="Arial" w:cs="Arial"/>
                <w:sz w:val="22"/>
                <w:szCs w:val="22"/>
              </w:rPr>
              <w:t>37001</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9ECFA" w14:textId="77777777" w:rsidR="00245074" w:rsidRPr="00244FE8" w:rsidRDefault="00245074" w:rsidP="00245074">
            <w:pPr>
              <w:rPr>
                <w:rFonts w:ascii="Arial" w:hAnsi="Arial" w:cs="Arial"/>
                <w:sz w:val="22"/>
                <w:szCs w:val="22"/>
              </w:rPr>
            </w:pPr>
            <w:r w:rsidRPr="00244FE8">
              <w:rPr>
                <w:rFonts w:ascii="Arial" w:hAnsi="Arial" w:cs="Arial"/>
                <w:sz w:val="22"/>
                <w:szCs w:val="22"/>
              </w:rPr>
              <w:t>254</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F4E5C6" w14:textId="77777777" w:rsidR="00245074" w:rsidRPr="00244FE8" w:rsidRDefault="00245074" w:rsidP="00245074">
            <w:pPr>
              <w:rPr>
                <w:rFonts w:ascii="Arial" w:hAnsi="Arial" w:cs="Arial"/>
                <w:sz w:val="22"/>
                <w:szCs w:val="22"/>
              </w:rPr>
            </w:pPr>
            <w:r w:rsidRPr="00244FE8">
              <w:rPr>
                <w:rFonts w:ascii="Arial" w:hAnsi="Arial" w:cs="Arial"/>
                <w:sz w:val="22"/>
                <w:szCs w:val="22"/>
              </w:rPr>
              <w:t>7540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FA42F" w14:textId="77777777" w:rsidR="00245074" w:rsidRPr="00244FE8" w:rsidRDefault="00245074" w:rsidP="00245074">
            <w:pPr>
              <w:ind w:left="37"/>
              <w:rPr>
                <w:rFonts w:ascii="Arial" w:hAnsi="Arial" w:cs="Arial"/>
                <w:sz w:val="22"/>
                <w:szCs w:val="22"/>
              </w:rPr>
            </w:pPr>
            <w:r w:rsidRPr="00244FE8">
              <w:rPr>
                <w:rFonts w:ascii="Arial" w:hAnsi="Arial" w:cs="Arial"/>
                <w:sz w:val="22"/>
                <w:szCs w:val="22"/>
              </w:rPr>
              <w:t xml:space="preserve">29461 </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14:paraId="2AEA9550" w14:textId="77777777" w:rsidR="00245074" w:rsidRPr="00244FE8" w:rsidRDefault="00245074" w:rsidP="00245074">
            <w:pPr>
              <w:rPr>
                <w:rFonts w:ascii="Arial" w:hAnsi="Arial" w:cs="Arial"/>
                <w:sz w:val="22"/>
                <w:szCs w:val="22"/>
              </w:rPr>
            </w:pPr>
            <w:r w:rsidRPr="00244FE8">
              <w:rPr>
                <w:rFonts w:ascii="Arial" w:hAnsi="Arial" w:cs="Arial"/>
                <w:sz w:val="22"/>
                <w:szCs w:val="22"/>
              </w:rPr>
              <w:t>79.6%</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14:paraId="046EE9D2" w14:textId="77777777" w:rsidR="00245074" w:rsidRPr="000131F9" w:rsidRDefault="00245074" w:rsidP="00245074">
            <w:pPr>
              <w:ind w:left="4"/>
              <w:rPr>
                <w:rFonts w:ascii="Arial" w:hAnsi="Arial" w:cs="Arial"/>
                <w:sz w:val="22"/>
                <w:szCs w:val="22"/>
              </w:rPr>
            </w:pPr>
            <w:r w:rsidRPr="000131F9">
              <w:rPr>
                <w:rFonts w:ascii="Arial" w:hAnsi="Arial" w:cs="Arial"/>
                <w:sz w:val="22"/>
                <w:szCs w:val="22"/>
              </w:rPr>
              <w:t xml:space="preserve">711 </w:t>
            </w:r>
          </w:p>
        </w:tc>
      </w:tr>
      <w:tr w:rsidR="00245074" w:rsidRPr="000131F9" w14:paraId="0F3630A2" w14:textId="77777777">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14:paraId="3A9DF8CD" w14:textId="77777777" w:rsidR="00245074" w:rsidRPr="00244FE8" w:rsidRDefault="00245074" w:rsidP="00245074">
            <w:pPr>
              <w:rPr>
                <w:rFonts w:ascii="Arial" w:hAnsi="Arial" w:cs="Arial"/>
                <w:sz w:val="22"/>
                <w:szCs w:val="22"/>
              </w:rPr>
            </w:pPr>
            <w:r w:rsidRPr="00244FE8">
              <w:rPr>
                <w:rFonts w:ascii="Arial" w:hAnsi="Arial" w:cs="Arial"/>
                <w:sz w:val="22"/>
                <w:szCs w:val="22"/>
              </w:rPr>
              <w:t>2001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5EA4FE" w14:textId="77777777" w:rsidR="00245074" w:rsidRPr="00244FE8" w:rsidRDefault="00245074" w:rsidP="00245074">
            <w:pPr>
              <w:ind w:left="15"/>
              <w:rPr>
                <w:rFonts w:ascii="Arial" w:hAnsi="Arial" w:cs="Arial"/>
                <w:sz w:val="22"/>
                <w:szCs w:val="22"/>
              </w:rPr>
            </w:pPr>
            <w:r w:rsidRPr="00244FE8">
              <w:rPr>
                <w:rFonts w:ascii="Arial" w:hAnsi="Arial" w:cs="Arial"/>
                <w:sz w:val="22"/>
                <w:szCs w:val="22"/>
              </w:rPr>
              <w:t>11-Sep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C79EB" w14:textId="77777777" w:rsidR="00245074" w:rsidRPr="00244FE8" w:rsidRDefault="00245074" w:rsidP="00245074">
            <w:pPr>
              <w:ind w:left="-10"/>
              <w:rPr>
                <w:rFonts w:ascii="Arial" w:hAnsi="Arial" w:cs="Arial"/>
                <w:sz w:val="22"/>
                <w:szCs w:val="22"/>
              </w:rPr>
            </w:pPr>
            <w:r w:rsidRPr="00244FE8">
              <w:rPr>
                <w:rFonts w:ascii="Arial" w:hAnsi="Arial" w:cs="Arial"/>
                <w:sz w:val="22"/>
                <w:szCs w:val="22"/>
              </w:rPr>
              <w:t>31578</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0DF772" w14:textId="77777777" w:rsidR="00245074" w:rsidRPr="00244FE8" w:rsidRDefault="00245074" w:rsidP="00245074">
            <w:pPr>
              <w:rPr>
                <w:rFonts w:ascii="Arial" w:hAnsi="Arial" w:cs="Arial"/>
                <w:sz w:val="22"/>
                <w:szCs w:val="22"/>
              </w:rPr>
            </w:pPr>
            <w:r w:rsidRPr="00244FE8">
              <w:rPr>
                <w:rFonts w:ascii="Arial" w:hAnsi="Arial" w:cs="Arial"/>
                <w:sz w:val="22"/>
                <w:szCs w:val="22"/>
              </w:rPr>
              <w:t>277</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DAD0C4" w14:textId="77777777" w:rsidR="00245074" w:rsidRPr="00244FE8" w:rsidRDefault="00245074" w:rsidP="00245074">
            <w:pPr>
              <w:rPr>
                <w:rFonts w:ascii="Arial" w:hAnsi="Arial" w:cs="Arial"/>
                <w:sz w:val="22"/>
                <w:szCs w:val="22"/>
              </w:rPr>
            </w:pPr>
            <w:r w:rsidRPr="00244FE8">
              <w:rPr>
                <w:rFonts w:ascii="Arial" w:hAnsi="Arial" w:cs="Arial"/>
                <w:sz w:val="22"/>
                <w:szCs w:val="22"/>
              </w:rPr>
              <w:t>7770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87CEE3" w14:textId="77777777" w:rsidR="00245074" w:rsidRPr="00244FE8" w:rsidRDefault="00245074" w:rsidP="00245074">
            <w:pPr>
              <w:ind w:left="37"/>
              <w:rPr>
                <w:rFonts w:ascii="Arial" w:hAnsi="Arial" w:cs="Arial"/>
                <w:sz w:val="22"/>
                <w:szCs w:val="22"/>
              </w:rPr>
            </w:pPr>
            <w:r w:rsidRPr="00244FE8">
              <w:rPr>
                <w:rFonts w:ascii="Arial" w:hAnsi="Arial" w:cs="Arial"/>
                <w:sz w:val="22"/>
                <w:szCs w:val="22"/>
              </w:rPr>
              <w:t xml:space="preserve">23808 </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14:paraId="1D18B295" w14:textId="77777777" w:rsidR="00245074" w:rsidRPr="00244FE8" w:rsidRDefault="00245074" w:rsidP="00245074">
            <w:pPr>
              <w:rPr>
                <w:rFonts w:ascii="Arial" w:hAnsi="Arial" w:cs="Arial"/>
                <w:sz w:val="22"/>
                <w:szCs w:val="22"/>
              </w:rPr>
            </w:pPr>
            <w:r w:rsidRPr="00244FE8">
              <w:rPr>
                <w:rFonts w:ascii="Arial" w:hAnsi="Arial" w:cs="Arial"/>
                <w:sz w:val="22"/>
                <w:szCs w:val="22"/>
              </w:rPr>
              <w:t>75.4%</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14:paraId="5787C8FB" w14:textId="77777777" w:rsidR="00245074" w:rsidRPr="000131F9" w:rsidRDefault="00245074" w:rsidP="00245074">
            <w:pPr>
              <w:ind w:left="4"/>
              <w:rPr>
                <w:rFonts w:ascii="Arial" w:hAnsi="Arial" w:cs="Arial"/>
                <w:sz w:val="22"/>
                <w:szCs w:val="22"/>
              </w:rPr>
            </w:pPr>
            <w:r w:rsidRPr="000131F9">
              <w:rPr>
                <w:rFonts w:ascii="Arial" w:hAnsi="Arial" w:cs="Arial"/>
                <w:sz w:val="22"/>
                <w:szCs w:val="22"/>
              </w:rPr>
              <w:t xml:space="preserve">2743 </w:t>
            </w:r>
          </w:p>
        </w:tc>
      </w:tr>
      <w:tr w:rsidR="00245074" w:rsidRPr="000131F9" w14:paraId="187DBE54" w14:textId="77777777">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14:paraId="2CF47C76" w14:textId="77777777" w:rsidR="00245074" w:rsidRPr="00244FE8" w:rsidRDefault="00245074" w:rsidP="00245074">
            <w:pPr>
              <w:rPr>
                <w:rFonts w:ascii="Arial" w:hAnsi="Arial" w:cs="Arial"/>
                <w:sz w:val="22"/>
                <w:szCs w:val="22"/>
              </w:rPr>
            </w:pPr>
            <w:r w:rsidRPr="00244FE8">
              <w:rPr>
                <w:rFonts w:ascii="Arial" w:hAnsi="Arial" w:cs="Arial"/>
                <w:sz w:val="22"/>
                <w:szCs w:val="22"/>
              </w:rPr>
              <w:t>2002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78AE4" w14:textId="77777777" w:rsidR="00245074" w:rsidRPr="00244FE8" w:rsidRDefault="00245074" w:rsidP="00245074">
            <w:pPr>
              <w:ind w:left="15"/>
              <w:rPr>
                <w:rFonts w:ascii="Arial" w:hAnsi="Arial" w:cs="Arial"/>
                <w:sz w:val="22"/>
                <w:szCs w:val="22"/>
              </w:rPr>
            </w:pPr>
            <w:r w:rsidRPr="00244FE8">
              <w:rPr>
                <w:rFonts w:ascii="Arial" w:hAnsi="Arial" w:cs="Arial"/>
                <w:sz w:val="22"/>
                <w:szCs w:val="22"/>
              </w:rPr>
              <w:t>5-Sep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78265E" w14:textId="77777777" w:rsidR="00245074" w:rsidRPr="00244FE8" w:rsidRDefault="00245074" w:rsidP="00245074">
            <w:pPr>
              <w:ind w:left="-10"/>
              <w:rPr>
                <w:rFonts w:ascii="Arial" w:hAnsi="Arial" w:cs="Arial"/>
                <w:sz w:val="22"/>
                <w:szCs w:val="22"/>
              </w:rPr>
            </w:pPr>
            <w:r w:rsidRPr="00244FE8">
              <w:rPr>
                <w:rFonts w:ascii="Arial" w:hAnsi="Arial" w:cs="Arial"/>
                <w:sz w:val="22"/>
                <w:szCs w:val="22"/>
              </w:rPr>
              <w:t>24955</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4C04F" w14:textId="77777777" w:rsidR="00245074" w:rsidRPr="00244FE8" w:rsidRDefault="00245074" w:rsidP="00245074">
            <w:pPr>
              <w:rPr>
                <w:rFonts w:ascii="Arial" w:hAnsi="Arial" w:cs="Arial"/>
                <w:sz w:val="22"/>
                <w:szCs w:val="22"/>
              </w:rPr>
            </w:pPr>
            <w:r w:rsidRPr="00244FE8">
              <w:rPr>
                <w:rFonts w:ascii="Arial" w:hAnsi="Arial" w:cs="Arial"/>
                <w:sz w:val="22"/>
                <w:szCs w:val="22"/>
              </w:rPr>
              <w:t>1655</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328093" w14:textId="77777777" w:rsidR="00245074" w:rsidRPr="00244FE8" w:rsidRDefault="00245074" w:rsidP="00245074">
            <w:pPr>
              <w:rPr>
                <w:rFonts w:ascii="Arial" w:hAnsi="Arial" w:cs="Arial"/>
                <w:sz w:val="22"/>
                <w:szCs w:val="22"/>
              </w:rPr>
            </w:pPr>
            <w:r w:rsidRPr="00244FE8">
              <w:rPr>
                <w:rFonts w:ascii="Arial" w:hAnsi="Arial" w:cs="Arial"/>
                <w:sz w:val="22"/>
                <w:szCs w:val="22"/>
              </w:rPr>
              <w:t>21550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B5422" w14:textId="77777777" w:rsidR="00245074" w:rsidRPr="00244FE8" w:rsidRDefault="00245074" w:rsidP="00245074">
            <w:pPr>
              <w:ind w:left="37"/>
              <w:rPr>
                <w:rFonts w:ascii="Arial" w:hAnsi="Arial" w:cs="Arial"/>
                <w:sz w:val="22"/>
                <w:szCs w:val="22"/>
              </w:rPr>
            </w:pPr>
            <w:r w:rsidRPr="00244FE8">
              <w:rPr>
                <w:rFonts w:ascii="Arial" w:hAnsi="Arial" w:cs="Arial"/>
                <w:sz w:val="22"/>
                <w:szCs w:val="22"/>
              </w:rPr>
              <w:t xml:space="preserve">3405 </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14:paraId="2D574FD4" w14:textId="77777777" w:rsidR="00245074" w:rsidRPr="00244FE8" w:rsidRDefault="00245074" w:rsidP="00245074">
            <w:pPr>
              <w:rPr>
                <w:rFonts w:ascii="Arial" w:hAnsi="Arial" w:cs="Arial"/>
                <w:sz w:val="22"/>
                <w:szCs w:val="22"/>
              </w:rPr>
            </w:pPr>
            <w:r w:rsidRPr="00244FE8">
              <w:rPr>
                <w:rFonts w:ascii="Arial" w:hAnsi="Arial" w:cs="Arial"/>
                <w:sz w:val="22"/>
                <w:szCs w:val="22"/>
              </w:rPr>
              <w:t>13.6%</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14:paraId="099E49B1" w14:textId="77777777" w:rsidR="00245074" w:rsidRPr="000131F9" w:rsidRDefault="00245074" w:rsidP="00245074">
            <w:pPr>
              <w:ind w:left="4"/>
              <w:rPr>
                <w:rFonts w:ascii="Arial" w:hAnsi="Arial" w:cs="Arial"/>
                <w:sz w:val="22"/>
                <w:szCs w:val="22"/>
              </w:rPr>
            </w:pPr>
            <w:r w:rsidRPr="000131F9">
              <w:rPr>
                <w:rFonts w:ascii="Arial" w:hAnsi="Arial" w:cs="Arial"/>
                <w:sz w:val="22"/>
                <w:szCs w:val="22"/>
              </w:rPr>
              <w:t xml:space="preserve">9622 </w:t>
            </w:r>
          </w:p>
        </w:tc>
      </w:tr>
      <w:tr w:rsidR="00245074" w:rsidRPr="000131F9" w14:paraId="0C70D8FF" w14:textId="77777777">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14:paraId="2AFB6ABE" w14:textId="77777777" w:rsidR="00245074" w:rsidRPr="00244FE8" w:rsidRDefault="00245074" w:rsidP="00245074">
            <w:pPr>
              <w:rPr>
                <w:rFonts w:ascii="Arial" w:hAnsi="Arial" w:cs="Arial"/>
                <w:sz w:val="22"/>
                <w:szCs w:val="22"/>
              </w:rPr>
            </w:pPr>
            <w:r w:rsidRPr="00244FE8">
              <w:rPr>
                <w:rFonts w:ascii="Arial" w:hAnsi="Arial" w:cs="Arial"/>
                <w:sz w:val="22"/>
                <w:szCs w:val="22"/>
              </w:rPr>
              <w:t>2003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3AC6C8" w14:textId="77777777" w:rsidR="00245074" w:rsidRPr="00244FE8" w:rsidRDefault="00245074" w:rsidP="00245074">
            <w:pPr>
              <w:ind w:left="15"/>
              <w:rPr>
                <w:rFonts w:ascii="Arial" w:hAnsi="Arial" w:cs="Arial"/>
                <w:sz w:val="22"/>
                <w:szCs w:val="22"/>
              </w:rPr>
            </w:pPr>
            <w:r w:rsidRPr="00244FE8">
              <w:rPr>
                <w:rFonts w:ascii="Arial" w:hAnsi="Arial" w:cs="Arial"/>
                <w:sz w:val="22"/>
                <w:szCs w:val="22"/>
              </w:rPr>
              <w:t>2-Sep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E88C46" w14:textId="77777777" w:rsidR="00245074" w:rsidRPr="00244FE8" w:rsidRDefault="00245074" w:rsidP="00245074">
            <w:pPr>
              <w:ind w:left="-10"/>
              <w:rPr>
                <w:rFonts w:ascii="Arial" w:hAnsi="Arial" w:cs="Arial"/>
                <w:sz w:val="22"/>
                <w:szCs w:val="22"/>
              </w:rPr>
            </w:pPr>
            <w:r w:rsidRPr="00244FE8">
              <w:rPr>
                <w:rFonts w:ascii="Arial" w:hAnsi="Arial" w:cs="Arial"/>
                <w:sz w:val="22"/>
                <w:szCs w:val="22"/>
              </w:rPr>
              <w:t>24318</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5A13F2" w14:textId="77777777" w:rsidR="00245074" w:rsidRPr="00244FE8" w:rsidRDefault="00245074" w:rsidP="00245074">
            <w:pPr>
              <w:rPr>
                <w:rFonts w:ascii="Arial" w:hAnsi="Arial" w:cs="Arial"/>
                <w:sz w:val="22"/>
                <w:szCs w:val="22"/>
              </w:rPr>
            </w:pPr>
            <w:r w:rsidRPr="00244FE8">
              <w:rPr>
                <w:rFonts w:ascii="Arial" w:hAnsi="Arial" w:cs="Arial"/>
                <w:sz w:val="22"/>
                <w:szCs w:val="22"/>
              </w:rPr>
              <w:t>256</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BC25CB" w14:textId="77777777" w:rsidR="00245074" w:rsidRPr="00244FE8" w:rsidRDefault="00245074" w:rsidP="00245074">
            <w:pPr>
              <w:rPr>
                <w:rFonts w:ascii="Arial" w:hAnsi="Arial" w:cs="Arial"/>
                <w:sz w:val="22"/>
                <w:szCs w:val="22"/>
              </w:rPr>
            </w:pPr>
            <w:r w:rsidRPr="00244FE8">
              <w:rPr>
                <w:rFonts w:ascii="Arial" w:hAnsi="Arial" w:cs="Arial"/>
                <w:sz w:val="22"/>
                <w:szCs w:val="22"/>
              </w:rPr>
              <w:t>7560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02D8C2" w14:textId="77777777" w:rsidR="00245074" w:rsidRPr="00244FE8" w:rsidRDefault="00245074" w:rsidP="00245074">
            <w:pPr>
              <w:ind w:left="37"/>
              <w:rPr>
                <w:rFonts w:ascii="Arial" w:hAnsi="Arial" w:cs="Arial"/>
                <w:sz w:val="22"/>
                <w:szCs w:val="22"/>
              </w:rPr>
            </w:pPr>
            <w:r w:rsidRPr="00244FE8">
              <w:rPr>
                <w:rFonts w:ascii="Arial" w:hAnsi="Arial" w:cs="Arial"/>
                <w:sz w:val="22"/>
                <w:szCs w:val="22"/>
              </w:rPr>
              <w:t xml:space="preserve">16758 </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14:paraId="2A422F31" w14:textId="77777777" w:rsidR="00245074" w:rsidRPr="00244FE8" w:rsidRDefault="00245074" w:rsidP="00245074">
            <w:pPr>
              <w:rPr>
                <w:rFonts w:ascii="Arial" w:hAnsi="Arial" w:cs="Arial"/>
                <w:sz w:val="22"/>
                <w:szCs w:val="22"/>
              </w:rPr>
            </w:pPr>
            <w:r w:rsidRPr="00244FE8">
              <w:rPr>
                <w:rFonts w:ascii="Arial" w:hAnsi="Arial" w:cs="Arial"/>
                <w:sz w:val="22"/>
                <w:szCs w:val="22"/>
              </w:rPr>
              <w:t>68.9%</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14:paraId="481944CA" w14:textId="77777777" w:rsidR="00245074" w:rsidRPr="000131F9" w:rsidRDefault="00245074" w:rsidP="00245074">
            <w:pPr>
              <w:ind w:left="4"/>
              <w:rPr>
                <w:rFonts w:ascii="Arial" w:hAnsi="Arial" w:cs="Arial"/>
                <w:sz w:val="22"/>
                <w:szCs w:val="22"/>
              </w:rPr>
            </w:pPr>
            <w:r w:rsidRPr="000131F9">
              <w:rPr>
                <w:rFonts w:ascii="Arial" w:hAnsi="Arial" w:cs="Arial"/>
                <w:sz w:val="22"/>
                <w:szCs w:val="22"/>
              </w:rPr>
              <w:t xml:space="preserve">7144 </w:t>
            </w:r>
          </w:p>
        </w:tc>
      </w:tr>
      <w:tr w:rsidR="00245074" w:rsidRPr="000131F9" w14:paraId="36EED01E" w14:textId="77777777">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14:paraId="6041596B" w14:textId="77777777" w:rsidR="00245074" w:rsidRPr="00244FE8" w:rsidRDefault="00245074" w:rsidP="00245074">
            <w:pPr>
              <w:rPr>
                <w:rFonts w:ascii="Arial" w:hAnsi="Arial" w:cs="Arial"/>
                <w:sz w:val="22"/>
                <w:szCs w:val="22"/>
              </w:rPr>
            </w:pPr>
            <w:r w:rsidRPr="00244FE8">
              <w:rPr>
                <w:rFonts w:ascii="Arial" w:hAnsi="Arial" w:cs="Arial"/>
                <w:sz w:val="22"/>
                <w:szCs w:val="22"/>
              </w:rPr>
              <w:t>2004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105335" w14:textId="77777777" w:rsidR="00245074" w:rsidRPr="00244FE8" w:rsidRDefault="00245074" w:rsidP="00245074">
            <w:pPr>
              <w:ind w:left="15"/>
              <w:rPr>
                <w:rFonts w:ascii="Arial" w:hAnsi="Arial" w:cs="Arial"/>
                <w:sz w:val="22"/>
                <w:szCs w:val="22"/>
              </w:rPr>
            </w:pPr>
            <w:r w:rsidRPr="00244FE8">
              <w:rPr>
                <w:rFonts w:ascii="Arial" w:hAnsi="Arial" w:cs="Arial"/>
                <w:sz w:val="22"/>
                <w:szCs w:val="22"/>
              </w:rPr>
              <w:t>31-Aug</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550353" w14:textId="77777777" w:rsidR="00245074" w:rsidRPr="00244FE8" w:rsidRDefault="00245074" w:rsidP="00245074">
            <w:pPr>
              <w:ind w:left="-10"/>
              <w:rPr>
                <w:rFonts w:ascii="Arial" w:hAnsi="Arial" w:cs="Arial"/>
                <w:sz w:val="22"/>
                <w:szCs w:val="22"/>
              </w:rPr>
            </w:pPr>
            <w:r w:rsidRPr="00244FE8">
              <w:rPr>
                <w:rFonts w:ascii="Arial" w:hAnsi="Arial" w:cs="Arial"/>
                <w:sz w:val="22"/>
                <w:szCs w:val="22"/>
              </w:rPr>
              <w:t>25859</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D76A6" w14:textId="77777777" w:rsidR="00245074" w:rsidRPr="00244FE8" w:rsidRDefault="00245074" w:rsidP="00245074">
            <w:pPr>
              <w:rPr>
                <w:rFonts w:ascii="Arial" w:hAnsi="Arial" w:cs="Arial"/>
                <w:sz w:val="22"/>
                <w:szCs w:val="22"/>
              </w:rPr>
            </w:pPr>
            <w:r w:rsidRPr="00244FE8">
              <w:rPr>
                <w:rFonts w:ascii="Arial" w:hAnsi="Arial" w:cs="Arial"/>
                <w:sz w:val="22"/>
                <w:szCs w:val="22"/>
              </w:rPr>
              <w:t>1890</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6D7C93" w14:textId="77777777" w:rsidR="00245074" w:rsidRPr="00244FE8" w:rsidRDefault="00245074" w:rsidP="00245074">
            <w:pPr>
              <w:rPr>
                <w:rFonts w:ascii="Arial" w:hAnsi="Arial" w:cs="Arial"/>
                <w:sz w:val="22"/>
                <w:szCs w:val="22"/>
              </w:rPr>
            </w:pPr>
            <w:r w:rsidRPr="00244FE8">
              <w:rPr>
                <w:rFonts w:ascii="Arial" w:hAnsi="Arial" w:cs="Arial"/>
                <w:sz w:val="22"/>
                <w:szCs w:val="22"/>
              </w:rPr>
              <w:t>23900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50C4B5" w14:textId="77777777" w:rsidR="00245074" w:rsidRPr="00244FE8" w:rsidRDefault="00245074" w:rsidP="00245074">
            <w:pPr>
              <w:ind w:left="37"/>
              <w:rPr>
                <w:rFonts w:ascii="Arial" w:hAnsi="Arial" w:cs="Arial"/>
                <w:sz w:val="22"/>
                <w:szCs w:val="22"/>
              </w:rPr>
            </w:pPr>
            <w:r w:rsidRPr="00244FE8">
              <w:rPr>
                <w:rFonts w:ascii="Arial" w:hAnsi="Arial" w:cs="Arial"/>
                <w:sz w:val="22"/>
                <w:szCs w:val="22"/>
              </w:rPr>
              <w:t xml:space="preserve">1959 </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14:paraId="01971B2A" w14:textId="77777777" w:rsidR="00245074" w:rsidRPr="00244FE8" w:rsidRDefault="00245074" w:rsidP="00245074">
            <w:pPr>
              <w:rPr>
                <w:rFonts w:ascii="Arial" w:hAnsi="Arial" w:cs="Arial"/>
                <w:sz w:val="22"/>
                <w:szCs w:val="22"/>
              </w:rPr>
            </w:pPr>
            <w:r w:rsidRPr="00244FE8">
              <w:rPr>
                <w:rFonts w:ascii="Arial" w:hAnsi="Arial" w:cs="Arial"/>
                <w:sz w:val="22"/>
                <w:szCs w:val="22"/>
              </w:rPr>
              <w:t>7.6%</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14:paraId="1CF9D1B5" w14:textId="77777777" w:rsidR="00245074" w:rsidRPr="000131F9" w:rsidRDefault="00245074" w:rsidP="00245074">
            <w:pPr>
              <w:ind w:left="4"/>
              <w:rPr>
                <w:rFonts w:ascii="Arial" w:hAnsi="Arial" w:cs="Arial"/>
                <w:sz w:val="22"/>
                <w:szCs w:val="22"/>
              </w:rPr>
            </w:pPr>
            <w:r w:rsidRPr="000131F9">
              <w:rPr>
                <w:rFonts w:ascii="Arial" w:hAnsi="Arial" w:cs="Arial"/>
                <w:sz w:val="22"/>
                <w:szCs w:val="22"/>
              </w:rPr>
              <w:t xml:space="preserve">20924 </w:t>
            </w:r>
          </w:p>
        </w:tc>
      </w:tr>
      <w:tr w:rsidR="00245074" w:rsidRPr="000131F9" w14:paraId="1615754C" w14:textId="77777777">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14:paraId="02B2D932" w14:textId="77777777" w:rsidR="00245074" w:rsidRPr="00244FE8" w:rsidRDefault="00245074" w:rsidP="00245074">
            <w:pPr>
              <w:rPr>
                <w:rFonts w:ascii="Arial" w:hAnsi="Arial" w:cs="Arial"/>
                <w:sz w:val="22"/>
                <w:szCs w:val="22"/>
              </w:rPr>
            </w:pPr>
            <w:r w:rsidRPr="00244FE8">
              <w:rPr>
                <w:rFonts w:ascii="Arial" w:hAnsi="Arial" w:cs="Arial"/>
                <w:sz w:val="22"/>
                <w:szCs w:val="22"/>
              </w:rPr>
              <w:t>2005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42F722" w14:textId="77777777" w:rsidR="00245074" w:rsidRPr="00244FE8" w:rsidRDefault="00245074" w:rsidP="00245074">
            <w:pPr>
              <w:ind w:left="15"/>
              <w:rPr>
                <w:rFonts w:ascii="Arial" w:hAnsi="Arial" w:cs="Arial"/>
                <w:sz w:val="22"/>
                <w:szCs w:val="22"/>
              </w:rPr>
            </w:pPr>
            <w:r w:rsidRPr="00244FE8">
              <w:rPr>
                <w:rFonts w:ascii="Arial" w:hAnsi="Arial" w:cs="Arial"/>
                <w:sz w:val="22"/>
                <w:szCs w:val="22"/>
              </w:rPr>
              <w:t>29-Aug</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F8E05" w14:textId="77777777" w:rsidR="00245074" w:rsidRPr="00244FE8" w:rsidRDefault="00245074" w:rsidP="00245074">
            <w:pPr>
              <w:ind w:left="-10"/>
              <w:rPr>
                <w:rFonts w:ascii="Arial" w:hAnsi="Arial" w:cs="Arial"/>
                <w:sz w:val="22"/>
                <w:szCs w:val="22"/>
              </w:rPr>
            </w:pPr>
            <w:r w:rsidRPr="00244FE8">
              <w:rPr>
                <w:rFonts w:ascii="Arial" w:hAnsi="Arial" w:cs="Arial"/>
                <w:sz w:val="22"/>
                <w:szCs w:val="22"/>
              </w:rPr>
              <w:t>21122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C84F47" w14:textId="77777777" w:rsidR="00245074" w:rsidRPr="00244FE8" w:rsidRDefault="00245074" w:rsidP="00245074">
            <w:pPr>
              <w:rPr>
                <w:rFonts w:ascii="Arial" w:hAnsi="Arial" w:cs="Arial"/>
                <w:sz w:val="22"/>
                <w:szCs w:val="22"/>
              </w:rPr>
            </w:pPr>
            <w:r w:rsidRPr="00244FE8">
              <w:rPr>
                <w:rFonts w:ascii="Arial" w:hAnsi="Arial" w:cs="Arial"/>
                <w:sz w:val="22"/>
                <w:szCs w:val="22"/>
              </w:rPr>
              <w:t>4142</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961B33" w14:textId="77777777" w:rsidR="00245074" w:rsidRPr="00244FE8" w:rsidRDefault="00245074" w:rsidP="00245074">
            <w:pPr>
              <w:rPr>
                <w:rFonts w:ascii="Arial" w:hAnsi="Arial" w:cs="Arial"/>
                <w:sz w:val="22"/>
                <w:szCs w:val="22"/>
              </w:rPr>
            </w:pPr>
            <w:r w:rsidRPr="00244FE8">
              <w:rPr>
                <w:rFonts w:ascii="Arial" w:hAnsi="Arial" w:cs="Arial"/>
                <w:sz w:val="22"/>
                <w:szCs w:val="22"/>
              </w:rPr>
              <w:t>46420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9E6D82" w14:textId="77777777" w:rsidR="00245074" w:rsidRPr="00244FE8" w:rsidRDefault="00245074" w:rsidP="00245074">
            <w:pPr>
              <w:ind w:left="37"/>
              <w:rPr>
                <w:rFonts w:ascii="Arial" w:hAnsi="Arial" w:cs="Arial"/>
                <w:sz w:val="22"/>
                <w:szCs w:val="22"/>
              </w:rPr>
            </w:pPr>
            <w:r w:rsidRPr="00244FE8">
              <w:rPr>
                <w:rFonts w:ascii="Arial" w:hAnsi="Arial" w:cs="Arial"/>
                <w:color w:val="DD0806"/>
                <w:sz w:val="22"/>
                <w:szCs w:val="22"/>
              </w:rPr>
              <w:t>(25298)</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14:paraId="4DDC0957" w14:textId="77777777" w:rsidR="00245074" w:rsidRPr="00244FE8" w:rsidRDefault="00245074" w:rsidP="00245074">
            <w:pPr>
              <w:rPr>
                <w:rFonts w:ascii="Arial" w:hAnsi="Arial" w:cs="Arial"/>
                <w:sz w:val="22"/>
                <w:szCs w:val="22"/>
              </w:rPr>
            </w:pPr>
            <w:r w:rsidRPr="00244FE8">
              <w:rPr>
                <w:rFonts w:ascii="Arial" w:hAnsi="Arial" w:cs="Arial"/>
                <w:sz w:val="22"/>
                <w:szCs w:val="22"/>
              </w:rPr>
              <w:t>0.0%</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14:paraId="0D5F24DA" w14:textId="77777777" w:rsidR="00245074" w:rsidRPr="000131F9" w:rsidRDefault="00245074" w:rsidP="00245074">
            <w:pPr>
              <w:ind w:left="4"/>
              <w:rPr>
                <w:rFonts w:ascii="Arial" w:hAnsi="Arial" w:cs="Arial"/>
                <w:sz w:val="22"/>
                <w:szCs w:val="22"/>
              </w:rPr>
            </w:pPr>
            <w:r w:rsidRPr="000131F9">
              <w:rPr>
                <w:rFonts w:ascii="Arial" w:hAnsi="Arial" w:cs="Arial"/>
                <w:sz w:val="22"/>
                <w:szCs w:val="22"/>
              </w:rPr>
              <w:t xml:space="preserve">33734 </w:t>
            </w:r>
          </w:p>
        </w:tc>
      </w:tr>
      <w:tr w:rsidR="00245074" w:rsidRPr="000131F9" w14:paraId="2BEACC5B" w14:textId="77777777">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14:paraId="50419DA1" w14:textId="77777777" w:rsidR="00245074" w:rsidRPr="00244FE8" w:rsidRDefault="00245074" w:rsidP="00245074">
            <w:pPr>
              <w:rPr>
                <w:rFonts w:ascii="Arial" w:hAnsi="Arial" w:cs="Arial"/>
                <w:sz w:val="22"/>
                <w:szCs w:val="22"/>
              </w:rPr>
            </w:pPr>
            <w:r w:rsidRPr="00244FE8">
              <w:rPr>
                <w:rFonts w:ascii="Arial" w:hAnsi="Arial" w:cs="Arial"/>
                <w:sz w:val="22"/>
                <w:szCs w:val="22"/>
              </w:rPr>
              <w:t>2006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490C19" w14:textId="77777777" w:rsidR="00245074" w:rsidRPr="00244FE8" w:rsidRDefault="00245074" w:rsidP="00245074">
            <w:pPr>
              <w:ind w:left="15"/>
              <w:rPr>
                <w:rFonts w:ascii="Arial" w:hAnsi="Arial" w:cs="Arial"/>
                <w:sz w:val="22"/>
                <w:szCs w:val="22"/>
              </w:rPr>
            </w:pPr>
            <w:r w:rsidRPr="00244FE8">
              <w:rPr>
                <w:rFonts w:ascii="Arial" w:hAnsi="Arial" w:cs="Arial"/>
                <w:sz w:val="22"/>
                <w:szCs w:val="22"/>
              </w:rPr>
              <w:t>10-Sep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61D00F" w14:textId="77777777" w:rsidR="00245074" w:rsidRPr="00244FE8" w:rsidRDefault="00245074" w:rsidP="00245074">
            <w:pPr>
              <w:ind w:left="-10"/>
              <w:rPr>
                <w:rFonts w:ascii="Arial" w:hAnsi="Arial" w:cs="Arial"/>
                <w:sz w:val="22"/>
                <w:szCs w:val="22"/>
              </w:rPr>
            </w:pPr>
            <w:r w:rsidRPr="00244FE8">
              <w:rPr>
                <w:rFonts w:ascii="Arial" w:hAnsi="Arial" w:cs="Arial"/>
                <w:sz w:val="22"/>
                <w:szCs w:val="22"/>
              </w:rPr>
              <w:t>12182</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779308" w14:textId="77777777" w:rsidR="00245074" w:rsidRPr="00244FE8" w:rsidRDefault="00245074" w:rsidP="00245074">
            <w:pPr>
              <w:rPr>
                <w:rFonts w:ascii="Arial" w:hAnsi="Arial" w:cs="Arial"/>
                <w:sz w:val="22"/>
                <w:szCs w:val="22"/>
              </w:rPr>
            </w:pPr>
            <w:r w:rsidRPr="00244FE8">
              <w:rPr>
                <w:rFonts w:ascii="Arial" w:hAnsi="Arial" w:cs="Arial"/>
                <w:sz w:val="22"/>
                <w:szCs w:val="22"/>
              </w:rPr>
              <w:t>3591</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50A256" w14:textId="77777777" w:rsidR="00245074" w:rsidRPr="00244FE8" w:rsidRDefault="00245074" w:rsidP="00245074">
            <w:pPr>
              <w:rPr>
                <w:rFonts w:ascii="Arial" w:hAnsi="Arial" w:cs="Arial"/>
                <w:sz w:val="22"/>
                <w:szCs w:val="22"/>
              </w:rPr>
            </w:pPr>
            <w:r w:rsidRPr="00244FE8">
              <w:rPr>
                <w:rFonts w:ascii="Arial" w:hAnsi="Arial" w:cs="Arial"/>
                <w:sz w:val="22"/>
                <w:szCs w:val="22"/>
              </w:rPr>
              <w:t>40910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706FAB" w14:textId="77777777" w:rsidR="00245074" w:rsidRPr="00244FE8" w:rsidRDefault="00245074" w:rsidP="00245074">
            <w:pPr>
              <w:ind w:left="37"/>
              <w:rPr>
                <w:rFonts w:ascii="Arial" w:hAnsi="Arial" w:cs="Arial"/>
                <w:sz w:val="22"/>
                <w:szCs w:val="22"/>
              </w:rPr>
            </w:pPr>
            <w:r w:rsidRPr="00244FE8">
              <w:rPr>
                <w:rFonts w:ascii="Arial" w:hAnsi="Arial" w:cs="Arial"/>
                <w:color w:val="DD0806"/>
                <w:sz w:val="22"/>
                <w:szCs w:val="22"/>
              </w:rPr>
              <w:t>(28728)</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14:paraId="0678D654" w14:textId="77777777" w:rsidR="00245074" w:rsidRPr="00244FE8" w:rsidRDefault="00245074" w:rsidP="00245074">
            <w:pPr>
              <w:rPr>
                <w:rFonts w:ascii="Arial" w:hAnsi="Arial" w:cs="Arial"/>
                <w:sz w:val="22"/>
                <w:szCs w:val="22"/>
              </w:rPr>
            </w:pPr>
            <w:r w:rsidRPr="00244FE8">
              <w:rPr>
                <w:rFonts w:ascii="Arial" w:hAnsi="Arial" w:cs="Arial"/>
                <w:sz w:val="22"/>
                <w:szCs w:val="22"/>
              </w:rPr>
              <w:t>0.0%</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14:paraId="64C31ADF" w14:textId="77777777" w:rsidR="00245074" w:rsidRPr="000131F9" w:rsidRDefault="00245074" w:rsidP="00245074">
            <w:pPr>
              <w:ind w:left="4"/>
              <w:rPr>
                <w:rFonts w:ascii="Arial" w:hAnsi="Arial" w:cs="Arial"/>
                <w:sz w:val="22"/>
                <w:szCs w:val="22"/>
              </w:rPr>
            </w:pPr>
            <w:r w:rsidRPr="000131F9">
              <w:rPr>
                <w:rFonts w:ascii="Arial" w:hAnsi="Arial" w:cs="Arial"/>
                <w:sz w:val="22"/>
                <w:szCs w:val="22"/>
              </w:rPr>
              <w:t xml:space="preserve">21179 </w:t>
            </w:r>
          </w:p>
        </w:tc>
      </w:tr>
      <w:tr w:rsidR="00245074" w:rsidRPr="000131F9" w14:paraId="38934991" w14:textId="77777777">
        <w:trPr>
          <w:trHeight w:val="268"/>
        </w:trPr>
        <w:tc>
          <w:tcPr>
            <w:tcW w:w="828" w:type="dxa"/>
            <w:tcBorders>
              <w:top w:val="single" w:sz="4" w:space="0" w:color="auto"/>
              <w:left w:val="single" w:sz="4" w:space="0" w:color="auto"/>
              <w:bottom w:val="single" w:sz="4" w:space="0" w:color="auto"/>
              <w:right w:val="nil"/>
            </w:tcBorders>
            <w:shd w:val="clear" w:color="auto" w:fill="auto"/>
            <w:noWrap/>
            <w:vAlign w:val="bottom"/>
          </w:tcPr>
          <w:p w14:paraId="69AE95C0" w14:textId="77777777" w:rsidR="00245074" w:rsidRPr="00244FE8" w:rsidRDefault="00245074" w:rsidP="00245074">
            <w:pPr>
              <w:rPr>
                <w:rFonts w:ascii="Arial" w:hAnsi="Arial" w:cs="Arial"/>
                <w:sz w:val="22"/>
                <w:szCs w:val="22"/>
              </w:rPr>
            </w:pPr>
            <w:r w:rsidRPr="00244FE8">
              <w:rPr>
                <w:rFonts w:ascii="Arial" w:hAnsi="Arial" w:cs="Arial"/>
                <w:sz w:val="22"/>
                <w:szCs w:val="22"/>
              </w:rPr>
              <w:t>2007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3C6A8" w14:textId="77777777" w:rsidR="00245074" w:rsidRPr="00244FE8" w:rsidRDefault="00245074" w:rsidP="00245074">
            <w:pPr>
              <w:ind w:left="15"/>
              <w:rPr>
                <w:rFonts w:ascii="Arial" w:hAnsi="Arial" w:cs="Arial"/>
                <w:sz w:val="22"/>
                <w:szCs w:val="22"/>
              </w:rPr>
            </w:pPr>
            <w:r w:rsidRPr="00244FE8">
              <w:rPr>
                <w:rFonts w:ascii="Arial" w:hAnsi="Arial" w:cs="Arial"/>
                <w:sz w:val="22"/>
                <w:szCs w:val="22"/>
              </w:rPr>
              <w:t>2-Sep</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9080E" w14:textId="77777777" w:rsidR="00245074" w:rsidRPr="00244FE8" w:rsidRDefault="00245074" w:rsidP="00245074">
            <w:pPr>
              <w:ind w:left="-10"/>
              <w:rPr>
                <w:rFonts w:ascii="Arial" w:hAnsi="Arial" w:cs="Arial"/>
                <w:sz w:val="22"/>
                <w:szCs w:val="22"/>
              </w:rPr>
            </w:pPr>
            <w:r w:rsidRPr="00244FE8">
              <w:rPr>
                <w:rFonts w:ascii="Arial" w:hAnsi="Arial" w:cs="Arial"/>
                <w:sz w:val="22"/>
                <w:szCs w:val="22"/>
              </w:rPr>
              <w:t>14848</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16BF94" w14:textId="77777777" w:rsidR="00245074" w:rsidRPr="00244FE8" w:rsidRDefault="00245074" w:rsidP="00245074">
            <w:pPr>
              <w:rPr>
                <w:rFonts w:ascii="Arial" w:hAnsi="Arial" w:cs="Arial"/>
                <w:sz w:val="22"/>
                <w:szCs w:val="22"/>
              </w:rPr>
            </w:pPr>
            <w:r w:rsidRPr="00244FE8">
              <w:rPr>
                <w:rFonts w:ascii="Arial" w:hAnsi="Arial" w:cs="Arial"/>
                <w:sz w:val="22"/>
                <w:szCs w:val="22"/>
              </w:rPr>
              <w:t>1465</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C056FA" w14:textId="77777777" w:rsidR="00245074" w:rsidRPr="00244FE8" w:rsidRDefault="00245074" w:rsidP="00245074">
            <w:pPr>
              <w:rPr>
                <w:rFonts w:ascii="Arial" w:hAnsi="Arial" w:cs="Arial"/>
                <w:sz w:val="22"/>
                <w:szCs w:val="22"/>
              </w:rPr>
            </w:pPr>
            <w:r w:rsidRPr="00244FE8">
              <w:rPr>
                <w:rFonts w:ascii="Arial" w:hAnsi="Arial" w:cs="Arial"/>
                <w:sz w:val="22"/>
                <w:szCs w:val="22"/>
              </w:rPr>
              <w:t>19650</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D56FDD" w14:textId="77777777" w:rsidR="00245074" w:rsidRPr="00244FE8" w:rsidRDefault="00245074" w:rsidP="00245074">
            <w:pPr>
              <w:ind w:left="37"/>
              <w:rPr>
                <w:rFonts w:ascii="Arial" w:hAnsi="Arial" w:cs="Arial"/>
                <w:sz w:val="22"/>
                <w:szCs w:val="22"/>
              </w:rPr>
            </w:pPr>
            <w:r w:rsidRPr="00244FE8">
              <w:rPr>
                <w:rFonts w:ascii="Arial" w:hAnsi="Arial" w:cs="Arial"/>
                <w:color w:val="DD0806"/>
                <w:sz w:val="22"/>
                <w:szCs w:val="22"/>
              </w:rPr>
              <w:t>(4802)</w:t>
            </w:r>
          </w:p>
        </w:tc>
        <w:tc>
          <w:tcPr>
            <w:tcW w:w="1170" w:type="dxa"/>
            <w:tcBorders>
              <w:top w:val="single" w:sz="4" w:space="0" w:color="auto"/>
              <w:left w:val="single" w:sz="4" w:space="0" w:color="auto"/>
              <w:bottom w:val="single" w:sz="4" w:space="0" w:color="auto"/>
              <w:right w:val="single" w:sz="4" w:space="0" w:color="auto"/>
            </w:tcBorders>
            <w:shd w:val="clear" w:color="auto" w:fill="CCFFFF"/>
            <w:noWrap/>
            <w:vAlign w:val="bottom"/>
          </w:tcPr>
          <w:p w14:paraId="60315038" w14:textId="77777777" w:rsidR="00245074" w:rsidRPr="00244FE8" w:rsidRDefault="00245074" w:rsidP="00245074">
            <w:pPr>
              <w:rPr>
                <w:rFonts w:ascii="Arial" w:hAnsi="Arial" w:cs="Arial"/>
                <w:sz w:val="22"/>
                <w:szCs w:val="22"/>
              </w:rPr>
            </w:pPr>
            <w:r w:rsidRPr="00244FE8">
              <w:rPr>
                <w:rFonts w:ascii="Arial" w:hAnsi="Arial" w:cs="Arial"/>
                <w:sz w:val="22"/>
                <w:szCs w:val="22"/>
              </w:rPr>
              <w:t>0.0%</w:t>
            </w:r>
          </w:p>
        </w:tc>
        <w:tc>
          <w:tcPr>
            <w:tcW w:w="1620" w:type="dxa"/>
            <w:tcBorders>
              <w:top w:val="single" w:sz="4" w:space="0" w:color="auto"/>
              <w:left w:val="single" w:sz="4" w:space="0" w:color="auto"/>
              <w:bottom w:val="single" w:sz="4" w:space="0" w:color="auto"/>
              <w:right w:val="single" w:sz="4" w:space="0" w:color="auto"/>
            </w:tcBorders>
            <w:shd w:val="clear" w:color="auto" w:fill="FCF305"/>
            <w:noWrap/>
            <w:vAlign w:val="bottom"/>
          </w:tcPr>
          <w:p w14:paraId="5EDF5380" w14:textId="77777777" w:rsidR="00245074" w:rsidRPr="000131F9" w:rsidRDefault="00245074" w:rsidP="00245074">
            <w:pPr>
              <w:ind w:left="4"/>
              <w:rPr>
                <w:rFonts w:ascii="Arial" w:hAnsi="Arial" w:cs="Arial"/>
                <w:sz w:val="22"/>
                <w:szCs w:val="22"/>
              </w:rPr>
            </w:pPr>
            <w:r w:rsidRPr="000131F9">
              <w:rPr>
                <w:rFonts w:ascii="Arial" w:hAnsi="Arial" w:cs="Arial"/>
                <w:sz w:val="22"/>
                <w:szCs w:val="22"/>
              </w:rPr>
              <w:t xml:space="preserve">33813 </w:t>
            </w:r>
          </w:p>
        </w:tc>
      </w:tr>
      <w:tr w:rsidR="00245074" w:rsidRPr="000131F9" w14:paraId="3485B8EA" w14:textId="77777777">
        <w:trPr>
          <w:trHeight w:val="268"/>
        </w:trPr>
        <w:tc>
          <w:tcPr>
            <w:tcW w:w="8575" w:type="dxa"/>
            <w:gridSpan w:val="8"/>
            <w:tcBorders>
              <w:top w:val="single" w:sz="4" w:space="0" w:color="auto"/>
              <w:left w:val="single" w:sz="4" w:space="0" w:color="auto"/>
              <w:right w:val="single" w:sz="4" w:space="0" w:color="auto"/>
            </w:tcBorders>
            <w:shd w:val="clear" w:color="auto" w:fill="auto"/>
            <w:noWrap/>
            <w:vAlign w:val="bottom"/>
          </w:tcPr>
          <w:p w14:paraId="057A0104" w14:textId="77777777" w:rsidR="00245074" w:rsidRPr="00244FE8" w:rsidRDefault="00245074" w:rsidP="00245074">
            <w:pPr>
              <w:ind w:left="180"/>
              <w:rPr>
                <w:rFonts w:ascii="Arial" w:hAnsi="Arial" w:cs="Arial"/>
                <w:sz w:val="22"/>
                <w:szCs w:val="22"/>
              </w:rPr>
            </w:pPr>
            <w:r w:rsidRPr="00244FE8">
              <w:rPr>
                <w:rFonts w:ascii="Arial" w:hAnsi="Arial" w:cs="Arial"/>
                <w:sz w:val="22"/>
                <w:szCs w:val="22"/>
              </w:rPr>
              <w:t>A = date when 2/3 Pollock caught</w:t>
            </w:r>
          </w:p>
        </w:tc>
      </w:tr>
      <w:tr w:rsidR="00245074" w:rsidRPr="000131F9" w14:paraId="56D068DF" w14:textId="77777777">
        <w:trPr>
          <w:trHeight w:val="268"/>
        </w:trPr>
        <w:tc>
          <w:tcPr>
            <w:tcW w:w="8575" w:type="dxa"/>
            <w:gridSpan w:val="8"/>
            <w:tcBorders>
              <w:left w:val="single" w:sz="4" w:space="0" w:color="auto"/>
              <w:right w:val="single" w:sz="4" w:space="0" w:color="auto"/>
            </w:tcBorders>
            <w:shd w:val="clear" w:color="auto" w:fill="auto"/>
            <w:noWrap/>
            <w:vAlign w:val="bottom"/>
          </w:tcPr>
          <w:p w14:paraId="0913C745" w14:textId="77777777" w:rsidR="00245074" w:rsidRPr="00244FE8" w:rsidRDefault="00245074" w:rsidP="00245074">
            <w:pPr>
              <w:ind w:left="180"/>
              <w:rPr>
                <w:rFonts w:ascii="Arial" w:hAnsi="Arial" w:cs="Arial"/>
                <w:sz w:val="22"/>
                <w:szCs w:val="22"/>
              </w:rPr>
            </w:pPr>
            <w:r w:rsidRPr="00244FE8">
              <w:rPr>
                <w:rFonts w:ascii="Arial" w:hAnsi="Arial" w:cs="Arial"/>
                <w:sz w:val="22"/>
                <w:szCs w:val="22"/>
              </w:rPr>
              <w:t>B = sector credits remaining (includes 100% carry-forward from A season)</w:t>
            </w:r>
          </w:p>
        </w:tc>
      </w:tr>
      <w:tr w:rsidR="00245074" w:rsidRPr="000131F9" w14:paraId="7B3B0DCC" w14:textId="77777777">
        <w:trPr>
          <w:trHeight w:val="268"/>
        </w:trPr>
        <w:tc>
          <w:tcPr>
            <w:tcW w:w="8575" w:type="dxa"/>
            <w:gridSpan w:val="8"/>
            <w:tcBorders>
              <w:left w:val="single" w:sz="4" w:space="0" w:color="auto"/>
              <w:right w:val="single" w:sz="4" w:space="0" w:color="auto"/>
            </w:tcBorders>
            <w:shd w:val="clear" w:color="auto" w:fill="auto"/>
            <w:noWrap/>
            <w:vAlign w:val="bottom"/>
          </w:tcPr>
          <w:p w14:paraId="145425CE" w14:textId="77777777" w:rsidR="00245074" w:rsidRPr="00244FE8" w:rsidRDefault="00245074" w:rsidP="00245074">
            <w:pPr>
              <w:ind w:left="180"/>
              <w:rPr>
                <w:rFonts w:ascii="Arial" w:hAnsi="Arial" w:cs="Arial"/>
                <w:sz w:val="22"/>
                <w:szCs w:val="22"/>
              </w:rPr>
            </w:pPr>
            <w:r w:rsidRPr="00244FE8">
              <w:rPr>
                <w:rFonts w:ascii="Arial" w:hAnsi="Arial" w:cs="Arial"/>
                <w:sz w:val="22"/>
                <w:szCs w:val="22"/>
              </w:rPr>
              <w:t>C = bycatch caught (up to the date in A)</w:t>
            </w:r>
          </w:p>
        </w:tc>
      </w:tr>
      <w:tr w:rsidR="00245074" w:rsidRPr="000131F9" w14:paraId="7FCE1F87" w14:textId="77777777">
        <w:trPr>
          <w:trHeight w:val="268"/>
        </w:trPr>
        <w:tc>
          <w:tcPr>
            <w:tcW w:w="8575" w:type="dxa"/>
            <w:gridSpan w:val="8"/>
            <w:tcBorders>
              <w:left w:val="single" w:sz="4" w:space="0" w:color="auto"/>
              <w:right w:val="single" w:sz="4" w:space="0" w:color="auto"/>
            </w:tcBorders>
            <w:shd w:val="clear" w:color="auto" w:fill="auto"/>
            <w:noWrap/>
            <w:vAlign w:val="bottom"/>
          </w:tcPr>
          <w:p w14:paraId="238D53A1" w14:textId="77777777" w:rsidR="00245074" w:rsidRPr="00244FE8" w:rsidRDefault="00245074" w:rsidP="00245074">
            <w:pPr>
              <w:ind w:left="180"/>
              <w:rPr>
                <w:rFonts w:ascii="Arial" w:hAnsi="Arial" w:cs="Arial"/>
                <w:sz w:val="22"/>
                <w:szCs w:val="22"/>
              </w:rPr>
            </w:pPr>
            <w:r w:rsidRPr="00244FE8">
              <w:rPr>
                <w:rFonts w:ascii="Arial" w:hAnsi="Arial" w:cs="Arial"/>
                <w:sz w:val="22"/>
                <w:szCs w:val="22"/>
              </w:rPr>
              <w:t>D = predicted total bycatch (for season) + buffer (computed as D = 10 C + 5000)</w:t>
            </w:r>
          </w:p>
        </w:tc>
      </w:tr>
      <w:tr w:rsidR="00245074" w:rsidRPr="000131F9" w14:paraId="0859CE9B" w14:textId="77777777">
        <w:trPr>
          <w:trHeight w:val="268"/>
        </w:trPr>
        <w:tc>
          <w:tcPr>
            <w:tcW w:w="8575" w:type="dxa"/>
            <w:gridSpan w:val="8"/>
            <w:tcBorders>
              <w:left w:val="single" w:sz="4" w:space="0" w:color="auto"/>
              <w:right w:val="single" w:sz="4" w:space="0" w:color="auto"/>
            </w:tcBorders>
            <w:shd w:val="clear" w:color="auto" w:fill="auto"/>
            <w:noWrap/>
            <w:vAlign w:val="bottom"/>
          </w:tcPr>
          <w:p w14:paraId="219C684B" w14:textId="77777777" w:rsidR="00245074" w:rsidRPr="00244FE8" w:rsidRDefault="00245074" w:rsidP="00245074">
            <w:pPr>
              <w:ind w:left="180"/>
              <w:rPr>
                <w:rFonts w:ascii="Arial" w:hAnsi="Arial" w:cs="Arial"/>
                <w:sz w:val="22"/>
                <w:szCs w:val="22"/>
              </w:rPr>
            </w:pPr>
            <w:r w:rsidRPr="00244FE8">
              <w:rPr>
                <w:rFonts w:ascii="Arial" w:hAnsi="Arial" w:cs="Arial"/>
                <w:sz w:val="22"/>
                <w:szCs w:val="22"/>
              </w:rPr>
              <w:t>E = estimated surplus credits (computed as E = B – D)</w:t>
            </w:r>
          </w:p>
        </w:tc>
      </w:tr>
      <w:tr w:rsidR="00245074" w:rsidRPr="000131F9" w14:paraId="58FEF333" w14:textId="77777777">
        <w:trPr>
          <w:trHeight w:val="268"/>
        </w:trPr>
        <w:tc>
          <w:tcPr>
            <w:tcW w:w="8575" w:type="dxa"/>
            <w:gridSpan w:val="8"/>
            <w:tcBorders>
              <w:left w:val="single" w:sz="4" w:space="0" w:color="auto"/>
              <w:right w:val="single" w:sz="4" w:space="0" w:color="auto"/>
            </w:tcBorders>
            <w:shd w:val="clear" w:color="auto" w:fill="auto"/>
            <w:noWrap/>
            <w:vAlign w:val="bottom"/>
          </w:tcPr>
          <w:p w14:paraId="7857BD1D" w14:textId="77777777" w:rsidR="00245074" w:rsidRPr="00244FE8" w:rsidRDefault="00245074" w:rsidP="008203E8">
            <w:pPr>
              <w:ind w:left="180"/>
              <w:rPr>
                <w:rFonts w:ascii="Arial" w:hAnsi="Arial" w:cs="Arial"/>
                <w:sz w:val="22"/>
                <w:szCs w:val="22"/>
              </w:rPr>
            </w:pPr>
            <w:r w:rsidRPr="00244FE8">
              <w:rPr>
                <w:rFonts w:ascii="Arial" w:hAnsi="Arial" w:cs="Arial"/>
                <w:sz w:val="22"/>
                <w:szCs w:val="22"/>
              </w:rPr>
              <w:t xml:space="preserve">F = allowable </w:t>
            </w:r>
            <w:r w:rsidR="008203E8">
              <w:rPr>
                <w:rFonts w:ascii="Arial" w:hAnsi="Arial" w:cs="Arial"/>
                <w:sz w:val="22"/>
                <w:szCs w:val="22"/>
              </w:rPr>
              <w:t>salmon savings</w:t>
            </w:r>
            <w:r w:rsidRPr="00244FE8">
              <w:rPr>
                <w:rFonts w:ascii="Arial" w:hAnsi="Arial" w:cs="Arial"/>
                <w:sz w:val="22"/>
                <w:szCs w:val="22"/>
              </w:rPr>
              <w:t xml:space="preserve"> rate (computed as F = E / B)</w:t>
            </w:r>
          </w:p>
        </w:tc>
      </w:tr>
      <w:tr w:rsidR="00245074" w:rsidRPr="000131F9" w14:paraId="65FF1459" w14:textId="77777777">
        <w:trPr>
          <w:trHeight w:val="268"/>
        </w:trPr>
        <w:tc>
          <w:tcPr>
            <w:tcW w:w="8575" w:type="dxa"/>
            <w:gridSpan w:val="8"/>
            <w:tcBorders>
              <w:left w:val="single" w:sz="4" w:space="0" w:color="auto"/>
              <w:bottom w:val="single" w:sz="4" w:space="0" w:color="auto"/>
              <w:right w:val="single" w:sz="4" w:space="0" w:color="auto"/>
            </w:tcBorders>
            <w:shd w:val="clear" w:color="auto" w:fill="auto"/>
            <w:noWrap/>
            <w:vAlign w:val="bottom"/>
          </w:tcPr>
          <w:p w14:paraId="47C4DA7F" w14:textId="77777777" w:rsidR="00245074" w:rsidRPr="00244FE8" w:rsidRDefault="00245074" w:rsidP="00245074">
            <w:pPr>
              <w:ind w:left="180"/>
              <w:rPr>
                <w:rFonts w:ascii="Arial" w:hAnsi="Arial" w:cs="Arial"/>
                <w:sz w:val="22"/>
                <w:szCs w:val="22"/>
              </w:rPr>
            </w:pPr>
            <w:r w:rsidRPr="00244FE8">
              <w:rPr>
                <w:rFonts w:ascii="Arial" w:hAnsi="Arial" w:cs="Arial"/>
                <w:sz w:val="22"/>
                <w:szCs w:val="22"/>
              </w:rPr>
              <w:t>G = actual total bycatch (for season)</w:t>
            </w:r>
          </w:p>
        </w:tc>
      </w:tr>
    </w:tbl>
    <w:p w14:paraId="05BC8ED9" w14:textId="77777777" w:rsidR="004E7BA1" w:rsidRDefault="004E7BA1" w:rsidP="00E46B44">
      <w:pPr>
        <w:ind w:left="360"/>
      </w:pPr>
    </w:p>
    <w:p w14:paraId="2DC0DF9E" w14:textId="77777777" w:rsidR="00245074" w:rsidRPr="00E5308E" w:rsidRDefault="00245074" w:rsidP="00245074">
      <w:pPr>
        <w:pStyle w:val="Caption"/>
        <w:ind w:left="720"/>
        <w:rPr>
          <w:b w:val="0"/>
          <w:sz w:val="24"/>
        </w:rPr>
      </w:pPr>
      <w:bookmarkStart w:id="12" w:name="_Ref220712254"/>
      <w:bookmarkStart w:id="13" w:name="_Ref220712248"/>
      <w:r w:rsidRPr="0067208A">
        <w:rPr>
          <w:sz w:val="24"/>
        </w:rPr>
        <w:t xml:space="preserve">Table B - </w:t>
      </w:r>
      <w:r w:rsidR="00866D32" w:rsidRPr="0067208A">
        <w:rPr>
          <w:sz w:val="24"/>
        </w:rPr>
        <w:fldChar w:fldCharType="begin"/>
      </w:r>
      <w:r w:rsidRPr="0067208A">
        <w:rPr>
          <w:sz w:val="24"/>
        </w:rPr>
        <w:instrText xml:space="preserve"> SEQ Table_B_- \* ARABIC </w:instrText>
      </w:r>
      <w:r w:rsidR="00866D32" w:rsidRPr="0067208A">
        <w:rPr>
          <w:sz w:val="24"/>
        </w:rPr>
        <w:fldChar w:fldCharType="separate"/>
      </w:r>
      <w:r w:rsidR="001B0374">
        <w:rPr>
          <w:noProof/>
          <w:sz w:val="24"/>
        </w:rPr>
        <w:t>1</w:t>
      </w:r>
      <w:r w:rsidR="00866D32" w:rsidRPr="0067208A">
        <w:rPr>
          <w:sz w:val="24"/>
        </w:rPr>
        <w:fldChar w:fldCharType="end"/>
      </w:r>
      <w:bookmarkEnd w:id="12"/>
      <w:r w:rsidR="00671026">
        <w:rPr>
          <w:sz w:val="24"/>
        </w:rPr>
        <w:t xml:space="preserve">.  </w:t>
      </w:r>
      <w:r w:rsidRPr="00E5308E">
        <w:rPr>
          <w:b w:val="0"/>
          <w:sz w:val="24"/>
        </w:rPr>
        <w:t>calculation of SSR for the Inshore Catcher-Vessel sector for years 2000 - 2007</w:t>
      </w:r>
      <w:bookmarkEnd w:id="13"/>
    </w:p>
    <w:p w14:paraId="5B4F807F" w14:textId="77777777" w:rsidR="00245074" w:rsidRDefault="00245074" w:rsidP="00E46B44">
      <w:pPr>
        <w:ind w:left="360"/>
      </w:pPr>
    </w:p>
    <w:p w14:paraId="140168A6" w14:textId="77777777" w:rsidR="003C5999" w:rsidRDefault="003C5999" w:rsidP="00C84FF2">
      <w:r w:rsidRPr="003C5999">
        <w:rPr>
          <w:noProof/>
        </w:rPr>
        <w:drawing>
          <wp:inline distT="0" distB="0" distL="0" distR="0" wp14:anchorId="1D6C34A4" wp14:editId="5B2C2BF4">
            <wp:extent cx="5477510" cy="3743960"/>
            <wp:effectExtent l="0" t="0" r="8890" b="0"/>
            <wp:docPr id="23" name="Picture 1" descr="pasted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tedGraphic"/>
                    <pic:cNvPicPr>
                      <a:picLocks noChangeAspect="1" noChangeArrowheads="1"/>
                    </pic:cNvPicPr>
                  </pic:nvPicPr>
                  <pic:blipFill>
                    <a:blip r:embed="rId26"/>
                    <a:srcRect/>
                    <a:stretch>
                      <a:fillRect/>
                    </a:stretch>
                  </pic:blipFill>
                  <pic:spPr bwMode="auto">
                    <a:xfrm>
                      <a:off x="0" y="0"/>
                      <a:ext cx="5477510" cy="3743960"/>
                    </a:xfrm>
                    <a:prstGeom prst="rect">
                      <a:avLst/>
                    </a:prstGeom>
                    <a:noFill/>
                    <a:ln w="9525">
                      <a:noFill/>
                      <a:miter lim="800000"/>
                      <a:headEnd/>
                      <a:tailEnd/>
                    </a:ln>
                  </pic:spPr>
                </pic:pic>
              </a:graphicData>
            </a:graphic>
          </wp:inline>
        </w:drawing>
      </w:r>
    </w:p>
    <w:p w14:paraId="151859FC" w14:textId="77777777" w:rsidR="008D0597" w:rsidRPr="00946B11" w:rsidRDefault="00A359E9" w:rsidP="00946B11">
      <w:pPr>
        <w:pStyle w:val="Caption"/>
        <w:ind w:left="720"/>
        <w:rPr>
          <w:sz w:val="24"/>
        </w:rPr>
      </w:pPr>
      <w:r w:rsidRPr="000560FE">
        <w:rPr>
          <w:sz w:val="24"/>
        </w:rPr>
        <w:t xml:space="preserve">Figure B - </w:t>
      </w:r>
      <w:r w:rsidR="00866D32" w:rsidRPr="000560FE">
        <w:rPr>
          <w:sz w:val="24"/>
        </w:rPr>
        <w:fldChar w:fldCharType="begin"/>
      </w:r>
      <w:r w:rsidRPr="000560FE">
        <w:rPr>
          <w:sz w:val="24"/>
        </w:rPr>
        <w:instrText xml:space="preserve"> SEQ Figure_B_- \* ARABIC </w:instrText>
      </w:r>
      <w:r w:rsidR="00866D32" w:rsidRPr="000560FE">
        <w:rPr>
          <w:sz w:val="24"/>
        </w:rPr>
        <w:fldChar w:fldCharType="separate"/>
      </w:r>
      <w:r w:rsidR="001B0374">
        <w:rPr>
          <w:noProof/>
          <w:sz w:val="24"/>
        </w:rPr>
        <w:t>1</w:t>
      </w:r>
      <w:r w:rsidR="00866D32" w:rsidRPr="000560FE">
        <w:rPr>
          <w:sz w:val="24"/>
        </w:rPr>
        <w:fldChar w:fldCharType="end"/>
      </w:r>
      <w:r w:rsidR="00671026">
        <w:rPr>
          <w:sz w:val="24"/>
        </w:rPr>
        <w:t xml:space="preserve">.  </w:t>
      </w:r>
      <w:r w:rsidRPr="000560FE">
        <w:rPr>
          <w:b w:val="0"/>
          <w:sz w:val="24"/>
        </w:rPr>
        <w:t>Cumulative bycatch as a function of % pollock harvested during the B season.</w:t>
      </w:r>
    </w:p>
    <w:p w14:paraId="6240DC6E" w14:textId="77777777" w:rsidR="006D427C" w:rsidRDefault="006D427C" w:rsidP="006D427C">
      <w:pPr>
        <w:ind w:left="360"/>
      </w:pPr>
    </w:p>
    <w:p w14:paraId="6D555787" w14:textId="77777777" w:rsidR="00AE5570" w:rsidRDefault="00AE5570" w:rsidP="00A02ED9">
      <w:pPr>
        <w:pStyle w:val="ListParagraph"/>
        <w:numPr>
          <w:ilvl w:val="0"/>
          <w:numId w:val="17"/>
        </w:numPr>
        <w:tabs>
          <w:tab w:val="clear" w:pos="720"/>
          <w:tab w:val="num" w:pos="360"/>
        </w:tabs>
        <w:ind w:left="360"/>
      </w:pPr>
      <w:r>
        <w:t>Simulation results:</w:t>
      </w:r>
    </w:p>
    <w:p w14:paraId="7E0BC1A3" w14:textId="77777777" w:rsidR="00761B8B" w:rsidRDefault="00321973" w:rsidP="00E46B44">
      <w:pPr>
        <w:ind w:left="360"/>
      </w:pPr>
      <w:r>
        <w:t xml:space="preserve">The yearly data for quantities of ITEC retired as a function of yearly bycatch (a proxy for salmon abundance) under both the FTT and DSS schemes are shown in </w:t>
      </w:r>
      <w:r w:rsidR="00866D32">
        <w:fldChar w:fldCharType="begin"/>
      </w:r>
      <w:r w:rsidR="005C416C">
        <w:instrText xml:space="preserve"> REF _Ref220714282 \h </w:instrText>
      </w:r>
      <w:r w:rsidR="00866D32">
        <w:fldChar w:fldCharType="separate"/>
      </w:r>
      <w:r w:rsidR="001B0374" w:rsidRPr="004E2AD9">
        <w:t xml:space="preserve">Figure B - </w:t>
      </w:r>
      <w:r w:rsidR="001B0374">
        <w:rPr>
          <w:noProof/>
        </w:rPr>
        <w:t>2</w:t>
      </w:r>
      <w:r w:rsidR="00866D32">
        <w:fldChar w:fldCharType="end"/>
      </w:r>
      <w:r w:rsidR="005C416C">
        <w:t xml:space="preserve"> </w:t>
      </w:r>
      <w:r w:rsidR="000C0ACE">
        <w:t>and</w:t>
      </w:r>
      <w:r w:rsidR="00581D53">
        <w:t xml:space="preserve"> </w:t>
      </w:r>
      <w:r w:rsidR="00866D32">
        <w:fldChar w:fldCharType="begin"/>
      </w:r>
      <w:r w:rsidR="00581D53">
        <w:instrText xml:space="preserve"> REF _Ref220714334 \h </w:instrText>
      </w:r>
      <w:r w:rsidR="00866D32">
        <w:fldChar w:fldCharType="separate"/>
      </w:r>
      <w:r w:rsidR="001B0374" w:rsidRPr="000C0ACE">
        <w:t xml:space="preserve">Table B - </w:t>
      </w:r>
      <w:r w:rsidR="001B0374">
        <w:rPr>
          <w:noProof/>
        </w:rPr>
        <w:t>2</w:t>
      </w:r>
      <w:r w:rsidR="00866D32">
        <w:fldChar w:fldCharType="end"/>
      </w:r>
      <w:r w:rsidR="00671026">
        <w:t xml:space="preserve">.  </w:t>
      </w:r>
      <w:r>
        <w:t xml:space="preserve">Not only is the total quantity of credits retired through DSS higher for this eight year period (2000 – 2007), but the number of ITEC retired is high in years of </w:t>
      </w:r>
      <w:r w:rsidR="00C76A8E">
        <w:t xml:space="preserve">low </w:t>
      </w:r>
      <w:r>
        <w:t>salmon abundance: precisely when the potential for abusing extra ITEC is the highest!  Conversely, the quantity of credits retired through FTT is highest in mid-abundance years: when the most transactions take place (due to a balance of availability and demand)</w:t>
      </w:r>
      <w:r w:rsidR="00671026">
        <w:t xml:space="preserve">.  </w:t>
      </w:r>
      <w:r>
        <w:t>Increasing the FTT rate to recover more ITEC has the potential of reducing credit transfers in mid-abundance years</w:t>
      </w:r>
      <w:r w:rsidR="00671026">
        <w:t xml:space="preserve">.  </w:t>
      </w:r>
      <w:r>
        <w:t xml:space="preserve">The </w:t>
      </w:r>
      <w:r w:rsidR="00761B8B">
        <w:t>subsequent revenue loss can be extreme if a high FTT rate is chosen.</w:t>
      </w:r>
    </w:p>
    <w:p w14:paraId="24108420" w14:textId="77777777" w:rsidR="009777CA" w:rsidRDefault="009777CA" w:rsidP="00E46B44">
      <w:pPr>
        <w:ind w:left="360"/>
        <w:rPr>
          <w:sz w:val="28"/>
          <w:szCs w:val="28"/>
        </w:rPr>
      </w:pPr>
    </w:p>
    <w:p w14:paraId="28A9877C" w14:textId="77777777" w:rsidR="00321973" w:rsidRDefault="00321973" w:rsidP="00321973">
      <w:pPr>
        <w:rPr>
          <w:sz w:val="28"/>
          <w:szCs w:val="28"/>
        </w:rPr>
      </w:pPr>
      <w:r w:rsidRPr="00321973">
        <w:rPr>
          <w:noProof/>
          <w:sz w:val="28"/>
          <w:szCs w:val="28"/>
        </w:rPr>
        <w:drawing>
          <wp:inline distT="0" distB="0" distL="0" distR="0" wp14:anchorId="489F0835" wp14:editId="180AA78F">
            <wp:extent cx="5740842" cy="3904090"/>
            <wp:effectExtent l="0" t="0" r="0" b="0"/>
            <wp:docPr id="21"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ABF5AF2" w14:textId="77777777" w:rsidR="004E2AD9" w:rsidRPr="004E2AD9" w:rsidRDefault="004E2AD9" w:rsidP="004E2AD9">
      <w:pPr>
        <w:pStyle w:val="Caption"/>
        <w:ind w:left="720"/>
        <w:rPr>
          <w:sz w:val="24"/>
        </w:rPr>
      </w:pPr>
      <w:bookmarkStart w:id="14" w:name="_Ref220714282"/>
      <w:r w:rsidRPr="004E2AD9">
        <w:rPr>
          <w:sz w:val="24"/>
        </w:rPr>
        <w:t xml:space="preserve">Figure B - </w:t>
      </w:r>
      <w:r w:rsidR="00866D32" w:rsidRPr="004E2AD9">
        <w:rPr>
          <w:sz w:val="24"/>
        </w:rPr>
        <w:fldChar w:fldCharType="begin"/>
      </w:r>
      <w:r w:rsidRPr="004E2AD9">
        <w:rPr>
          <w:sz w:val="24"/>
        </w:rPr>
        <w:instrText xml:space="preserve"> SEQ Figure_B_- \* ARABIC </w:instrText>
      </w:r>
      <w:r w:rsidR="00866D32" w:rsidRPr="004E2AD9">
        <w:rPr>
          <w:sz w:val="24"/>
        </w:rPr>
        <w:fldChar w:fldCharType="separate"/>
      </w:r>
      <w:r w:rsidR="001B0374">
        <w:rPr>
          <w:noProof/>
          <w:sz w:val="24"/>
        </w:rPr>
        <w:t>2</w:t>
      </w:r>
      <w:r w:rsidR="00866D32" w:rsidRPr="004E2AD9">
        <w:rPr>
          <w:sz w:val="24"/>
        </w:rPr>
        <w:fldChar w:fldCharType="end"/>
      </w:r>
      <w:bookmarkEnd w:id="14"/>
      <w:r w:rsidR="00671026">
        <w:rPr>
          <w:sz w:val="24"/>
        </w:rPr>
        <w:t xml:space="preserve">.  </w:t>
      </w:r>
      <w:r w:rsidRPr="004E2AD9">
        <w:rPr>
          <w:b w:val="0"/>
          <w:sz w:val="24"/>
        </w:rPr>
        <w:t>Number of ITEC recovered vs</w:t>
      </w:r>
      <w:r w:rsidR="005F5C7F">
        <w:rPr>
          <w:b w:val="0"/>
          <w:sz w:val="24"/>
        </w:rPr>
        <w:t xml:space="preserve">. </w:t>
      </w:r>
      <w:r w:rsidRPr="004E2AD9">
        <w:rPr>
          <w:b w:val="0"/>
          <w:sz w:val="24"/>
        </w:rPr>
        <w:t>yearly bycatch (proxy for salmon abundance) for two different sell-side transfer rules.</w:t>
      </w:r>
      <w:r w:rsidR="00872D63">
        <w:rPr>
          <w:b w:val="0"/>
          <w:sz w:val="24"/>
        </w:rPr>
        <w:t xml:space="preserve">  </w:t>
      </w:r>
      <w:r w:rsidR="00AD60ED" w:rsidRPr="00846D48">
        <w:rPr>
          <w:b w:val="0"/>
          <w:sz w:val="24"/>
          <w:u w:val="single"/>
        </w:rPr>
        <w:t>More ITEC is saved during low salmon abundance years</w:t>
      </w:r>
      <w:r w:rsidR="00CA2196" w:rsidRPr="00846D48">
        <w:rPr>
          <w:b w:val="0"/>
          <w:sz w:val="24"/>
          <w:u w:val="single"/>
        </w:rPr>
        <w:t xml:space="preserve"> using Dynamic Salmon Savings.</w:t>
      </w:r>
    </w:p>
    <w:p w14:paraId="6A10A08C" w14:textId="77777777" w:rsidR="001C6A4B" w:rsidRDefault="001C6A4B">
      <w:pPr>
        <w:rPr>
          <w:sz w:val="28"/>
          <w:szCs w:val="28"/>
        </w:rPr>
      </w:pPr>
    </w:p>
    <w:tbl>
      <w:tblPr>
        <w:tblW w:w="5420" w:type="dxa"/>
        <w:tblInd w:w="1976" w:type="dxa"/>
        <w:tblLook w:val="04A0" w:firstRow="1" w:lastRow="0" w:firstColumn="1" w:lastColumn="0" w:noHBand="0" w:noVBand="1"/>
      </w:tblPr>
      <w:tblGrid>
        <w:gridCol w:w="1700"/>
        <w:gridCol w:w="1700"/>
        <w:gridCol w:w="2020"/>
      </w:tblGrid>
      <w:tr w:rsidR="00321973" w:rsidRPr="00493074" w14:paraId="3515B2A1" w14:textId="77777777">
        <w:trPr>
          <w:trHeight w:val="255"/>
        </w:trPr>
        <w:tc>
          <w:tcPr>
            <w:tcW w:w="1700" w:type="dxa"/>
            <w:tcBorders>
              <w:top w:val="single" w:sz="4" w:space="0" w:color="auto"/>
              <w:left w:val="single" w:sz="4" w:space="0" w:color="auto"/>
              <w:bottom w:val="nil"/>
              <w:right w:val="nil"/>
            </w:tcBorders>
            <w:shd w:val="clear" w:color="auto" w:fill="auto"/>
            <w:noWrap/>
            <w:vAlign w:val="bottom"/>
          </w:tcPr>
          <w:p w14:paraId="1AEC0243" w14:textId="77777777" w:rsidR="00321973" w:rsidRPr="00493074" w:rsidRDefault="00321973" w:rsidP="00873BAA">
            <w:pPr>
              <w:rPr>
                <w:rFonts w:ascii="Verdana" w:hAnsi="Verdana"/>
                <w:sz w:val="20"/>
              </w:rPr>
            </w:pPr>
            <w:r w:rsidRPr="00493074">
              <w:rPr>
                <w:rFonts w:ascii="Verdana" w:hAnsi="Verdana"/>
                <w:sz w:val="20"/>
              </w:rPr>
              <w:t> </w:t>
            </w:r>
          </w:p>
        </w:tc>
        <w:tc>
          <w:tcPr>
            <w:tcW w:w="3720" w:type="dxa"/>
            <w:gridSpan w:val="2"/>
            <w:tcBorders>
              <w:top w:val="single" w:sz="4" w:space="0" w:color="auto"/>
              <w:left w:val="single" w:sz="4" w:space="0" w:color="auto"/>
              <w:bottom w:val="nil"/>
              <w:right w:val="single" w:sz="4" w:space="0" w:color="000000"/>
            </w:tcBorders>
            <w:shd w:val="clear" w:color="auto" w:fill="auto"/>
            <w:noWrap/>
            <w:vAlign w:val="bottom"/>
          </w:tcPr>
          <w:p w14:paraId="6B1F914A" w14:textId="77777777" w:rsidR="00321973" w:rsidRPr="00493074" w:rsidRDefault="00321973" w:rsidP="00873BAA">
            <w:pPr>
              <w:jc w:val="center"/>
              <w:rPr>
                <w:rFonts w:ascii="Verdana" w:hAnsi="Verdana"/>
                <w:b/>
                <w:bCs/>
                <w:sz w:val="20"/>
              </w:rPr>
            </w:pPr>
            <w:r w:rsidRPr="00493074">
              <w:rPr>
                <w:rFonts w:ascii="Verdana" w:hAnsi="Verdana"/>
                <w:b/>
                <w:bCs/>
                <w:sz w:val="20"/>
              </w:rPr>
              <w:t>RETIRED CREDITS</w:t>
            </w:r>
          </w:p>
        </w:tc>
      </w:tr>
      <w:tr w:rsidR="00321973" w:rsidRPr="00493074" w14:paraId="54F2DA2A" w14:textId="77777777">
        <w:trPr>
          <w:trHeight w:val="522"/>
        </w:trPr>
        <w:tc>
          <w:tcPr>
            <w:tcW w:w="1700" w:type="dxa"/>
            <w:tcBorders>
              <w:top w:val="single" w:sz="4" w:space="0" w:color="auto"/>
              <w:left w:val="single" w:sz="4" w:space="0" w:color="auto"/>
              <w:bottom w:val="nil"/>
              <w:right w:val="nil"/>
            </w:tcBorders>
            <w:shd w:val="clear" w:color="auto" w:fill="auto"/>
            <w:vAlign w:val="bottom"/>
          </w:tcPr>
          <w:p w14:paraId="1C728FF3" w14:textId="77777777" w:rsidR="00321973" w:rsidRPr="00493074" w:rsidRDefault="00321973" w:rsidP="00873BAA">
            <w:pPr>
              <w:rPr>
                <w:rFonts w:ascii="Verdana" w:hAnsi="Verdana"/>
                <w:b/>
                <w:bCs/>
                <w:sz w:val="20"/>
              </w:rPr>
            </w:pPr>
            <w:r w:rsidRPr="00493074">
              <w:rPr>
                <w:rFonts w:ascii="Verdana" w:hAnsi="Verdana"/>
                <w:b/>
                <w:bCs/>
                <w:sz w:val="20"/>
              </w:rPr>
              <w:t>TOTAL BYCATCH</w:t>
            </w:r>
          </w:p>
        </w:tc>
        <w:tc>
          <w:tcPr>
            <w:tcW w:w="1700" w:type="dxa"/>
            <w:tcBorders>
              <w:top w:val="single" w:sz="4" w:space="0" w:color="auto"/>
              <w:left w:val="single" w:sz="4" w:space="0" w:color="auto"/>
              <w:bottom w:val="nil"/>
              <w:right w:val="nil"/>
            </w:tcBorders>
            <w:shd w:val="clear" w:color="auto" w:fill="auto"/>
            <w:vAlign w:val="bottom"/>
          </w:tcPr>
          <w:p w14:paraId="72091F5D" w14:textId="77777777" w:rsidR="00321973" w:rsidRPr="00493074" w:rsidRDefault="00321973" w:rsidP="00873BAA">
            <w:pPr>
              <w:rPr>
                <w:rFonts w:ascii="Verdana" w:hAnsi="Verdana"/>
                <w:b/>
                <w:bCs/>
                <w:sz w:val="20"/>
              </w:rPr>
            </w:pPr>
            <w:r w:rsidRPr="00493074">
              <w:rPr>
                <w:rFonts w:ascii="Verdana" w:hAnsi="Verdana"/>
                <w:b/>
                <w:bCs/>
                <w:sz w:val="20"/>
              </w:rPr>
              <w:t>Fixed Transfer Tax</w:t>
            </w:r>
          </w:p>
        </w:tc>
        <w:tc>
          <w:tcPr>
            <w:tcW w:w="2020" w:type="dxa"/>
            <w:tcBorders>
              <w:top w:val="single" w:sz="4" w:space="0" w:color="auto"/>
              <w:left w:val="single" w:sz="4" w:space="0" w:color="auto"/>
              <w:bottom w:val="nil"/>
              <w:right w:val="single" w:sz="4" w:space="0" w:color="auto"/>
            </w:tcBorders>
            <w:shd w:val="clear" w:color="auto" w:fill="auto"/>
            <w:vAlign w:val="bottom"/>
          </w:tcPr>
          <w:p w14:paraId="63051491" w14:textId="77777777" w:rsidR="00321973" w:rsidRPr="00493074" w:rsidRDefault="00321973" w:rsidP="00873BAA">
            <w:pPr>
              <w:rPr>
                <w:rFonts w:ascii="Verdana" w:hAnsi="Verdana"/>
                <w:b/>
                <w:bCs/>
                <w:sz w:val="20"/>
              </w:rPr>
            </w:pPr>
            <w:r w:rsidRPr="00493074">
              <w:rPr>
                <w:rFonts w:ascii="Verdana" w:hAnsi="Verdana"/>
                <w:b/>
                <w:bCs/>
                <w:sz w:val="20"/>
              </w:rPr>
              <w:t>Dynamic Salmon Savings</w:t>
            </w:r>
          </w:p>
        </w:tc>
      </w:tr>
      <w:tr w:rsidR="00321973" w:rsidRPr="00493074" w14:paraId="7406B0BA" w14:textId="77777777">
        <w:trPr>
          <w:trHeight w:val="278"/>
        </w:trPr>
        <w:tc>
          <w:tcPr>
            <w:tcW w:w="1700" w:type="dxa"/>
            <w:tcBorders>
              <w:top w:val="single" w:sz="4" w:space="0" w:color="auto"/>
              <w:left w:val="single" w:sz="4" w:space="0" w:color="auto"/>
              <w:bottom w:val="nil"/>
              <w:right w:val="nil"/>
            </w:tcBorders>
            <w:shd w:val="clear" w:color="auto" w:fill="auto"/>
            <w:noWrap/>
            <w:vAlign w:val="bottom"/>
          </w:tcPr>
          <w:p w14:paraId="03A84EC9" w14:textId="77777777" w:rsidR="00321973" w:rsidRPr="00493074" w:rsidRDefault="00321973" w:rsidP="00873BAA">
            <w:pPr>
              <w:rPr>
                <w:rFonts w:ascii="Verdana" w:hAnsi="Verdana"/>
                <w:sz w:val="20"/>
              </w:rPr>
            </w:pPr>
            <w:r w:rsidRPr="00493074">
              <w:rPr>
                <w:rFonts w:ascii="Verdana" w:hAnsi="Verdana"/>
                <w:sz w:val="20"/>
              </w:rPr>
              <w:t>1454</w:t>
            </w:r>
          </w:p>
        </w:tc>
        <w:tc>
          <w:tcPr>
            <w:tcW w:w="1700" w:type="dxa"/>
            <w:tcBorders>
              <w:top w:val="single" w:sz="4" w:space="0" w:color="auto"/>
              <w:left w:val="single" w:sz="4" w:space="0" w:color="auto"/>
              <w:bottom w:val="nil"/>
              <w:right w:val="nil"/>
            </w:tcBorders>
            <w:shd w:val="clear" w:color="auto" w:fill="auto"/>
            <w:noWrap/>
            <w:vAlign w:val="bottom"/>
          </w:tcPr>
          <w:p w14:paraId="6AE31A1B" w14:textId="77777777" w:rsidR="00321973" w:rsidRPr="00493074" w:rsidRDefault="00321973" w:rsidP="00873BAA">
            <w:pPr>
              <w:rPr>
                <w:rFonts w:ascii="Verdana" w:hAnsi="Verdana"/>
                <w:sz w:val="20"/>
              </w:rPr>
            </w:pPr>
            <w:r w:rsidRPr="00493074">
              <w:rPr>
                <w:rFonts w:ascii="Verdana" w:hAnsi="Verdana"/>
                <w:sz w:val="20"/>
              </w:rPr>
              <w:t>0</w:t>
            </w:r>
          </w:p>
        </w:tc>
        <w:tc>
          <w:tcPr>
            <w:tcW w:w="2020" w:type="dxa"/>
            <w:tcBorders>
              <w:top w:val="single" w:sz="4" w:space="0" w:color="auto"/>
              <w:left w:val="single" w:sz="4" w:space="0" w:color="auto"/>
              <w:bottom w:val="nil"/>
              <w:right w:val="single" w:sz="4" w:space="0" w:color="auto"/>
            </w:tcBorders>
            <w:shd w:val="clear" w:color="auto" w:fill="auto"/>
            <w:noWrap/>
            <w:vAlign w:val="bottom"/>
          </w:tcPr>
          <w:p w14:paraId="256D7AA4" w14:textId="77777777" w:rsidR="00321973" w:rsidRPr="00493074" w:rsidRDefault="00321973" w:rsidP="00873BAA">
            <w:pPr>
              <w:rPr>
                <w:rFonts w:ascii="Verdana" w:hAnsi="Verdana"/>
                <w:sz w:val="20"/>
              </w:rPr>
            </w:pPr>
            <w:r w:rsidRPr="00493074">
              <w:rPr>
                <w:rFonts w:ascii="Verdana" w:hAnsi="Verdana"/>
                <w:sz w:val="20"/>
              </w:rPr>
              <w:t>13177</w:t>
            </w:r>
          </w:p>
        </w:tc>
      </w:tr>
      <w:tr w:rsidR="00321973" w:rsidRPr="00493074" w14:paraId="05229184" w14:textId="77777777">
        <w:trPr>
          <w:trHeight w:val="255"/>
        </w:trPr>
        <w:tc>
          <w:tcPr>
            <w:tcW w:w="1700" w:type="dxa"/>
            <w:tcBorders>
              <w:top w:val="nil"/>
              <w:left w:val="single" w:sz="4" w:space="0" w:color="auto"/>
              <w:bottom w:val="nil"/>
              <w:right w:val="nil"/>
            </w:tcBorders>
            <w:shd w:val="clear" w:color="auto" w:fill="auto"/>
            <w:noWrap/>
            <w:vAlign w:val="bottom"/>
          </w:tcPr>
          <w:p w14:paraId="3FB6D6E4" w14:textId="77777777" w:rsidR="00321973" w:rsidRPr="00493074" w:rsidRDefault="00321973" w:rsidP="00873BAA">
            <w:pPr>
              <w:rPr>
                <w:rFonts w:ascii="Verdana" w:hAnsi="Verdana"/>
                <w:sz w:val="20"/>
              </w:rPr>
            </w:pPr>
            <w:r w:rsidRPr="00493074">
              <w:rPr>
                <w:rFonts w:ascii="Verdana" w:hAnsi="Verdana"/>
                <w:sz w:val="20"/>
              </w:rPr>
              <w:t>8866</w:t>
            </w:r>
          </w:p>
        </w:tc>
        <w:tc>
          <w:tcPr>
            <w:tcW w:w="1700" w:type="dxa"/>
            <w:tcBorders>
              <w:top w:val="nil"/>
              <w:left w:val="single" w:sz="4" w:space="0" w:color="auto"/>
              <w:bottom w:val="nil"/>
              <w:right w:val="nil"/>
            </w:tcBorders>
            <w:shd w:val="clear" w:color="auto" w:fill="auto"/>
            <w:noWrap/>
            <w:vAlign w:val="bottom"/>
          </w:tcPr>
          <w:p w14:paraId="645EC477" w14:textId="77777777" w:rsidR="00321973" w:rsidRPr="00493074" w:rsidRDefault="00321973" w:rsidP="00873BAA">
            <w:pPr>
              <w:rPr>
                <w:rFonts w:ascii="Verdana" w:hAnsi="Verdana"/>
                <w:sz w:val="20"/>
              </w:rPr>
            </w:pPr>
            <w:r w:rsidRPr="00493074">
              <w:rPr>
                <w:rFonts w:ascii="Verdana" w:hAnsi="Verdana"/>
                <w:sz w:val="20"/>
              </w:rPr>
              <w:t>116</w:t>
            </w:r>
          </w:p>
        </w:tc>
        <w:tc>
          <w:tcPr>
            <w:tcW w:w="2020" w:type="dxa"/>
            <w:tcBorders>
              <w:top w:val="nil"/>
              <w:left w:val="single" w:sz="4" w:space="0" w:color="auto"/>
              <w:bottom w:val="nil"/>
              <w:right w:val="single" w:sz="4" w:space="0" w:color="auto"/>
            </w:tcBorders>
            <w:shd w:val="clear" w:color="auto" w:fill="auto"/>
            <w:noWrap/>
            <w:vAlign w:val="bottom"/>
          </w:tcPr>
          <w:p w14:paraId="22A3E8B1" w14:textId="77777777" w:rsidR="00321973" w:rsidRPr="00493074" w:rsidRDefault="00321973" w:rsidP="00873BAA">
            <w:pPr>
              <w:rPr>
                <w:rFonts w:ascii="Verdana" w:hAnsi="Verdana"/>
                <w:sz w:val="20"/>
              </w:rPr>
            </w:pPr>
            <w:r w:rsidRPr="00493074">
              <w:rPr>
                <w:rFonts w:ascii="Verdana" w:hAnsi="Verdana"/>
                <w:sz w:val="20"/>
              </w:rPr>
              <w:t>10208</w:t>
            </w:r>
          </w:p>
        </w:tc>
      </w:tr>
      <w:tr w:rsidR="00321973" w:rsidRPr="00493074" w14:paraId="6807FEA6" w14:textId="77777777">
        <w:trPr>
          <w:trHeight w:val="255"/>
        </w:trPr>
        <w:tc>
          <w:tcPr>
            <w:tcW w:w="1700" w:type="dxa"/>
            <w:tcBorders>
              <w:top w:val="nil"/>
              <w:left w:val="single" w:sz="4" w:space="0" w:color="auto"/>
              <w:bottom w:val="nil"/>
              <w:right w:val="nil"/>
            </w:tcBorders>
            <w:shd w:val="clear" w:color="auto" w:fill="auto"/>
            <w:noWrap/>
            <w:vAlign w:val="bottom"/>
          </w:tcPr>
          <w:p w14:paraId="1A3525CF" w14:textId="77777777" w:rsidR="00321973" w:rsidRPr="00493074" w:rsidRDefault="00321973" w:rsidP="00873BAA">
            <w:pPr>
              <w:rPr>
                <w:rFonts w:ascii="Verdana" w:hAnsi="Verdana"/>
                <w:sz w:val="20"/>
              </w:rPr>
            </w:pPr>
            <w:r w:rsidRPr="00493074">
              <w:rPr>
                <w:rFonts w:ascii="Verdana" w:hAnsi="Verdana"/>
                <w:sz w:val="20"/>
              </w:rPr>
              <w:t>19923</w:t>
            </w:r>
          </w:p>
        </w:tc>
        <w:tc>
          <w:tcPr>
            <w:tcW w:w="1700" w:type="dxa"/>
            <w:tcBorders>
              <w:top w:val="nil"/>
              <w:left w:val="single" w:sz="4" w:space="0" w:color="auto"/>
              <w:bottom w:val="nil"/>
              <w:right w:val="nil"/>
            </w:tcBorders>
            <w:shd w:val="clear" w:color="auto" w:fill="auto"/>
            <w:noWrap/>
            <w:vAlign w:val="bottom"/>
          </w:tcPr>
          <w:p w14:paraId="03F83A2A" w14:textId="77777777" w:rsidR="00321973" w:rsidRPr="00493074" w:rsidRDefault="00321973" w:rsidP="00873BAA">
            <w:pPr>
              <w:rPr>
                <w:rFonts w:ascii="Verdana" w:hAnsi="Verdana"/>
                <w:sz w:val="20"/>
              </w:rPr>
            </w:pPr>
            <w:r w:rsidRPr="00493074">
              <w:rPr>
                <w:rFonts w:ascii="Verdana" w:hAnsi="Verdana"/>
                <w:sz w:val="20"/>
              </w:rPr>
              <w:t>546</w:t>
            </w:r>
          </w:p>
        </w:tc>
        <w:tc>
          <w:tcPr>
            <w:tcW w:w="2020" w:type="dxa"/>
            <w:tcBorders>
              <w:top w:val="nil"/>
              <w:left w:val="single" w:sz="4" w:space="0" w:color="auto"/>
              <w:bottom w:val="nil"/>
              <w:right w:val="single" w:sz="4" w:space="0" w:color="auto"/>
            </w:tcBorders>
            <w:shd w:val="clear" w:color="auto" w:fill="auto"/>
            <w:noWrap/>
            <w:vAlign w:val="bottom"/>
          </w:tcPr>
          <w:p w14:paraId="64DC0711" w14:textId="77777777" w:rsidR="00321973" w:rsidRPr="00493074" w:rsidRDefault="00321973" w:rsidP="00873BAA">
            <w:pPr>
              <w:rPr>
                <w:rFonts w:ascii="Verdana" w:hAnsi="Verdana"/>
                <w:sz w:val="20"/>
              </w:rPr>
            </w:pPr>
            <w:r w:rsidRPr="00493074">
              <w:rPr>
                <w:rFonts w:ascii="Verdana" w:hAnsi="Verdana"/>
                <w:sz w:val="20"/>
              </w:rPr>
              <w:t>2507</w:t>
            </w:r>
          </w:p>
        </w:tc>
      </w:tr>
      <w:tr w:rsidR="00321973" w:rsidRPr="00493074" w14:paraId="79A1CC1E" w14:textId="77777777">
        <w:trPr>
          <w:trHeight w:val="255"/>
        </w:trPr>
        <w:tc>
          <w:tcPr>
            <w:tcW w:w="1700" w:type="dxa"/>
            <w:tcBorders>
              <w:top w:val="nil"/>
              <w:left w:val="single" w:sz="4" w:space="0" w:color="auto"/>
              <w:bottom w:val="nil"/>
              <w:right w:val="nil"/>
            </w:tcBorders>
            <w:shd w:val="clear" w:color="auto" w:fill="auto"/>
            <w:noWrap/>
            <w:vAlign w:val="bottom"/>
          </w:tcPr>
          <w:p w14:paraId="15C12097" w14:textId="77777777" w:rsidR="00321973" w:rsidRPr="00493074" w:rsidRDefault="00321973" w:rsidP="00873BAA">
            <w:pPr>
              <w:rPr>
                <w:rFonts w:ascii="Verdana" w:hAnsi="Verdana"/>
                <w:sz w:val="20"/>
              </w:rPr>
            </w:pPr>
            <w:r w:rsidRPr="00493074">
              <w:rPr>
                <w:rFonts w:ascii="Verdana" w:hAnsi="Verdana"/>
                <w:sz w:val="20"/>
              </w:rPr>
              <w:t>20471</w:t>
            </w:r>
          </w:p>
        </w:tc>
        <w:tc>
          <w:tcPr>
            <w:tcW w:w="1700" w:type="dxa"/>
            <w:tcBorders>
              <w:top w:val="nil"/>
              <w:left w:val="single" w:sz="4" w:space="0" w:color="auto"/>
              <w:bottom w:val="nil"/>
              <w:right w:val="nil"/>
            </w:tcBorders>
            <w:shd w:val="clear" w:color="auto" w:fill="auto"/>
            <w:noWrap/>
            <w:vAlign w:val="bottom"/>
          </w:tcPr>
          <w:p w14:paraId="2D0C051E" w14:textId="77777777" w:rsidR="00321973" w:rsidRPr="00493074" w:rsidRDefault="00321973" w:rsidP="00873BAA">
            <w:pPr>
              <w:rPr>
                <w:rFonts w:ascii="Verdana" w:hAnsi="Verdana"/>
                <w:sz w:val="20"/>
              </w:rPr>
            </w:pPr>
            <w:r w:rsidRPr="00493074">
              <w:rPr>
                <w:rFonts w:ascii="Verdana" w:hAnsi="Verdana"/>
                <w:sz w:val="20"/>
              </w:rPr>
              <w:t>554</w:t>
            </w:r>
          </w:p>
        </w:tc>
        <w:tc>
          <w:tcPr>
            <w:tcW w:w="2020" w:type="dxa"/>
            <w:tcBorders>
              <w:top w:val="nil"/>
              <w:left w:val="single" w:sz="4" w:space="0" w:color="auto"/>
              <w:bottom w:val="nil"/>
              <w:right w:val="single" w:sz="4" w:space="0" w:color="auto"/>
            </w:tcBorders>
            <w:shd w:val="clear" w:color="auto" w:fill="auto"/>
            <w:noWrap/>
            <w:vAlign w:val="bottom"/>
          </w:tcPr>
          <w:p w14:paraId="412D1595" w14:textId="77777777" w:rsidR="00321973" w:rsidRPr="00493074" w:rsidRDefault="00321973" w:rsidP="00873BAA">
            <w:pPr>
              <w:rPr>
                <w:rFonts w:ascii="Verdana" w:hAnsi="Verdana"/>
                <w:sz w:val="20"/>
              </w:rPr>
            </w:pPr>
            <w:r w:rsidRPr="00493074">
              <w:rPr>
                <w:rFonts w:ascii="Verdana" w:hAnsi="Verdana"/>
                <w:sz w:val="20"/>
              </w:rPr>
              <w:t>6513</w:t>
            </w:r>
          </w:p>
        </w:tc>
      </w:tr>
      <w:tr w:rsidR="00321973" w:rsidRPr="00493074" w14:paraId="26D41726" w14:textId="77777777">
        <w:trPr>
          <w:trHeight w:val="255"/>
        </w:trPr>
        <w:tc>
          <w:tcPr>
            <w:tcW w:w="1700" w:type="dxa"/>
            <w:tcBorders>
              <w:top w:val="nil"/>
              <w:left w:val="single" w:sz="4" w:space="0" w:color="auto"/>
              <w:bottom w:val="nil"/>
              <w:right w:val="nil"/>
            </w:tcBorders>
            <w:shd w:val="clear" w:color="auto" w:fill="auto"/>
            <w:noWrap/>
            <w:vAlign w:val="bottom"/>
          </w:tcPr>
          <w:p w14:paraId="4F2096AE" w14:textId="77777777" w:rsidR="00321973" w:rsidRPr="00493074" w:rsidRDefault="00321973" w:rsidP="00873BAA">
            <w:pPr>
              <w:rPr>
                <w:rFonts w:ascii="Verdana" w:hAnsi="Verdana"/>
                <w:sz w:val="20"/>
              </w:rPr>
            </w:pPr>
            <w:r w:rsidRPr="00493074">
              <w:rPr>
                <w:rFonts w:ascii="Verdana" w:hAnsi="Verdana"/>
                <w:sz w:val="20"/>
              </w:rPr>
              <w:t>31136</w:t>
            </w:r>
          </w:p>
        </w:tc>
        <w:tc>
          <w:tcPr>
            <w:tcW w:w="1700" w:type="dxa"/>
            <w:tcBorders>
              <w:top w:val="nil"/>
              <w:left w:val="single" w:sz="4" w:space="0" w:color="auto"/>
              <w:bottom w:val="nil"/>
              <w:right w:val="nil"/>
            </w:tcBorders>
            <w:shd w:val="clear" w:color="auto" w:fill="auto"/>
            <w:noWrap/>
            <w:vAlign w:val="bottom"/>
          </w:tcPr>
          <w:p w14:paraId="30416DC0" w14:textId="77777777" w:rsidR="00321973" w:rsidRPr="00493074" w:rsidRDefault="00321973" w:rsidP="00873BAA">
            <w:pPr>
              <w:rPr>
                <w:rFonts w:ascii="Verdana" w:hAnsi="Verdana"/>
                <w:sz w:val="20"/>
              </w:rPr>
            </w:pPr>
            <w:r w:rsidRPr="00493074">
              <w:rPr>
                <w:rFonts w:ascii="Verdana" w:hAnsi="Verdana"/>
                <w:sz w:val="20"/>
              </w:rPr>
              <w:t>2058</w:t>
            </w:r>
          </w:p>
        </w:tc>
        <w:tc>
          <w:tcPr>
            <w:tcW w:w="2020" w:type="dxa"/>
            <w:tcBorders>
              <w:top w:val="nil"/>
              <w:left w:val="single" w:sz="4" w:space="0" w:color="auto"/>
              <w:bottom w:val="nil"/>
              <w:right w:val="single" w:sz="4" w:space="0" w:color="auto"/>
            </w:tcBorders>
            <w:shd w:val="clear" w:color="auto" w:fill="auto"/>
            <w:noWrap/>
            <w:vAlign w:val="bottom"/>
          </w:tcPr>
          <w:p w14:paraId="591C1EBD" w14:textId="77777777" w:rsidR="00321973" w:rsidRPr="00493074" w:rsidRDefault="00321973" w:rsidP="00873BAA">
            <w:pPr>
              <w:rPr>
                <w:rFonts w:ascii="Verdana" w:hAnsi="Verdana"/>
                <w:sz w:val="20"/>
              </w:rPr>
            </w:pPr>
            <w:r w:rsidRPr="00493074">
              <w:rPr>
                <w:rFonts w:ascii="Verdana" w:hAnsi="Verdana"/>
                <w:sz w:val="20"/>
              </w:rPr>
              <w:t>706</w:t>
            </w:r>
          </w:p>
        </w:tc>
      </w:tr>
      <w:tr w:rsidR="00321973" w:rsidRPr="00493074" w14:paraId="51DD1213" w14:textId="77777777">
        <w:trPr>
          <w:trHeight w:val="255"/>
        </w:trPr>
        <w:tc>
          <w:tcPr>
            <w:tcW w:w="1700" w:type="dxa"/>
            <w:tcBorders>
              <w:top w:val="nil"/>
              <w:left w:val="single" w:sz="4" w:space="0" w:color="auto"/>
              <w:bottom w:val="nil"/>
              <w:right w:val="nil"/>
            </w:tcBorders>
            <w:shd w:val="clear" w:color="auto" w:fill="auto"/>
            <w:noWrap/>
            <w:vAlign w:val="bottom"/>
          </w:tcPr>
          <w:p w14:paraId="3188C228" w14:textId="77777777" w:rsidR="00321973" w:rsidRPr="00493074" w:rsidRDefault="00321973" w:rsidP="00873BAA">
            <w:pPr>
              <w:rPr>
                <w:rFonts w:ascii="Verdana" w:hAnsi="Verdana"/>
                <w:sz w:val="20"/>
              </w:rPr>
            </w:pPr>
            <w:r w:rsidRPr="00493074">
              <w:rPr>
                <w:rFonts w:ascii="Verdana" w:hAnsi="Verdana"/>
                <w:sz w:val="20"/>
              </w:rPr>
              <w:t>46354</w:t>
            </w:r>
          </w:p>
        </w:tc>
        <w:tc>
          <w:tcPr>
            <w:tcW w:w="1700" w:type="dxa"/>
            <w:tcBorders>
              <w:top w:val="nil"/>
              <w:left w:val="single" w:sz="4" w:space="0" w:color="auto"/>
              <w:bottom w:val="nil"/>
              <w:right w:val="nil"/>
            </w:tcBorders>
            <w:shd w:val="clear" w:color="auto" w:fill="auto"/>
            <w:noWrap/>
            <w:vAlign w:val="bottom"/>
          </w:tcPr>
          <w:p w14:paraId="668D3898" w14:textId="77777777" w:rsidR="00321973" w:rsidRPr="00493074" w:rsidRDefault="00321973" w:rsidP="00873BAA">
            <w:pPr>
              <w:rPr>
                <w:rFonts w:ascii="Verdana" w:hAnsi="Verdana"/>
                <w:sz w:val="20"/>
              </w:rPr>
            </w:pPr>
            <w:r w:rsidRPr="00493074">
              <w:rPr>
                <w:rFonts w:ascii="Verdana" w:hAnsi="Verdana"/>
                <w:sz w:val="20"/>
              </w:rPr>
              <w:t>2073</w:t>
            </w:r>
          </w:p>
        </w:tc>
        <w:tc>
          <w:tcPr>
            <w:tcW w:w="2020" w:type="dxa"/>
            <w:tcBorders>
              <w:top w:val="nil"/>
              <w:left w:val="single" w:sz="4" w:space="0" w:color="auto"/>
              <w:bottom w:val="nil"/>
              <w:right w:val="single" w:sz="4" w:space="0" w:color="auto"/>
            </w:tcBorders>
            <w:shd w:val="clear" w:color="auto" w:fill="auto"/>
            <w:noWrap/>
            <w:vAlign w:val="bottom"/>
          </w:tcPr>
          <w:p w14:paraId="52C104AC" w14:textId="77777777" w:rsidR="00321973" w:rsidRPr="00493074" w:rsidRDefault="00321973" w:rsidP="00873BAA">
            <w:pPr>
              <w:rPr>
                <w:rFonts w:ascii="Verdana" w:hAnsi="Verdana"/>
                <w:sz w:val="20"/>
              </w:rPr>
            </w:pPr>
            <w:r w:rsidRPr="00493074">
              <w:rPr>
                <w:rFonts w:ascii="Verdana" w:hAnsi="Verdana"/>
                <w:sz w:val="20"/>
              </w:rPr>
              <w:t>0</w:t>
            </w:r>
          </w:p>
        </w:tc>
      </w:tr>
      <w:tr w:rsidR="00321973" w:rsidRPr="00493074" w14:paraId="1E060E64" w14:textId="77777777">
        <w:trPr>
          <w:trHeight w:val="255"/>
        </w:trPr>
        <w:tc>
          <w:tcPr>
            <w:tcW w:w="1700" w:type="dxa"/>
            <w:tcBorders>
              <w:top w:val="nil"/>
              <w:left w:val="single" w:sz="4" w:space="0" w:color="auto"/>
              <w:bottom w:val="nil"/>
              <w:right w:val="nil"/>
            </w:tcBorders>
            <w:shd w:val="clear" w:color="auto" w:fill="auto"/>
            <w:noWrap/>
            <w:vAlign w:val="bottom"/>
          </w:tcPr>
          <w:p w14:paraId="290B49B5" w14:textId="77777777" w:rsidR="00321973" w:rsidRPr="00493074" w:rsidRDefault="00321973" w:rsidP="00873BAA">
            <w:pPr>
              <w:rPr>
                <w:rFonts w:ascii="Verdana" w:hAnsi="Verdana"/>
                <w:sz w:val="20"/>
              </w:rPr>
            </w:pPr>
            <w:r w:rsidRPr="00493074">
              <w:rPr>
                <w:rFonts w:ascii="Verdana" w:hAnsi="Verdana"/>
                <w:sz w:val="20"/>
              </w:rPr>
              <w:t>55782</w:t>
            </w:r>
          </w:p>
        </w:tc>
        <w:tc>
          <w:tcPr>
            <w:tcW w:w="1700" w:type="dxa"/>
            <w:tcBorders>
              <w:top w:val="nil"/>
              <w:left w:val="single" w:sz="4" w:space="0" w:color="auto"/>
              <w:bottom w:val="nil"/>
              <w:right w:val="nil"/>
            </w:tcBorders>
            <w:shd w:val="clear" w:color="auto" w:fill="auto"/>
            <w:noWrap/>
            <w:vAlign w:val="bottom"/>
          </w:tcPr>
          <w:p w14:paraId="31176053" w14:textId="77777777" w:rsidR="00321973" w:rsidRPr="00493074" w:rsidRDefault="00321973" w:rsidP="00873BAA">
            <w:pPr>
              <w:rPr>
                <w:rFonts w:ascii="Verdana" w:hAnsi="Verdana"/>
                <w:sz w:val="20"/>
              </w:rPr>
            </w:pPr>
            <w:r w:rsidRPr="00493074">
              <w:rPr>
                <w:rFonts w:ascii="Verdana" w:hAnsi="Verdana"/>
                <w:sz w:val="20"/>
              </w:rPr>
              <w:t>1281</w:t>
            </w:r>
          </w:p>
        </w:tc>
        <w:tc>
          <w:tcPr>
            <w:tcW w:w="2020" w:type="dxa"/>
            <w:tcBorders>
              <w:top w:val="nil"/>
              <w:left w:val="single" w:sz="4" w:space="0" w:color="auto"/>
              <w:bottom w:val="nil"/>
              <w:right w:val="single" w:sz="4" w:space="0" w:color="auto"/>
            </w:tcBorders>
            <w:shd w:val="clear" w:color="auto" w:fill="auto"/>
            <w:noWrap/>
            <w:vAlign w:val="bottom"/>
          </w:tcPr>
          <w:p w14:paraId="68D71323" w14:textId="77777777" w:rsidR="00321973" w:rsidRPr="00493074" w:rsidRDefault="00321973" w:rsidP="00873BAA">
            <w:pPr>
              <w:rPr>
                <w:rFonts w:ascii="Verdana" w:hAnsi="Verdana"/>
                <w:sz w:val="20"/>
              </w:rPr>
            </w:pPr>
            <w:r w:rsidRPr="00493074">
              <w:rPr>
                <w:rFonts w:ascii="Verdana" w:hAnsi="Verdana"/>
                <w:sz w:val="20"/>
              </w:rPr>
              <w:t>0</w:t>
            </w:r>
          </w:p>
        </w:tc>
      </w:tr>
      <w:tr w:rsidR="00321973" w:rsidRPr="00493074" w14:paraId="3632A6B1" w14:textId="77777777">
        <w:trPr>
          <w:trHeight w:val="255"/>
        </w:trPr>
        <w:tc>
          <w:tcPr>
            <w:tcW w:w="1700" w:type="dxa"/>
            <w:tcBorders>
              <w:top w:val="nil"/>
              <w:left w:val="single" w:sz="4" w:space="0" w:color="auto"/>
              <w:bottom w:val="single" w:sz="4" w:space="0" w:color="auto"/>
              <w:right w:val="nil"/>
            </w:tcBorders>
            <w:shd w:val="clear" w:color="auto" w:fill="auto"/>
            <w:noWrap/>
            <w:vAlign w:val="bottom"/>
          </w:tcPr>
          <w:p w14:paraId="6962E2A6" w14:textId="77777777" w:rsidR="00321973" w:rsidRPr="00493074" w:rsidRDefault="00321973" w:rsidP="00873BAA">
            <w:pPr>
              <w:rPr>
                <w:rFonts w:ascii="Verdana" w:hAnsi="Verdana"/>
                <w:sz w:val="20"/>
              </w:rPr>
            </w:pPr>
            <w:r w:rsidRPr="00493074">
              <w:rPr>
                <w:rFonts w:ascii="Verdana" w:hAnsi="Verdana"/>
                <w:sz w:val="20"/>
              </w:rPr>
              <w:t>70148</w:t>
            </w:r>
          </w:p>
        </w:tc>
        <w:tc>
          <w:tcPr>
            <w:tcW w:w="1700" w:type="dxa"/>
            <w:tcBorders>
              <w:top w:val="nil"/>
              <w:left w:val="single" w:sz="4" w:space="0" w:color="auto"/>
              <w:bottom w:val="single" w:sz="4" w:space="0" w:color="auto"/>
              <w:right w:val="nil"/>
            </w:tcBorders>
            <w:shd w:val="clear" w:color="auto" w:fill="auto"/>
            <w:noWrap/>
            <w:vAlign w:val="bottom"/>
          </w:tcPr>
          <w:p w14:paraId="119DEFB8" w14:textId="77777777" w:rsidR="00321973" w:rsidRPr="00493074" w:rsidRDefault="00321973" w:rsidP="00873BAA">
            <w:pPr>
              <w:rPr>
                <w:rFonts w:ascii="Verdana" w:hAnsi="Verdana"/>
                <w:sz w:val="20"/>
              </w:rPr>
            </w:pPr>
            <w:r w:rsidRPr="00493074">
              <w:rPr>
                <w:rFonts w:ascii="Verdana" w:hAnsi="Verdana"/>
                <w:sz w:val="20"/>
              </w:rPr>
              <w:t>968</w:t>
            </w:r>
          </w:p>
        </w:tc>
        <w:tc>
          <w:tcPr>
            <w:tcW w:w="2020" w:type="dxa"/>
            <w:tcBorders>
              <w:top w:val="nil"/>
              <w:left w:val="single" w:sz="4" w:space="0" w:color="auto"/>
              <w:bottom w:val="single" w:sz="4" w:space="0" w:color="auto"/>
              <w:right w:val="single" w:sz="4" w:space="0" w:color="auto"/>
            </w:tcBorders>
            <w:shd w:val="clear" w:color="auto" w:fill="auto"/>
            <w:noWrap/>
            <w:vAlign w:val="bottom"/>
          </w:tcPr>
          <w:p w14:paraId="73023185" w14:textId="77777777" w:rsidR="00321973" w:rsidRPr="00493074" w:rsidRDefault="00321973" w:rsidP="00873BAA">
            <w:pPr>
              <w:rPr>
                <w:rFonts w:ascii="Verdana" w:hAnsi="Verdana"/>
                <w:sz w:val="20"/>
              </w:rPr>
            </w:pPr>
            <w:r w:rsidRPr="00493074">
              <w:rPr>
                <w:rFonts w:ascii="Verdana" w:hAnsi="Verdana"/>
                <w:sz w:val="20"/>
              </w:rPr>
              <w:t>0</w:t>
            </w:r>
          </w:p>
        </w:tc>
      </w:tr>
    </w:tbl>
    <w:p w14:paraId="50319304" w14:textId="77777777" w:rsidR="00321973" w:rsidRPr="000C0ACE" w:rsidRDefault="000C0ACE" w:rsidP="000C0ACE">
      <w:pPr>
        <w:pStyle w:val="Caption"/>
        <w:ind w:left="720"/>
        <w:rPr>
          <w:b w:val="0"/>
          <w:sz w:val="24"/>
        </w:rPr>
      </w:pPr>
      <w:bookmarkStart w:id="15" w:name="_Ref220714334"/>
      <w:r w:rsidRPr="000C0ACE">
        <w:rPr>
          <w:sz w:val="24"/>
        </w:rPr>
        <w:t xml:space="preserve">Table B - </w:t>
      </w:r>
      <w:r w:rsidR="00866D32" w:rsidRPr="000C0ACE">
        <w:rPr>
          <w:sz w:val="24"/>
        </w:rPr>
        <w:fldChar w:fldCharType="begin"/>
      </w:r>
      <w:r w:rsidRPr="000C0ACE">
        <w:rPr>
          <w:sz w:val="24"/>
        </w:rPr>
        <w:instrText xml:space="preserve"> SEQ Table_B_- \* ARABIC </w:instrText>
      </w:r>
      <w:r w:rsidR="00866D32" w:rsidRPr="000C0ACE">
        <w:rPr>
          <w:sz w:val="24"/>
        </w:rPr>
        <w:fldChar w:fldCharType="separate"/>
      </w:r>
      <w:r w:rsidR="001B0374">
        <w:rPr>
          <w:noProof/>
          <w:sz w:val="24"/>
        </w:rPr>
        <w:t>2</w:t>
      </w:r>
      <w:r w:rsidR="00866D32" w:rsidRPr="000C0ACE">
        <w:rPr>
          <w:sz w:val="24"/>
        </w:rPr>
        <w:fldChar w:fldCharType="end"/>
      </w:r>
      <w:bookmarkEnd w:id="15"/>
      <w:r w:rsidR="00671026">
        <w:rPr>
          <w:sz w:val="24"/>
        </w:rPr>
        <w:t xml:space="preserve">.  </w:t>
      </w:r>
      <w:r w:rsidR="00321973" w:rsidRPr="000C0ACE">
        <w:rPr>
          <w:b w:val="0"/>
          <w:sz w:val="24"/>
        </w:rPr>
        <w:t>Number of ITEC recovered vs</w:t>
      </w:r>
      <w:r w:rsidR="00846D48">
        <w:rPr>
          <w:b w:val="0"/>
          <w:sz w:val="24"/>
        </w:rPr>
        <w:t xml:space="preserve">. </w:t>
      </w:r>
      <w:r w:rsidR="00321973" w:rsidRPr="000C0ACE">
        <w:rPr>
          <w:b w:val="0"/>
          <w:sz w:val="24"/>
        </w:rPr>
        <w:t>yearly bycatch (proxy for salmon abundance) for two different sell-side transfer rules.</w:t>
      </w:r>
    </w:p>
    <w:p w14:paraId="18E1DB92" w14:textId="77777777" w:rsidR="009777CA" w:rsidRDefault="009777CA">
      <w:pPr>
        <w:rPr>
          <w:sz w:val="28"/>
          <w:szCs w:val="28"/>
        </w:rPr>
      </w:pPr>
    </w:p>
    <w:p w14:paraId="2BB11EB9" w14:textId="77777777" w:rsidR="006A3A9B" w:rsidRPr="00346E65" w:rsidRDefault="00E04FAD">
      <w:pPr>
        <w:rPr>
          <w:b/>
          <w:sz w:val="28"/>
          <w:szCs w:val="28"/>
        </w:rPr>
      </w:pPr>
      <w:r>
        <w:rPr>
          <w:b/>
        </w:rPr>
        <w:br w:type="page"/>
      </w:r>
      <w:r w:rsidR="006A3A9B" w:rsidRPr="00346E65">
        <w:rPr>
          <w:b/>
          <w:sz w:val="28"/>
          <w:szCs w:val="28"/>
        </w:rPr>
        <w:t xml:space="preserve">APPENDIX </w:t>
      </w:r>
      <w:r w:rsidR="00113387" w:rsidRPr="00346E65">
        <w:rPr>
          <w:b/>
          <w:sz w:val="28"/>
          <w:szCs w:val="28"/>
        </w:rPr>
        <w:t>C</w:t>
      </w:r>
      <w:r w:rsidR="006A3A9B" w:rsidRPr="00346E65">
        <w:rPr>
          <w:b/>
          <w:sz w:val="28"/>
          <w:szCs w:val="28"/>
        </w:rPr>
        <w:t>:</w:t>
      </w:r>
    </w:p>
    <w:p w14:paraId="44F458E7" w14:textId="77777777" w:rsidR="006A3A9B" w:rsidRPr="007229F7" w:rsidRDefault="006A3A9B">
      <w:pPr>
        <w:rPr>
          <w:b/>
        </w:rPr>
      </w:pPr>
    </w:p>
    <w:p w14:paraId="6D036A82" w14:textId="77777777" w:rsidR="006A3A9B" w:rsidRPr="007229F7" w:rsidRDefault="006A3A9B">
      <w:r w:rsidRPr="007229F7">
        <w:t>Temporal Analysis of Credits Supply and Intrinsic Fishery Value of Credits 2003 – 2007.</w:t>
      </w:r>
    </w:p>
    <w:p w14:paraId="371A0034" w14:textId="77777777" w:rsidR="006A3A9B" w:rsidRDefault="00D16D49">
      <w:r>
        <w:rPr>
          <w:noProof/>
        </w:rPr>
        <w:drawing>
          <wp:inline distT="0" distB="0" distL="0" distR="0" wp14:anchorId="6BCAC54E" wp14:editId="5D002F8E">
            <wp:extent cx="5486400" cy="3752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14:paraId="7B8691D8" w14:textId="77777777" w:rsidR="006A3A9B" w:rsidRDefault="006A3A9B"/>
    <w:p w14:paraId="74960C31" w14:textId="77777777" w:rsidR="006A3A9B" w:rsidRDefault="00D16D49">
      <w:r>
        <w:rPr>
          <w:noProof/>
        </w:rPr>
        <w:drawing>
          <wp:inline distT="0" distB="0" distL="0" distR="0" wp14:anchorId="6B2D3BEA" wp14:editId="41607E56">
            <wp:extent cx="5486400" cy="37522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14:paraId="3B5EB667" w14:textId="77777777" w:rsidR="006A3A9B" w:rsidRDefault="006A3A9B"/>
    <w:p w14:paraId="3B8857F9" w14:textId="77777777" w:rsidR="006A3A9B" w:rsidRDefault="00D16D49">
      <w:r>
        <w:rPr>
          <w:noProof/>
        </w:rPr>
        <w:drawing>
          <wp:inline distT="0" distB="0" distL="0" distR="0" wp14:anchorId="2DDB8CAC" wp14:editId="5AB07DBF">
            <wp:extent cx="5486400" cy="37522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14:paraId="78A3BB07" w14:textId="77777777" w:rsidR="006A3A9B" w:rsidRDefault="006A3A9B"/>
    <w:p w14:paraId="3C4AF800" w14:textId="77777777" w:rsidR="006A3A9B" w:rsidRDefault="00D16D49">
      <w:r>
        <w:rPr>
          <w:noProof/>
        </w:rPr>
        <w:drawing>
          <wp:inline distT="0" distB="0" distL="0" distR="0" wp14:anchorId="3FD4EB5E" wp14:editId="66564CF6">
            <wp:extent cx="5486400" cy="3752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14:paraId="2318E69A" w14:textId="77777777" w:rsidR="006A3A9B" w:rsidRDefault="006A3A9B"/>
    <w:p w14:paraId="0D536A2E" w14:textId="77777777" w:rsidR="00F96459" w:rsidRPr="00266BD5" w:rsidRDefault="00D16D49">
      <w:r>
        <w:rPr>
          <w:noProof/>
        </w:rPr>
        <w:drawing>
          <wp:inline distT="0" distB="0" distL="0" distR="0" wp14:anchorId="17D37514" wp14:editId="263F2F79">
            <wp:extent cx="5486400" cy="37522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srcRect/>
                    <a:stretch>
                      <a:fillRect/>
                    </a:stretch>
                  </pic:blipFill>
                  <pic:spPr bwMode="auto">
                    <a:xfrm>
                      <a:off x="0" y="0"/>
                      <a:ext cx="5486400" cy="3752215"/>
                    </a:xfrm>
                    <a:prstGeom prst="rect">
                      <a:avLst/>
                    </a:prstGeom>
                    <a:noFill/>
                    <a:ln w="9525">
                      <a:noFill/>
                      <a:miter lim="800000"/>
                      <a:headEnd/>
                      <a:tailEnd/>
                    </a:ln>
                  </pic:spPr>
                </pic:pic>
              </a:graphicData>
            </a:graphic>
          </wp:inline>
        </w:drawing>
      </w:r>
    </w:p>
    <w:p w14:paraId="541D1E15" w14:textId="77777777" w:rsidR="002F6593" w:rsidRDefault="002F6593">
      <w:r>
        <w:br w:type="page"/>
      </w:r>
    </w:p>
    <w:p w14:paraId="7C17EE62" w14:textId="77777777" w:rsidR="00F96459" w:rsidRPr="00E81BAE" w:rsidRDefault="00F96459" w:rsidP="002A33C7">
      <w:pPr>
        <w:rPr>
          <w:b/>
          <w:sz w:val="28"/>
          <w:szCs w:val="28"/>
        </w:rPr>
      </w:pPr>
      <w:r w:rsidRPr="00E81BAE">
        <w:rPr>
          <w:b/>
          <w:sz w:val="28"/>
          <w:szCs w:val="28"/>
        </w:rPr>
        <w:t xml:space="preserve">APPENDIX </w:t>
      </w:r>
      <w:r w:rsidR="00497C33" w:rsidRPr="00E81BAE">
        <w:rPr>
          <w:b/>
          <w:sz w:val="28"/>
          <w:szCs w:val="28"/>
        </w:rPr>
        <w:t>D</w:t>
      </w:r>
      <w:r w:rsidRPr="00E81BAE">
        <w:rPr>
          <w:b/>
          <w:sz w:val="28"/>
          <w:szCs w:val="28"/>
        </w:rPr>
        <w:t>:</w:t>
      </w:r>
      <w:r w:rsidR="00E81BAE" w:rsidRPr="00E81BAE">
        <w:rPr>
          <w:b/>
          <w:sz w:val="28"/>
          <w:szCs w:val="28"/>
        </w:rPr>
        <w:t xml:space="preserve"> Auxilary Features</w:t>
      </w:r>
    </w:p>
    <w:p w14:paraId="3D210EE0" w14:textId="77777777" w:rsidR="007704FE" w:rsidRPr="0062509E" w:rsidRDefault="007704FE" w:rsidP="002A33C7"/>
    <w:p w14:paraId="38448928" w14:textId="77777777" w:rsidR="007704FE" w:rsidRPr="0062509E" w:rsidRDefault="007704FE" w:rsidP="002A33C7"/>
    <w:p w14:paraId="384E9EF2" w14:textId="77777777" w:rsidR="007704FE" w:rsidRPr="0062509E" w:rsidRDefault="007704FE" w:rsidP="00647A6F">
      <w:pPr>
        <w:pStyle w:val="ListParagraph"/>
        <w:numPr>
          <w:ilvl w:val="0"/>
          <w:numId w:val="27"/>
        </w:numPr>
        <w:tabs>
          <w:tab w:val="clear" w:pos="720"/>
          <w:tab w:val="left" w:pos="360"/>
        </w:tabs>
        <w:ind w:left="360"/>
      </w:pPr>
      <w:r w:rsidRPr="0062509E">
        <w:t xml:space="preserve">It may be desirable to allow coops to </w:t>
      </w:r>
      <w:r w:rsidRPr="007229F7">
        <w:t>impose a small 3% (not exceeding 3%) tax on all vessel credits allocations to</w:t>
      </w:r>
      <w:r w:rsidRPr="0062509E">
        <w:t xml:space="preserve"> create an Emergency Fund for extreme bad luck cases</w:t>
      </w:r>
      <w:r w:rsidR="00671026">
        <w:t xml:space="preserve">.  </w:t>
      </w:r>
      <w:r w:rsidRPr="007229F7">
        <w:t>This small "emergency fund" could be used to help bail out any vessel that the coop determines had genuine bad luck</w:t>
      </w:r>
      <w:r w:rsidR="00671026">
        <w:t xml:space="preserve">.  </w:t>
      </w:r>
      <w:r w:rsidRPr="007229F7">
        <w:t>Any remainder credits could be put on the market by the coop toward the end of the year to raise revenue</w:t>
      </w:r>
      <w:r w:rsidR="00671026">
        <w:t xml:space="preserve">.  </w:t>
      </w:r>
      <w:r w:rsidRPr="007229F7">
        <w:t xml:space="preserve">The bad luck event (as deemed by a coop, or better yet a sector) could be incorporated into the legacy system (or not) by adjusting the </w:t>
      </w:r>
      <w:r>
        <w:t>bycatch</w:t>
      </w:r>
      <w:r w:rsidRPr="007229F7">
        <w:t xml:space="preserve"> rate to not fully reflect this event (say cut the number in half for that tow)</w:t>
      </w:r>
      <w:r w:rsidR="00671026">
        <w:t xml:space="preserve">.  </w:t>
      </w:r>
      <w:r w:rsidRPr="007229F7">
        <w:t>This can only happen occasionally per vessel (eg</w:t>
      </w:r>
      <w:r w:rsidR="00671026">
        <w:t xml:space="preserve">. </w:t>
      </w:r>
      <w:r w:rsidRPr="007229F7">
        <w:t>once per vessel in 7 years).</w:t>
      </w:r>
    </w:p>
    <w:p w14:paraId="3B347478" w14:textId="77777777" w:rsidR="00F96459" w:rsidRDefault="00F96459" w:rsidP="002A33C7"/>
    <w:p w14:paraId="6664EF2A" w14:textId="77777777" w:rsidR="009E070E" w:rsidRDefault="00F96459" w:rsidP="009E070E">
      <w:pPr>
        <w:pStyle w:val="ListParagraph"/>
        <w:numPr>
          <w:ilvl w:val="0"/>
          <w:numId w:val="27"/>
        </w:numPr>
        <w:tabs>
          <w:tab w:val="clear" w:pos="720"/>
          <w:tab w:val="num" w:pos="360"/>
        </w:tabs>
        <w:ind w:left="360"/>
      </w:pPr>
      <w:r w:rsidRPr="00647A6F">
        <w:rPr>
          <w:u w:val="single"/>
        </w:rPr>
        <w:t>Handling Chronic Offenders with the “2-Strikes Rule:”</w:t>
      </w:r>
      <w:r w:rsidR="00316CE5" w:rsidRPr="00647A6F">
        <w:rPr>
          <w:u w:val="single"/>
        </w:rPr>
        <w:t xml:space="preserve"> (</w:t>
      </w:r>
      <w:r w:rsidR="00316CE5">
        <w:t>offered for consideration as an additional  control for irrational players).</w:t>
      </w:r>
    </w:p>
    <w:p w14:paraId="49381AB7" w14:textId="77777777" w:rsidR="009E070E" w:rsidRDefault="009E070E" w:rsidP="009E070E">
      <w:pPr>
        <w:pStyle w:val="ListParagraph"/>
        <w:ind w:left="360"/>
      </w:pPr>
    </w:p>
    <w:p w14:paraId="0865AD02" w14:textId="77777777" w:rsidR="00F96459" w:rsidRDefault="00F96459" w:rsidP="009E070E">
      <w:pPr>
        <w:ind w:left="360"/>
      </w:pPr>
      <w:r>
        <w:t>Chronic bad players who consistently have high bycatch rates relative to the rest of the fleet can place a drag on the overall performance of the fleet and harm</w:t>
      </w:r>
      <w:r w:rsidR="006D32CA">
        <w:t xml:space="preserve"> its standing with regard to the</w:t>
      </w:r>
      <w:r>
        <w:t xml:space="preserve"> Chinook salm</w:t>
      </w:r>
      <w:r w:rsidR="006D32CA">
        <w:t>on problem</w:t>
      </w:r>
      <w:r w:rsidR="00671026">
        <w:t xml:space="preserve">.  </w:t>
      </w:r>
      <w:r>
        <w:t xml:space="preserve">They may be content with the minimal 2/3 allocation and be willing to wait until later in the season when credits </w:t>
      </w:r>
      <w:r w:rsidR="006D36D1">
        <w:t xml:space="preserve">could </w:t>
      </w:r>
      <w:r>
        <w:t>become more available as individual Pollock quota are filled and/or vessels are more comfortable with selling remainder credits at low prices</w:t>
      </w:r>
      <w:r w:rsidR="00671026">
        <w:t xml:space="preserve">.  </w:t>
      </w:r>
      <w:r>
        <w:t xml:space="preserve">They may not care about the risk that next year may be a moderate to high </w:t>
      </w:r>
      <w:r w:rsidR="006D36D1">
        <w:t>abundance year, when credits will</w:t>
      </w:r>
      <w:r>
        <w:t xml:space="preserve"> not be readily available, and may be willing to put their businesses at risk</w:t>
      </w:r>
      <w:r w:rsidR="00671026">
        <w:t xml:space="preserve">.  </w:t>
      </w:r>
      <w:r w:rsidR="00FB4F5B">
        <w:t>Moreover as discussed</w:t>
      </w:r>
      <w:r>
        <w:t xml:space="preserve">, the </w:t>
      </w:r>
      <w:r w:rsidRPr="00FB4F5B">
        <w:rPr>
          <w:b/>
        </w:rPr>
        <w:t>credits may be uneconomic for the worst players, because they are worth less in terms of expected return on Pollock</w:t>
      </w:r>
      <w:r>
        <w:t xml:space="preserve"> (having a lower intrinsic fishery valu</w:t>
      </w:r>
      <w:r w:rsidR="008F0B53">
        <w:t>e, see glossary and discussion</w:t>
      </w:r>
      <w:r>
        <w:t xml:space="preserve"> in section II-5).</w:t>
      </w:r>
    </w:p>
    <w:p w14:paraId="3FAAE6FD" w14:textId="77777777" w:rsidR="00F96459" w:rsidRDefault="00F96459" w:rsidP="009E070E">
      <w:pPr>
        <w:ind w:left="360"/>
      </w:pPr>
    </w:p>
    <w:p w14:paraId="1A6C59C5" w14:textId="77777777" w:rsidR="00F96459" w:rsidRDefault="00F96459" w:rsidP="009E070E">
      <w:pPr>
        <w:ind w:left="360"/>
      </w:pPr>
      <w:r>
        <w:t>One possible way to handle this is to implement a 2-Strikes Rule that suspends credits trading privileges from such repeat offenders in all seasons until they can demonstrate that they can move out of the worst category in any one season</w:t>
      </w:r>
      <w:r w:rsidR="00671026">
        <w:t xml:space="preserve">.  </w:t>
      </w:r>
      <w:r>
        <w:t>It is ultimately up to the industry to decide the details of this rule and what defines this worst category (eg</w:t>
      </w:r>
      <w:r w:rsidR="00671026">
        <w:t xml:space="preserve">.  </w:t>
      </w:r>
      <w:r>
        <w:t>3 standard deviations below the mean for 2 years running, or near the bottom of the list for 2 years running)</w:t>
      </w:r>
      <w:r w:rsidR="00671026">
        <w:t xml:space="preserve">.  </w:t>
      </w:r>
      <w:r>
        <w:t>Such a rule could quickly weed out the few worst players, and would likely only need to be in effect for some initial period</w:t>
      </w:r>
      <w:r w:rsidR="00671026">
        <w:t xml:space="preserve">.  </w:t>
      </w:r>
      <w:r>
        <w:t>It has not been implemented in the current study.</w:t>
      </w:r>
    </w:p>
    <w:p w14:paraId="49BC9695" w14:textId="77777777" w:rsidR="00F96459" w:rsidRDefault="00E81BAE" w:rsidP="009E070E">
      <w:pPr>
        <w:ind w:left="360"/>
      </w:pPr>
      <w:r>
        <w:t xml:space="preserve"> </w:t>
      </w:r>
    </w:p>
    <w:p w14:paraId="62E9BEEC" w14:textId="77777777" w:rsidR="00F96459" w:rsidRDefault="00F96459" w:rsidP="002A33C7">
      <w:r>
        <w:t>To summarize, being a chronic offender is risky and uneconomic for several reasons:</w:t>
      </w:r>
    </w:p>
    <w:p w14:paraId="3C4E5A0C" w14:textId="77777777" w:rsidR="005013C5" w:rsidRDefault="005013C5" w:rsidP="002A33C7"/>
    <w:p w14:paraId="24E150EF" w14:textId="77777777" w:rsidR="00F96459" w:rsidRDefault="00F96459" w:rsidP="004326E0">
      <w:pPr>
        <w:numPr>
          <w:ilvl w:val="0"/>
          <w:numId w:val="11"/>
        </w:numPr>
        <w:tabs>
          <w:tab w:val="clear" w:pos="720"/>
        </w:tabs>
        <w:ind w:left="900" w:hanging="540"/>
      </w:pPr>
      <w:r>
        <w:t>They will tend to run out of credits quickly because of their lower allocation.</w:t>
      </w:r>
    </w:p>
    <w:p w14:paraId="72EA9ABE" w14:textId="77777777" w:rsidR="00F96459" w:rsidRDefault="00F96459" w:rsidP="004326E0">
      <w:pPr>
        <w:numPr>
          <w:ilvl w:val="0"/>
          <w:numId w:val="11"/>
        </w:numPr>
        <w:tabs>
          <w:tab w:val="clear" w:pos="720"/>
        </w:tabs>
        <w:ind w:left="900" w:hanging="540"/>
      </w:pPr>
      <w:r>
        <w:t>They will n</w:t>
      </w:r>
      <w:r w:rsidR="006E48DD">
        <w:t>eed to buy credits at a</w:t>
      </w:r>
      <w:r>
        <w:t xml:space="preserve"> price that may not be economic given their high bycatch rates.</w:t>
      </w:r>
    </w:p>
    <w:p w14:paraId="2D3F5486" w14:textId="77777777" w:rsidR="00F96459" w:rsidRDefault="00F96459" w:rsidP="004326E0">
      <w:pPr>
        <w:numPr>
          <w:ilvl w:val="0"/>
          <w:numId w:val="11"/>
        </w:numPr>
        <w:tabs>
          <w:tab w:val="clear" w:pos="720"/>
        </w:tabs>
        <w:ind w:left="900" w:hanging="540"/>
      </w:pPr>
      <w:r>
        <w:t>They risk losing trading privileges.</w:t>
      </w:r>
    </w:p>
    <w:p w14:paraId="719A68ED" w14:textId="77777777" w:rsidR="00E81BAE" w:rsidRDefault="00E81BAE" w:rsidP="002A33C7"/>
    <w:p w14:paraId="4BB83A8B" w14:textId="77777777" w:rsidR="00E81BAE" w:rsidRDefault="00E81BAE" w:rsidP="002A33C7"/>
    <w:p w14:paraId="75AAB671" w14:textId="77777777" w:rsidR="00E81BAE" w:rsidRDefault="00E81BAE" w:rsidP="002A33C7">
      <w:pPr>
        <w:rPr>
          <w:b/>
          <w:sz w:val="28"/>
          <w:szCs w:val="28"/>
        </w:rPr>
      </w:pPr>
      <w:r w:rsidRPr="00E81BAE">
        <w:rPr>
          <w:b/>
          <w:sz w:val="28"/>
          <w:szCs w:val="28"/>
        </w:rPr>
        <w:t xml:space="preserve">APPENDIX </w:t>
      </w:r>
      <w:r>
        <w:rPr>
          <w:b/>
          <w:sz w:val="28"/>
          <w:szCs w:val="28"/>
        </w:rPr>
        <w:t>E: Questions from January 20 and Answers</w:t>
      </w:r>
    </w:p>
    <w:p w14:paraId="312605FC" w14:textId="77777777" w:rsidR="00E81BAE" w:rsidRDefault="00E81BAE" w:rsidP="002A33C7">
      <w:pPr>
        <w:rPr>
          <w:b/>
          <w:sz w:val="28"/>
          <w:szCs w:val="28"/>
        </w:rPr>
      </w:pPr>
    </w:p>
    <w:p w14:paraId="1AC074FB" w14:textId="77777777" w:rsidR="00E81BAE" w:rsidRPr="00E81BAE" w:rsidRDefault="00E81BAE" w:rsidP="00E81BAE">
      <w:pPr>
        <w:widowControl w:val="0"/>
        <w:autoSpaceDE w:val="0"/>
        <w:autoSpaceDN w:val="0"/>
        <w:adjustRightInd w:val="0"/>
        <w:rPr>
          <w:rFonts w:cs="Helvetica"/>
        </w:rPr>
      </w:pPr>
      <w:r w:rsidRPr="00E81BAE">
        <w:rPr>
          <w:rFonts w:cs="Helvetica"/>
        </w:rPr>
        <w:t>Questions from Jan 20 (from the public and the Council), and answers from Sugihara and Ye:</w:t>
      </w:r>
      <w:r w:rsidRPr="00E81BAE">
        <w:rPr>
          <w:rStyle w:val="FootnoteReference"/>
          <w:rFonts w:cs="Helvetica"/>
        </w:rPr>
        <w:footnoteReference w:id="5"/>
      </w:r>
      <w:r w:rsidRPr="00E81BAE">
        <w:rPr>
          <w:rFonts w:cs="Helvetica"/>
        </w:rPr>
        <w:t xml:space="preserve">  </w:t>
      </w:r>
    </w:p>
    <w:p w14:paraId="64549241" w14:textId="77777777" w:rsidR="00E81BAE" w:rsidRPr="00E81BAE" w:rsidRDefault="00E81BAE" w:rsidP="00E81BAE">
      <w:pPr>
        <w:widowControl w:val="0"/>
        <w:autoSpaceDE w:val="0"/>
        <w:autoSpaceDN w:val="0"/>
        <w:adjustRightInd w:val="0"/>
        <w:rPr>
          <w:rFonts w:cs="Helvetica"/>
        </w:rPr>
      </w:pPr>
    </w:p>
    <w:p w14:paraId="1B7BB5FC" w14:textId="77777777" w:rsidR="00E81BAE" w:rsidRPr="00E81BAE" w:rsidRDefault="00E81BAE" w:rsidP="00E81BAE">
      <w:pPr>
        <w:widowControl w:val="0"/>
        <w:autoSpaceDE w:val="0"/>
        <w:autoSpaceDN w:val="0"/>
        <w:adjustRightInd w:val="0"/>
        <w:rPr>
          <w:rFonts w:cs="Helvetica"/>
        </w:rPr>
      </w:pPr>
      <w:r w:rsidRPr="00E81BAE">
        <w:rPr>
          <w:rFonts w:cs="Helvetica"/>
        </w:rPr>
        <w:t xml:space="preserve">1) Q1: </w:t>
      </w:r>
      <w:r w:rsidRPr="00E81BAE">
        <w:rPr>
          <w:rFonts w:cs="Helvetica"/>
          <w:i/>
        </w:rPr>
        <w:t>Given that this is a market-based system which only works if a cap is low enough that there is a real chance it will be hit and therefore some people will need to buy credits, creating a financial incentive, how is there an incentive when the cap is unlikely to be hit in most years?</w:t>
      </w:r>
    </w:p>
    <w:p w14:paraId="74014D60" w14:textId="77777777" w:rsidR="00E81BAE" w:rsidRPr="00E81BAE" w:rsidRDefault="00E81BAE" w:rsidP="00E81BAE">
      <w:pPr>
        <w:widowControl w:val="0"/>
        <w:autoSpaceDE w:val="0"/>
        <w:autoSpaceDN w:val="0"/>
        <w:adjustRightInd w:val="0"/>
        <w:rPr>
          <w:rFonts w:cs="Helvetica"/>
        </w:rPr>
      </w:pPr>
    </w:p>
    <w:p w14:paraId="71024AFE" w14:textId="77777777" w:rsidR="00E81BAE" w:rsidRPr="00E81BAE" w:rsidRDefault="00E81BAE" w:rsidP="00E81BAE">
      <w:pPr>
        <w:widowControl w:val="0"/>
        <w:autoSpaceDE w:val="0"/>
        <w:autoSpaceDN w:val="0"/>
        <w:adjustRightInd w:val="0"/>
        <w:rPr>
          <w:rFonts w:cs="Helvetica"/>
        </w:rPr>
      </w:pPr>
      <w:r w:rsidRPr="00E81BAE">
        <w:rPr>
          <w:rFonts w:cs="Helvetica"/>
        </w:rPr>
        <w:t xml:space="preserve">The question raises an important concern but starts out with an initial statement that reflects two misconceptions. </w:t>
      </w:r>
    </w:p>
    <w:p w14:paraId="0003DA81" w14:textId="77777777" w:rsidR="00E81BAE" w:rsidRPr="00E81BAE" w:rsidRDefault="00E81BAE" w:rsidP="00E81BAE">
      <w:pPr>
        <w:widowControl w:val="0"/>
        <w:autoSpaceDE w:val="0"/>
        <w:autoSpaceDN w:val="0"/>
        <w:adjustRightInd w:val="0"/>
        <w:rPr>
          <w:rFonts w:cs="Helvetica"/>
        </w:rPr>
      </w:pPr>
    </w:p>
    <w:p w14:paraId="2EE22D74" w14:textId="77777777" w:rsidR="00E81BAE" w:rsidRPr="00E81BAE" w:rsidRDefault="00E81BAE" w:rsidP="00E81BAE">
      <w:pPr>
        <w:widowControl w:val="0"/>
        <w:autoSpaceDE w:val="0"/>
        <w:autoSpaceDN w:val="0"/>
        <w:adjustRightInd w:val="0"/>
        <w:rPr>
          <w:rFonts w:cs="Helvetica"/>
        </w:rPr>
      </w:pPr>
      <w:r w:rsidRPr="00E81BAE">
        <w:rPr>
          <w:rFonts w:cs="Helvetica"/>
        </w:rPr>
        <w:t>First, based on historical data, it is clear that even in low and moderate abundance years (where the cap is not hit) many vessels would have run out of credits under the PPA hardcap. In high abundance years vessels run out of credits long before the cap is hit.  Any vessel that runs out of credits suffers a potential catastrophic financial loss if the supply of ITEC is not there. A high hard cap is required because Chinook encounters are so highly variable from year to year.  Even with a high cap and low encounters it is likely that most vessels will not want to risk selling credits until they have finished fishing, on the chance that they will not be able to complete their harvest.  There is a lot of uncertainty, and this uncertainty (with the prospect of large financial losses that accompany an incomplete harvest) will keep ITEC supplies in check and support financial incentives (as will Dynamic Salmon Savings).</w:t>
      </w:r>
    </w:p>
    <w:p w14:paraId="35F68386" w14:textId="77777777" w:rsidR="00E81BAE" w:rsidRPr="00E81BAE" w:rsidRDefault="00E81BAE" w:rsidP="00E81BAE">
      <w:pPr>
        <w:widowControl w:val="0"/>
        <w:autoSpaceDE w:val="0"/>
        <w:autoSpaceDN w:val="0"/>
        <w:adjustRightInd w:val="0"/>
        <w:rPr>
          <w:rFonts w:cs="Helvetica"/>
        </w:rPr>
      </w:pPr>
    </w:p>
    <w:p w14:paraId="4D207ED0" w14:textId="77777777" w:rsidR="00E81BAE" w:rsidRPr="00E81BAE" w:rsidRDefault="00E81BAE" w:rsidP="00E81BAE">
      <w:pPr>
        <w:widowControl w:val="0"/>
        <w:autoSpaceDE w:val="0"/>
        <w:autoSpaceDN w:val="0"/>
        <w:adjustRightInd w:val="0"/>
        <w:rPr>
          <w:rFonts w:cs="Helvetica"/>
        </w:rPr>
      </w:pPr>
      <w:r w:rsidRPr="00E81BAE">
        <w:rPr>
          <w:rFonts w:cs="Helvetica"/>
        </w:rPr>
        <w:t>Second, There are 2 parts to the plan: 1) a legacy component, and 2) a transfer component (regulating trades). The legacy component regulates reallocation of credits based on bycatch behavior, and carries strongest incentives when Chinook encounters are low. This part of the plan works best if you are well under the cap.</w:t>
      </w:r>
    </w:p>
    <w:p w14:paraId="72ADCC86" w14:textId="77777777" w:rsidR="00E81BAE" w:rsidRPr="00E81BAE" w:rsidRDefault="00E81BAE" w:rsidP="00E81BAE">
      <w:pPr>
        <w:widowControl w:val="0"/>
        <w:autoSpaceDE w:val="0"/>
        <w:autoSpaceDN w:val="0"/>
        <w:adjustRightInd w:val="0"/>
        <w:rPr>
          <w:rFonts w:cs="Helvetica"/>
        </w:rPr>
      </w:pPr>
    </w:p>
    <w:p w14:paraId="108C1E27" w14:textId="77777777" w:rsidR="00E81BAE" w:rsidRPr="00E81BAE" w:rsidRDefault="00E81BAE" w:rsidP="00E81BAE">
      <w:pPr>
        <w:widowControl w:val="0"/>
        <w:autoSpaceDE w:val="0"/>
        <w:autoSpaceDN w:val="0"/>
        <w:adjustRightInd w:val="0"/>
        <w:rPr>
          <w:rFonts w:cs="Helvetica"/>
        </w:rPr>
      </w:pPr>
      <w:r w:rsidRPr="00E81BAE">
        <w:rPr>
          <w:rFonts w:cs="Helvetica"/>
        </w:rPr>
        <w:t>The transfer component has provisions to maintain financial incentives (both short and long-term) during low chinook abundance years.  In particular the Dynamic Salmon Savings Rule is designed to prevent an over supply of credits during low encounter periods, thus addresses the important concern raised by this question.</w:t>
      </w:r>
    </w:p>
    <w:p w14:paraId="6A6D802D" w14:textId="77777777" w:rsidR="00E81BAE" w:rsidRPr="00E81BAE" w:rsidRDefault="00E81BAE" w:rsidP="00E81BAE">
      <w:pPr>
        <w:widowControl w:val="0"/>
        <w:autoSpaceDE w:val="0"/>
        <w:autoSpaceDN w:val="0"/>
        <w:adjustRightInd w:val="0"/>
        <w:rPr>
          <w:rFonts w:cs="Helvetica"/>
        </w:rPr>
      </w:pPr>
    </w:p>
    <w:p w14:paraId="05DB3F87" w14:textId="77777777" w:rsidR="00E81BAE" w:rsidRPr="00E81BAE" w:rsidRDefault="00E81BAE" w:rsidP="00E81BAE">
      <w:pPr>
        <w:widowControl w:val="0"/>
        <w:autoSpaceDE w:val="0"/>
        <w:autoSpaceDN w:val="0"/>
        <w:adjustRightInd w:val="0"/>
        <w:rPr>
          <w:rFonts w:cs="Helvetica"/>
          <w:i/>
        </w:rPr>
      </w:pPr>
      <w:r w:rsidRPr="00E81BAE">
        <w:rPr>
          <w:rFonts w:cs="Helvetica"/>
        </w:rPr>
        <w:t xml:space="preserve">2) Q2: </w:t>
      </w:r>
      <w:r w:rsidRPr="00E81BAE">
        <w:rPr>
          <w:rFonts w:cs="Helvetica"/>
          <w:i/>
        </w:rPr>
        <w:t>How does a high cap assist the recovery in WAK [Western Alaska?] streams?  It is not apparent what the incentive is to minimize bycatch below this level.</w:t>
      </w:r>
    </w:p>
    <w:p w14:paraId="4720D737" w14:textId="77777777" w:rsidR="00E81BAE" w:rsidRPr="00E81BAE" w:rsidRDefault="00E81BAE" w:rsidP="00E81BAE">
      <w:pPr>
        <w:widowControl w:val="0"/>
        <w:autoSpaceDE w:val="0"/>
        <w:autoSpaceDN w:val="0"/>
        <w:adjustRightInd w:val="0"/>
        <w:rPr>
          <w:rFonts w:cs="Helvetica"/>
        </w:rPr>
      </w:pPr>
    </w:p>
    <w:p w14:paraId="51ED2329" w14:textId="77777777" w:rsidR="00E81BAE" w:rsidRPr="00E81BAE" w:rsidRDefault="00E81BAE" w:rsidP="00E81BAE">
      <w:pPr>
        <w:widowControl w:val="0"/>
        <w:autoSpaceDE w:val="0"/>
        <w:autoSpaceDN w:val="0"/>
        <w:adjustRightInd w:val="0"/>
        <w:rPr>
          <w:rFonts w:cs="Helvetica"/>
        </w:rPr>
      </w:pPr>
      <w:r w:rsidRPr="00E81BAE">
        <w:rPr>
          <w:rFonts w:cs="Helvetica"/>
        </w:rPr>
        <w:t>A high cap with this Legacy Market-Incentive plan would be better in terms of protecting salmon, than a lower cap without this incentive program. Without incentives this lower cap could always be hit.  With incentives Dynamic Salmon Savings being proposed protects up to 40% of traded credits and is roughly 4X better than a 20% fixed tax on transfers in terms of the numbers of salmon protected.</w:t>
      </w:r>
    </w:p>
    <w:p w14:paraId="116AAEFE" w14:textId="77777777" w:rsidR="00E81BAE" w:rsidRPr="00E81BAE" w:rsidRDefault="00E81BAE" w:rsidP="00E81BAE">
      <w:pPr>
        <w:widowControl w:val="0"/>
        <w:autoSpaceDE w:val="0"/>
        <w:autoSpaceDN w:val="0"/>
        <w:adjustRightInd w:val="0"/>
        <w:rPr>
          <w:rFonts w:cs="Helvetica"/>
        </w:rPr>
      </w:pPr>
    </w:p>
    <w:p w14:paraId="44C80A9C" w14:textId="77777777" w:rsidR="00E81BAE" w:rsidRPr="00E81BAE" w:rsidRDefault="00E81BAE" w:rsidP="00E81BAE">
      <w:pPr>
        <w:widowControl w:val="0"/>
        <w:autoSpaceDE w:val="0"/>
        <w:autoSpaceDN w:val="0"/>
        <w:adjustRightInd w:val="0"/>
        <w:rPr>
          <w:rFonts w:cs="Helvetica"/>
        </w:rPr>
      </w:pPr>
    </w:p>
    <w:p w14:paraId="494BCF53" w14:textId="77777777" w:rsidR="00E81BAE" w:rsidRPr="00E81BAE" w:rsidRDefault="00E81BAE" w:rsidP="00E81BAE">
      <w:pPr>
        <w:widowControl w:val="0"/>
        <w:autoSpaceDE w:val="0"/>
        <w:autoSpaceDN w:val="0"/>
        <w:adjustRightInd w:val="0"/>
        <w:rPr>
          <w:rFonts w:cs="Helvetica"/>
          <w:i/>
        </w:rPr>
      </w:pPr>
      <w:r w:rsidRPr="00E81BAE">
        <w:rPr>
          <w:rFonts w:cs="Helvetica"/>
        </w:rPr>
        <w:t xml:space="preserve">3) Q3: </w:t>
      </w:r>
      <w:r w:rsidRPr="00E81BAE">
        <w:rPr>
          <w:rFonts w:cs="Helvetica"/>
          <w:i/>
        </w:rPr>
        <w:t>If the cap were 47,500 would there be an incentive program to stay within the cap?</w:t>
      </w:r>
    </w:p>
    <w:p w14:paraId="7C5D7605" w14:textId="77777777" w:rsidR="00E81BAE" w:rsidRPr="00E81BAE" w:rsidRDefault="00E81BAE" w:rsidP="00E81BAE">
      <w:pPr>
        <w:widowControl w:val="0"/>
        <w:autoSpaceDE w:val="0"/>
        <w:autoSpaceDN w:val="0"/>
        <w:adjustRightInd w:val="0"/>
        <w:rPr>
          <w:rFonts w:cs="Helvetica"/>
        </w:rPr>
      </w:pPr>
    </w:p>
    <w:p w14:paraId="288599F9" w14:textId="77777777" w:rsidR="00E81BAE" w:rsidRPr="00E81BAE" w:rsidRDefault="00E81BAE" w:rsidP="00E81BAE">
      <w:pPr>
        <w:widowControl w:val="0"/>
        <w:autoSpaceDE w:val="0"/>
        <w:autoSpaceDN w:val="0"/>
        <w:adjustRightInd w:val="0"/>
        <w:rPr>
          <w:rFonts w:cs="Helvetica"/>
        </w:rPr>
      </w:pPr>
      <w:r w:rsidRPr="00E81BAE">
        <w:rPr>
          <w:rFonts w:cs="Helvetica"/>
        </w:rPr>
        <w:t>Not according to the C-2 Motion agreement. There would be no required incentive program with a 47,500 cap and the potential cost to Chinook populations would be large, especially during periods of low abundance.</w:t>
      </w:r>
    </w:p>
    <w:p w14:paraId="2870BE8C" w14:textId="77777777" w:rsidR="00E81BAE" w:rsidRPr="00E81BAE" w:rsidRDefault="00E81BAE" w:rsidP="00E81BAE">
      <w:pPr>
        <w:widowControl w:val="0"/>
        <w:autoSpaceDE w:val="0"/>
        <w:autoSpaceDN w:val="0"/>
        <w:adjustRightInd w:val="0"/>
        <w:rPr>
          <w:rFonts w:cs="Helvetica"/>
        </w:rPr>
      </w:pPr>
    </w:p>
    <w:p w14:paraId="084AD994" w14:textId="77777777" w:rsidR="00E81BAE" w:rsidRPr="00E81BAE" w:rsidRDefault="00E81BAE" w:rsidP="00E81BAE">
      <w:pPr>
        <w:widowControl w:val="0"/>
        <w:autoSpaceDE w:val="0"/>
        <w:autoSpaceDN w:val="0"/>
        <w:adjustRightInd w:val="0"/>
        <w:rPr>
          <w:rFonts w:cs="Helvetica"/>
        </w:rPr>
      </w:pPr>
    </w:p>
    <w:p w14:paraId="3A89B8A4" w14:textId="77777777" w:rsidR="00E81BAE" w:rsidRPr="00E81BAE" w:rsidRDefault="00E81BAE" w:rsidP="00E81BAE">
      <w:pPr>
        <w:widowControl w:val="0"/>
        <w:autoSpaceDE w:val="0"/>
        <w:autoSpaceDN w:val="0"/>
        <w:adjustRightInd w:val="0"/>
        <w:rPr>
          <w:rFonts w:cs="Helvetica"/>
          <w:i/>
        </w:rPr>
      </w:pPr>
      <w:r w:rsidRPr="00E81BAE">
        <w:rPr>
          <w:rFonts w:cs="Helvetica"/>
        </w:rPr>
        <w:t xml:space="preserve">4) Q4: </w:t>
      </w:r>
      <w:r w:rsidRPr="00E81BAE">
        <w:rPr>
          <w:rFonts w:cs="Helvetica"/>
          <w:i/>
        </w:rPr>
        <w:t>If the cap were set at 68,000 is there any type of step-down approach from this level that industry is willing to do?</w:t>
      </w:r>
    </w:p>
    <w:p w14:paraId="507D360E" w14:textId="77777777" w:rsidR="00E81BAE" w:rsidRPr="00E81BAE" w:rsidRDefault="00E81BAE" w:rsidP="00E81BAE">
      <w:pPr>
        <w:widowControl w:val="0"/>
        <w:autoSpaceDE w:val="0"/>
        <w:autoSpaceDN w:val="0"/>
        <w:adjustRightInd w:val="0"/>
        <w:rPr>
          <w:rFonts w:cs="Helvetica"/>
        </w:rPr>
      </w:pPr>
    </w:p>
    <w:p w14:paraId="6E8FA60D" w14:textId="77777777" w:rsidR="00E81BAE" w:rsidRPr="00E81BAE" w:rsidRDefault="00E81BAE" w:rsidP="00E81BAE">
      <w:pPr>
        <w:widowControl w:val="0"/>
        <w:autoSpaceDE w:val="0"/>
        <w:autoSpaceDN w:val="0"/>
        <w:adjustRightInd w:val="0"/>
        <w:rPr>
          <w:rFonts w:cs="Helvetica"/>
        </w:rPr>
      </w:pPr>
      <w:r w:rsidRPr="00E81BAE">
        <w:rPr>
          <w:rFonts w:cs="Helvetica"/>
        </w:rPr>
        <w:t>The beauty of the Legacy Market-Incentive plan is that it works cumulatively to promote individual incentives to cause the fleet bycatch rates to decline through time.  Skill at bycatch avoidance should improve through time without having to readjust the hardcap.  Getting this in place (as opposed to the alternative, which would be bad for everyone) is essential now.</w:t>
      </w:r>
    </w:p>
    <w:p w14:paraId="17E2414D" w14:textId="77777777" w:rsidR="00E81BAE" w:rsidRPr="00E81BAE" w:rsidRDefault="00E81BAE" w:rsidP="00E81BAE">
      <w:pPr>
        <w:widowControl w:val="0"/>
        <w:autoSpaceDE w:val="0"/>
        <w:autoSpaceDN w:val="0"/>
        <w:adjustRightInd w:val="0"/>
        <w:rPr>
          <w:rFonts w:cs="Helvetica"/>
        </w:rPr>
      </w:pPr>
    </w:p>
    <w:p w14:paraId="5DEFF51F" w14:textId="77777777" w:rsidR="00E81BAE" w:rsidRPr="00E81BAE" w:rsidRDefault="00E81BAE" w:rsidP="00E81BAE">
      <w:pPr>
        <w:widowControl w:val="0"/>
        <w:autoSpaceDE w:val="0"/>
        <w:autoSpaceDN w:val="0"/>
        <w:adjustRightInd w:val="0"/>
        <w:rPr>
          <w:rFonts w:cs="Helvetica"/>
        </w:rPr>
      </w:pPr>
    </w:p>
    <w:p w14:paraId="599B9168" w14:textId="77777777" w:rsidR="00E81BAE" w:rsidRPr="00E81BAE" w:rsidRDefault="00E81BAE" w:rsidP="00E81BAE">
      <w:pPr>
        <w:widowControl w:val="0"/>
        <w:autoSpaceDE w:val="0"/>
        <w:autoSpaceDN w:val="0"/>
        <w:adjustRightInd w:val="0"/>
        <w:rPr>
          <w:rFonts w:cs="Helvetica"/>
        </w:rPr>
      </w:pPr>
      <w:r w:rsidRPr="00E81BAE">
        <w:rPr>
          <w:rFonts w:cs="Helvetica"/>
        </w:rPr>
        <w:t xml:space="preserve">5) Q5: </w:t>
      </w:r>
      <w:r w:rsidRPr="00E81BAE">
        <w:rPr>
          <w:rFonts w:cs="Helvetica"/>
          <w:i/>
        </w:rPr>
        <w:t>Could bad performers get credits from a non participating vessel?</w:t>
      </w:r>
    </w:p>
    <w:p w14:paraId="4026393E" w14:textId="77777777" w:rsidR="00E81BAE" w:rsidRPr="00E81BAE" w:rsidRDefault="00E81BAE" w:rsidP="00E81BAE">
      <w:pPr>
        <w:widowControl w:val="0"/>
        <w:autoSpaceDE w:val="0"/>
        <w:autoSpaceDN w:val="0"/>
        <w:adjustRightInd w:val="0"/>
        <w:rPr>
          <w:rFonts w:cs="Helvetica"/>
        </w:rPr>
      </w:pPr>
    </w:p>
    <w:p w14:paraId="156EE009" w14:textId="77777777" w:rsidR="00E81BAE" w:rsidRPr="00E81BAE" w:rsidRDefault="00E81BAE" w:rsidP="00E81BAE">
      <w:pPr>
        <w:widowControl w:val="0"/>
        <w:autoSpaceDE w:val="0"/>
        <w:autoSpaceDN w:val="0"/>
        <w:adjustRightInd w:val="0"/>
        <w:rPr>
          <w:rFonts w:cs="Helvetica"/>
        </w:rPr>
      </w:pPr>
      <w:r w:rsidRPr="00E81BAE">
        <w:rPr>
          <w:rFonts w:cs="Helvetica"/>
        </w:rPr>
        <w:t>Credits can be sold to a nonparticipating vessel (sector) but cannot be purchased from one.  If all vessels (sectors) adopt Dynamic Salmon Savings with the same maximum savings rates (same Provisional Salmon Savings Rule), then trades could occur in both directions.  The effect of DSS on pricing and availability of ITEC means that trades will tend to occur within the groups: within the participating group and within the nonparticipating group.</w:t>
      </w:r>
    </w:p>
    <w:p w14:paraId="59956AF2" w14:textId="77777777" w:rsidR="00E81BAE" w:rsidRPr="00E81BAE" w:rsidRDefault="00E81BAE" w:rsidP="00E81BAE">
      <w:pPr>
        <w:widowControl w:val="0"/>
        <w:autoSpaceDE w:val="0"/>
        <w:autoSpaceDN w:val="0"/>
        <w:adjustRightInd w:val="0"/>
        <w:rPr>
          <w:rFonts w:cs="Helvetica"/>
        </w:rPr>
      </w:pPr>
    </w:p>
    <w:p w14:paraId="5434B029" w14:textId="77777777" w:rsidR="00E81BAE" w:rsidRPr="00E81BAE" w:rsidRDefault="00E81BAE" w:rsidP="00E81BAE">
      <w:pPr>
        <w:widowControl w:val="0"/>
        <w:autoSpaceDE w:val="0"/>
        <w:autoSpaceDN w:val="0"/>
        <w:adjustRightInd w:val="0"/>
        <w:rPr>
          <w:rFonts w:cs="Helvetica"/>
        </w:rPr>
      </w:pPr>
    </w:p>
    <w:p w14:paraId="04570477" w14:textId="77777777" w:rsidR="00E81BAE" w:rsidRPr="00E81BAE" w:rsidRDefault="00E81BAE" w:rsidP="00E81BAE">
      <w:pPr>
        <w:widowControl w:val="0"/>
        <w:autoSpaceDE w:val="0"/>
        <w:autoSpaceDN w:val="0"/>
        <w:adjustRightInd w:val="0"/>
        <w:rPr>
          <w:rFonts w:cs="Helvetica"/>
        </w:rPr>
      </w:pPr>
      <w:r w:rsidRPr="00E81BAE">
        <w:rPr>
          <w:rFonts w:cs="Helvetica"/>
        </w:rPr>
        <w:t xml:space="preserve">6) Q6: </w:t>
      </w:r>
      <w:r w:rsidRPr="00E81BAE">
        <w:rPr>
          <w:rFonts w:cs="Helvetica"/>
          <w:i/>
        </w:rPr>
        <w:t>What about Buy Side limitations in addition to sell side limitations?</w:t>
      </w:r>
    </w:p>
    <w:p w14:paraId="19530E78" w14:textId="77777777" w:rsidR="00E81BAE" w:rsidRPr="00E81BAE" w:rsidRDefault="00E81BAE" w:rsidP="00E81BAE">
      <w:pPr>
        <w:widowControl w:val="0"/>
        <w:autoSpaceDE w:val="0"/>
        <w:autoSpaceDN w:val="0"/>
        <w:adjustRightInd w:val="0"/>
        <w:rPr>
          <w:rFonts w:cs="Helvetica"/>
        </w:rPr>
      </w:pPr>
    </w:p>
    <w:p w14:paraId="225EBEC7" w14:textId="77777777" w:rsidR="00E81BAE" w:rsidRPr="00E81BAE" w:rsidRDefault="00E81BAE" w:rsidP="00E81BAE">
      <w:pPr>
        <w:widowControl w:val="0"/>
        <w:autoSpaceDE w:val="0"/>
        <w:autoSpaceDN w:val="0"/>
        <w:adjustRightInd w:val="0"/>
        <w:rPr>
          <w:rFonts w:cs="Helvetica"/>
        </w:rPr>
      </w:pPr>
      <w:r w:rsidRPr="00E81BAE">
        <w:rPr>
          <w:rFonts w:cs="Helvetica"/>
        </w:rPr>
        <w:t>The Legacy Market-Incentive plan suggests a buy-side limit of 1/3 to 1/2 above the vessel allocation. If a vessel has earned a low ITEC allocation then it’s buy-side limit is lower. That is the buy-side limit moves in tandem with the ITEC legacy allocation. This coupling increases incentives in both components of the plan. Buy-side limits are intended to prevent abuse in low encounter years.</w:t>
      </w:r>
    </w:p>
    <w:p w14:paraId="27C9A013" w14:textId="77777777" w:rsidR="00E81BAE" w:rsidRPr="00E81BAE" w:rsidRDefault="00E81BAE" w:rsidP="00E81BAE">
      <w:pPr>
        <w:widowControl w:val="0"/>
        <w:autoSpaceDE w:val="0"/>
        <w:autoSpaceDN w:val="0"/>
        <w:adjustRightInd w:val="0"/>
        <w:rPr>
          <w:rFonts w:cs="Helvetica"/>
        </w:rPr>
      </w:pPr>
    </w:p>
    <w:p w14:paraId="7D0ED330" w14:textId="77777777" w:rsidR="00E81BAE" w:rsidRPr="00E81BAE" w:rsidRDefault="00E81BAE" w:rsidP="00E81BAE">
      <w:pPr>
        <w:widowControl w:val="0"/>
        <w:autoSpaceDE w:val="0"/>
        <w:autoSpaceDN w:val="0"/>
        <w:adjustRightInd w:val="0"/>
        <w:rPr>
          <w:rFonts w:cs="Helvetica"/>
          <w:i/>
        </w:rPr>
      </w:pPr>
      <w:r w:rsidRPr="00E81BAE">
        <w:rPr>
          <w:rFonts w:cs="Helvetica"/>
        </w:rPr>
        <w:t xml:space="preserve">7) Q7: </w:t>
      </w:r>
      <w:r w:rsidRPr="00E81BAE">
        <w:rPr>
          <w:rFonts w:cs="Helvetica"/>
          <w:i/>
        </w:rPr>
        <w:t>Is there a limitation on transfers within cooperatives?</w:t>
      </w:r>
    </w:p>
    <w:p w14:paraId="3CC8D3EB" w14:textId="77777777" w:rsidR="00E81BAE" w:rsidRPr="00E81BAE" w:rsidRDefault="00E81BAE" w:rsidP="00E81BAE">
      <w:pPr>
        <w:widowControl w:val="0"/>
        <w:autoSpaceDE w:val="0"/>
        <w:autoSpaceDN w:val="0"/>
        <w:adjustRightInd w:val="0"/>
        <w:rPr>
          <w:rFonts w:cs="Helvetica"/>
        </w:rPr>
      </w:pPr>
    </w:p>
    <w:p w14:paraId="7F76C565" w14:textId="77777777" w:rsidR="00E81BAE" w:rsidRPr="00E81BAE" w:rsidRDefault="00E81BAE" w:rsidP="00E81BAE">
      <w:pPr>
        <w:widowControl w:val="0"/>
        <w:autoSpaceDE w:val="0"/>
        <w:autoSpaceDN w:val="0"/>
        <w:adjustRightInd w:val="0"/>
        <w:rPr>
          <w:rFonts w:cs="Helvetica"/>
        </w:rPr>
      </w:pPr>
      <w:r w:rsidRPr="00E81BAE">
        <w:rPr>
          <w:rFonts w:cs="Helvetica"/>
        </w:rPr>
        <w:t>The buy-side limit and DSS should apply to all transfers.  This includes those occurring within cooperatives, or among vessels working for the same companies.</w:t>
      </w:r>
    </w:p>
    <w:p w14:paraId="0A7FAA88" w14:textId="77777777" w:rsidR="00E81BAE" w:rsidRPr="00E81BAE" w:rsidRDefault="00E81BAE" w:rsidP="00E81BAE">
      <w:pPr>
        <w:widowControl w:val="0"/>
        <w:autoSpaceDE w:val="0"/>
        <w:autoSpaceDN w:val="0"/>
        <w:adjustRightInd w:val="0"/>
        <w:rPr>
          <w:rFonts w:cs="Helvetica"/>
        </w:rPr>
      </w:pPr>
    </w:p>
    <w:p w14:paraId="5EBDDA2D" w14:textId="77777777" w:rsidR="00E81BAE" w:rsidRPr="00E81BAE" w:rsidRDefault="00E81BAE" w:rsidP="00E81BAE">
      <w:pPr>
        <w:widowControl w:val="0"/>
        <w:autoSpaceDE w:val="0"/>
        <w:autoSpaceDN w:val="0"/>
        <w:adjustRightInd w:val="0"/>
        <w:rPr>
          <w:rFonts w:cs="Helvetica"/>
        </w:rPr>
      </w:pPr>
    </w:p>
    <w:p w14:paraId="3467E816" w14:textId="77777777" w:rsidR="00E81BAE" w:rsidRPr="00E81BAE" w:rsidRDefault="00E81BAE" w:rsidP="00E81BAE">
      <w:pPr>
        <w:widowControl w:val="0"/>
        <w:autoSpaceDE w:val="0"/>
        <w:autoSpaceDN w:val="0"/>
        <w:adjustRightInd w:val="0"/>
        <w:rPr>
          <w:rFonts w:cs="Helvetica"/>
          <w:i/>
        </w:rPr>
      </w:pPr>
      <w:r w:rsidRPr="00E81BAE">
        <w:rPr>
          <w:rFonts w:cs="Helvetica"/>
        </w:rPr>
        <w:t xml:space="preserve">8) Q8:  </w:t>
      </w:r>
      <w:r w:rsidRPr="00E81BAE">
        <w:rPr>
          <w:rFonts w:cs="Helvetica"/>
          <w:i/>
        </w:rPr>
        <w:t>Given that the incentive is to provide additional profit for boat, could an increase (or decrease) in pollock allocation be used rather than ITECs?</w:t>
      </w:r>
    </w:p>
    <w:p w14:paraId="113F5183" w14:textId="77777777" w:rsidR="00E81BAE" w:rsidRPr="00E81BAE" w:rsidRDefault="00E81BAE" w:rsidP="00E81BAE">
      <w:pPr>
        <w:widowControl w:val="0"/>
        <w:autoSpaceDE w:val="0"/>
        <w:autoSpaceDN w:val="0"/>
        <w:adjustRightInd w:val="0"/>
        <w:rPr>
          <w:rFonts w:cs="Helvetica"/>
        </w:rPr>
      </w:pPr>
    </w:p>
    <w:p w14:paraId="4526C6F0" w14:textId="77777777" w:rsidR="00E81BAE" w:rsidRPr="00E81BAE" w:rsidRDefault="00E81BAE" w:rsidP="00E81BAE">
      <w:pPr>
        <w:widowControl w:val="0"/>
        <w:autoSpaceDE w:val="0"/>
        <w:autoSpaceDN w:val="0"/>
        <w:adjustRightInd w:val="0"/>
        <w:rPr>
          <w:rFonts w:cs="Helvetica"/>
        </w:rPr>
      </w:pPr>
      <w:r w:rsidRPr="00E81BAE">
        <w:rPr>
          <w:rFonts w:cs="Helvetica"/>
        </w:rPr>
        <w:t>Vessels who run out of ITEC can lease their Pollock to other vessels belonging to the same coop.  Leasing out Pollock is a likely outcome if a vessel runs out of credits early, as ITEC will not be available then.  The vessel that leases the extra Pollock is likely to be one that can realize the most profit (value) per ITEC.  These are the cleanest fishing vessels (they get the most Pollock value per Chinook encounter).  This means Pollock will move away from high bycatch vessels toward vessels that are cleaner, and this will increase fleet efficiency with respect to lowered bycatch.</w:t>
      </w:r>
    </w:p>
    <w:p w14:paraId="7BAAAF70" w14:textId="77777777" w:rsidR="00E81BAE" w:rsidRPr="00E81BAE" w:rsidRDefault="00E81BAE" w:rsidP="00E81BAE">
      <w:pPr>
        <w:widowControl w:val="0"/>
        <w:autoSpaceDE w:val="0"/>
        <w:autoSpaceDN w:val="0"/>
        <w:adjustRightInd w:val="0"/>
        <w:rPr>
          <w:rFonts w:cs="Helvetica"/>
        </w:rPr>
      </w:pPr>
    </w:p>
    <w:p w14:paraId="5E195C1D" w14:textId="77777777" w:rsidR="00E81BAE" w:rsidRPr="00E81BAE" w:rsidRDefault="00E81BAE" w:rsidP="00E81BAE">
      <w:pPr>
        <w:widowControl w:val="0"/>
        <w:autoSpaceDE w:val="0"/>
        <w:autoSpaceDN w:val="0"/>
        <w:adjustRightInd w:val="0"/>
        <w:rPr>
          <w:rFonts w:cs="Helvetica"/>
        </w:rPr>
      </w:pPr>
    </w:p>
    <w:p w14:paraId="0DEFAB44" w14:textId="77777777" w:rsidR="00E81BAE" w:rsidRPr="00E81BAE" w:rsidRDefault="00E81BAE" w:rsidP="00E81BAE">
      <w:pPr>
        <w:widowControl w:val="0"/>
        <w:autoSpaceDE w:val="0"/>
        <w:autoSpaceDN w:val="0"/>
        <w:adjustRightInd w:val="0"/>
        <w:rPr>
          <w:rFonts w:cs="Helvetica"/>
          <w:i/>
        </w:rPr>
      </w:pPr>
      <w:r w:rsidRPr="00E81BAE">
        <w:rPr>
          <w:rFonts w:cs="Helvetica"/>
        </w:rPr>
        <w:t>9) Q9</w:t>
      </w:r>
      <w:r w:rsidRPr="00E81BAE">
        <w:rPr>
          <w:rFonts w:cs="Helvetica"/>
          <w:i/>
        </w:rPr>
        <w:t>:  If punishment is based on a vessel's performance in relation to the mean, how is there an incentive to reduce bycatch as specified in the PPA versus just having similar bycatch?</w:t>
      </w:r>
    </w:p>
    <w:p w14:paraId="3E8A044E" w14:textId="77777777" w:rsidR="00E81BAE" w:rsidRPr="00E81BAE" w:rsidRDefault="00E81BAE" w:rsidP="00E81BAE">
      <w:pPr>
        <w:widowControl w:val="0"/>
        <w:autoSpaceDE w:val="0"/>
        <w:autoSpaceDN w:val="0"/>
        <w:adjustRightInd w:val="0"/>
        <w:rPr>
          <w:rFonts w:cs="Helvetica"/>
        </w:rPr>
      </w:pPr>
    </w:p>
    <w:p w14:paraId="4FD3EB71" w14:textId="77777777" w:rsidR="00E81BAE" w:rsidRPr="00E81BAE" w:rsidRDefault="00E81BAE" w:rsidP="00E81BAE">
      <w:pPr>
        <w:widowControl w:val="0"/>
        <w:autoSpaceDE w:val="0"/>
        <w:autoSpaceDN w:val="0"/>
        <w:adjustRightInd w:val="0"/>
        <w:rPr>
          <w:rFonts w:cs="Helvetica"/>
        </w:rPr>
      </w:pPr>
      <w:r w:rsidRPr="00E81BAE">
        <w:rPr>
          <w:rFonts w:cs="Helvetica"/>
        </w:rPr>
        <w:t xml:space="preserve">This could be a problem with revenue pool systems, but not this plan. In a transparent market-based system with many players it is difficult to control or nullify incentives. A handful of vessels cannot collude and have much effect on the outcome. </w:t>
      </w:r>
    </w:p>
    <w:p w14:paraId="0FFC365B" w14:textId="77777777" w:rsidR="00E81BAE" w:rsidRPr="00E81BAE" w:rsidRDefault="00E81BAE" w:rsidP="00E81BAE">
      <w:pPr>
        <w:widowControl w:val="0"/>
        <w:autoSpaceDE w:val="0"/>
        <w:autoSpaceDN w:val="0"/>
        <w:adjustRightInd w:val="0"/>
        <w:rPr>
          <w:rFonts w:cs="Helvetica"/>
        </w:rPr>
      </w:pPr>
    </w:p>
    <w:p w14:paraId="59BDEE8A" w14:textId="77777777" w:rsidR="00E81BAE" w:rsidRPr="00E81BAE" w:rsidRDefault="00E81BAE" w:rsidP="00E81BAE">
      <w:pPr>
        <w:widowControl w:val="0"/>
        <w:autoSpaceDE w:val="0"/>
        <w:autoSpaceDN w:val="0"/>
        <w:adjustRightInd w:val="0"/>
        <w:rPr>
          <w:rFonts w:cs="Helvetica"/>
        </w:rPr>
      </w:pPr>
      <w:r w:rsidRPr="00E81BAE">
        <w:rPr>
          <w:rFonts w:cs="Helvetica"/>
        </w:rPr>
        <w:t>The Legacy allocation component rewards those who have lower by-catch relative to the mean with higher subsequent ITEC allocations. If you are better than average you get more ITEC as insurance against accidents and a moderate to high encounter years when credits are generally unavailable. If only one vessel does not go along with the plan to be average and fishes clean, that vessel wins. The rational incentive is to win.</w:t>
      </w:r>
    </w:p>
    <w:p w14:paraId="667507C9" w14:textId="77777777" w:rsidR="00E81BAE" w:rsidRPr="00E81BAE" w:rsidRDefault="00E81BAE" w:rsidP="00E81BAE">
      <w:pPr>
        <w:widowControl w:val="0"/>
        <w:autoSpaceDE w:val="0"/>
        <w:autoSpaceDN w:val="0"/>
        <w:adjustRightInd w:val="0"/>
        <w:rPr>
          <w:rFonts w:cs="Helvetica"/>
        </w:rPr>
      </w:pPr>
    </w:p>
    <w:p w14:paraId="32B89A30" w14:textId="77777777" w:rsidR="00E81BAE" w:rsidRPr="00E81BAE" w:rsidRDefault="00E81BAE" w:rsidP="00E81BAE">
      <w:pPr>
        <w:widowControl w:val="0"/>
        <w:autoSpaceDE w:val="0"/>
        <w:autoSpaceDN w:val="0"/>
        <w:adjustRightInd w:val="0"/>
        <w:rPr>
          <w:rFonts w:cs="Helvetica"/>
        </w:rPr>
      </w:pPr>
    </w:p>
    <w:p w14:paraId="6EFFFA0D" w14:textId="77777777" w:rsidR="00E81BAE" w:rsidRPr="00E81BAE" w:rsidRDefault="00E81BAE" w:rsidP="00E81BAE">
      <w:pPr>
        <w:widowControl w:val="0"/>
        <w:autoSpaceDE w:val="0"/>
        <w:autoSpaceDN w:val="0"/>
        <w:adjustRightInd w:val="0"/>
        <w:rPr>
          <w:rFonts w:cs="Helvetica"/>
          <w:i/>
        </w:rPr>
      </w:pPr>
      <w:r w:rsidRPr="00E81BAE">
        <w:rPr>
          <w:rFonts w:cs="Helvetica"/>
        </w:rPr>
        <w:t xml:space="preserve">10) Q10:  </w:t>
      </w:r>
      <w:r w:rsidRPr="00E81BAE">
        <w:rPr>
          <w:rFonts w:cs="Helvetica"/>
          <w:i/>
        </w:rPr>
        <w:t>Is the impact different on single boat companies versus on companies with significant market shares?</w:t>
      </w:r>
    </w:p>
    <w:p w14:paraId="6D28C406" w14:textId="77777777" w:rsidR="00E81BAE" w:rsidRPr="00E81BAE" w:rsidRDefault="00E81BAE" w:rsidP="00E81BAE">
      <w:pPr>
        <w:widowControl w:val="0"/>
        <w:autoSpaceDE w:val="0"/>
        <w:autoSpaceDN w:val="0"/>
        <w:adjustRightInd w:val="0"/>
        <w:rPr>
          <w:rFonts w:cs="Helvetica"/>
        </w:rPr>
      </w:pPr>
    </w:p>
    <w:p w14:paraId="4FF50B65" w14:textId="77777777" w:rsidR="00E81BAE" w:rsidRPr="00E81BAE" w:rsidRDefault="00E81BAE" w:rsidP="00E81BAE">
      <w:pPr>
        <w:widowControl w:val="0"/>
        <w:autoSpaceDE w:val="0"/>
        <w:autoSpaceDN w:val="0"/>
        <w:adjustRightInd w:val="0"/>
        <w:rPr>
          <w:rFonts w:cs="Helvetica"/>
        </w:rPr>
      </w:pPr>
      <w:r w:rsidRPr="00E81BAE">
        <w:rPr>
          <w:rFonts w:cs="Helvetica"/>
        </w:rPr>
        <w:t xml:space="preserve">This is an excellent point.  </w:t>
      </w:r>
    </w:p>
    <w:p w14:paraId="06C30D38" w14:textId="77777777" w:rsidR="00E81BAE" w:rsidRPr="00E81BAE" w:rsidRDefault="00E81BAE" w:rsidP="00E81BAE">
      <w:pPr>
        <w:widowControl w:val="0"/>
        <w:autoSpaceDE w:val="0"/>
        <w:autoSpaceDN w:val="0"/>
        <w:adjustRightInd w:val="0"/>
        <w:rPr>
          <w:rFonts w:cs="Helvetica"/>
        </w:rPr>
      </w:pPr>
    </w:p>
    <w:p w14:paraId="03DEC390" w14:textId="77777777" w:rsidR="00E81BAE" w:rsidRPr="00E81BAE" w:rsidRDefault="00E81BAE" w:rsidP="00E81BAE">
      <w:pPr>
        <w:widowControl w:val="0"/>
        <w:autoSpaceDE w:val="0"/>
        <w:autoSpaceDN w:val="0"/>
        <w:adjustRightInd w:val="0"/>
        <w:rPr>
          <w:rFonts w:cs="Helvetica"/>
        </w:rPr>
      </w:pPr>
      <w:r w:rsidRPr="00E81BAE">
        <w:rPr>
          <w:rFonts w:cs="Helvetica"/>
        </w:rPr>
        <w:t xml:space="preserve">We find that the risk is different for small boats than for large ones.  Bycatch rates are more variable (less predictable) for small vessels that large ones (see figure A-4 of the SSC Report). This is a reflection of statistical sample size variation. </w:t>
      </w:r>
    </w:p>
    <w:p w14:paraId="140110DB" w14:textId="77777777" w:rsidR="00E81BAE" w:rsidRPr="00E81BAE" w:rsidRDefault="00E81BAE" w:rsidP="00E81BAE">
      <w:pPr>
        <w:widowControl w:val="0"/>
        <w:autoSpaceDE w:val="0"/>
        <w:autoSpaceDN w:val="0"/>
        <w:adjustRightInd w:val="0"/>
        <w:rPr>
          <w:rFonts w:cs="Helvetica"/>
        </w:rPr>
      </w:pPr>
    </w:p>
    <w:p w14:paraId="07F0551D" w14:textId="77777777" w:rsidR="00E81BAE" w:rsidRPr="00E81BAE" w:rsidRDefault="00E81BAE" w:rsidP="00E81BAE">
      <w:pPr>
        <w:widowControl w:val="0"/>
        <w:autoSpaceDE w:val="0"/>
        <w:autoSpaceDN w:val="0"/>
        <w:adjustRightInd w:val="0"/>
        <w:rPr>
          <w:rFonts w:cs="Helvetica"/>
        </w:rPr>
      </w:pPr>
      <w:r w:rsidRPr="00E81BAE">
        <w:rPr>
          <w:rFonts w:cs="Helvetica"/>
        </w:rPr>
        <w:t xml:space="preserve">For boats that fish for companies, the financial incentives operate at the company level. For all practical purposes a company is like a single large vessel. For example, with regard to ITEC because zero-cost transfers can occur within companies, a company is for all practical purposes a large vessel.  </w:t>
      </w:r>
    </w:p>
    <w:p w14:paraId="29FDEBD0" w14:textId="77777777" w:rsidR="00E81BAE" w:rsidRPr="00E81BAE" w:rsidRDefault="00E81BAE" w:rsidP="00E81BAE">
      <w:pPr>
        <w:widowControl w:val="0"/>
        <w:autoSpaceDE w:val="0"/>
        <w:autoSpaceDN w:val="0"/>
        <w:adjustRightInd w:val="0"/>
        <w:rPr>
          <w:rFonts w:cs="Helvetica"/>
        </w:rPr>
      </w:pPr>
    </w:p>
    <w:p w14:paraId="0D4C5FD6" w14:textId="77777777" w:rsidR="006A3A9B" w:rsidRPr="00E81BAE" w:rsidRDefault="00E81BAE" w:rsidP="00E81BAE">
      <w:pPr>
        <w:widowControl w:val="0"/>
        <w:autoSpaceDE w:val="0"/>
        <w:autoSpaceDN w:val="0"/>
        <w:adjustRightInd w:val="0"/>
        <w:rPr>
          <w:rFonts w:cs="Helvetica"/>
        </w:rPr>
      </w:pPr>
      <w:r w:rsidRPr="00E81BAE">
        <w:rPr>
          <w:rFonts w:cs="Helvetica"/>
        </w:rPr>
        <w:t xml:space="preserve">We address the size issue explicitly in how the allocations formula is computed (Appendix A of SSC Report).  The advantage of larger sized vessels is taken into account to rescale how allocations are made.  This simple statistical normalization helps to “level the playing field” and distributes the risks involved more fairly among all vessels. </w:t>
      </w:r>
    </w:p>
    <w:sectPr w:rsidR="006A3A9B" w:rsidRPr="00E81BAE" w:rsidSect="00F523A5">
      <w:headerReference w:type="even" r:id="rId33"/>
      <w:headerReference w:type="default" r:id="rId34"/>
      <w:footerReference w:type="even" r:id="rId35"/>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3D7E3C" w14:textId="77777777" w:rsidR="009E335D" w:rsidRDefault="009E335D">
      <w:r>
        <w:separator/>
      </w:r>
    </w:p>
  </w:endnote>
  <w:endnote w:type="continuationSeparator" w:id="0">
    <w:p w14:paraId="149C6D53" w14:textId="77777777" w:rsidR="009E335D" w:rsidRDefault="009E3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084FF" w14:textId="77777777" w:rsidR="009E335D" w:rsidRDefault="009E335D" w:rsidP="006A3A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9B176E" w14:textId="77777777" w:rsidR="009E335D" w:rsidRDefault="009E335D" w:rsidP="006A3A9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0CF911" w14:textId="77777777" w:rsidR="009E335D" w:rsidRDefault="009E335D">
      <w:r>
        <w:separator/>
      </w:r>
    </w:p>
  </w:footnote>
  <w:footnote w:type="continuationSeparator" w:id="0">
    <w:p w14:paraId="4771D2C1" w14:textId="77777777" w:rsidR="009E335D" w:rsidRDefault="009E335D">
      <w:r>
        <w:continuationSeparator/>
      </w:r>
    </w:p>
  </w:footnote>
  <w:footnote w:id="1">
    <w:p w14:paraId="7810379A" w14:textId="77777777" w:rsidR="009E335D" w:rsidRPr="0062509E" w:rsidRDefault="009E335D">
      <w:pPr>
        <w:pStyle w:val="FootnoteText"/>
        <w:rPr>
          <w:sz w:val="20"/>
        </w:rPr>
      </w:pPr>
      <w:r>
        <w:rPr>
          <w:rStyle w:val="FootnoteReference"/>
        </w:rPr>
        <w:footnoteRef/>
      </w:r>
      <w:r>
        <w:t xml:space="preserve"> </w:t>
      </w:r>
      <w:r>
        <w:rPr>
          <w:sz w:val="20"/>
        </w:rPr>
        <w:t>Note: for analyses based on the annual data, allocations with P are based on annual averaged bycatch rates.</w:t>
      </w:r>
    </w:p>
  </w:footnote>
  <w:footnote w:id="2">
    <w:p w14:paraId="213201E3" w14:textId="77777777" w:rsidR="009E335D" w:rsidRPr="005C7254" w:rsidRDefault="009E335D" w:rsidP="005C7254">
      <w:pPr>
        <w:rPr>
          <w:sz w:val="20"/>
        </w:rPr>
      </w:pPr>
      <w:r>
        <w:rPr>
          <w:rStyle w:val="FootnoteReference"/>
        </w:rPr>
        <w:footnoteRef/>
      </w:r>
      <w:r>
        <w:t xml:space="preserve"> </w:t>
      </w:r>
      <w:r w:rsidRPr="005C7254">
        <w:rPr>
          <w:sz w:val="20"/>
        </w:rPr>
        <w:t>Note that the proportional allocation factor (P) is multiplied by the original ITEC allocation for each individual vessel to determine the number of credits that a vessel receives.  In the first year of the program, ITEC allocations are pro rata to Pollock allocations and P = 1.  In subsequent years, P increases or decreases depending on bycatch performance, but will remain within the 2/3 and 4/3 bounds if the parameters are as described in Appendix A2.</w:t>
      </w:r>
    </w:p>
    <w:p w14:paraId="167F2D85" w14:textId="77777777" w:rsidR="009E335D" w:rsidRDefault="009E335D">
      <w:pPr>
        <w:pStyle w:val="FootnoteText"/>
      </w:pPr>
    </w:p>
  </w:footnote>
  <w:footnote w:id="3">
    <w:p w14:paraId="280208CE" w14:textId="77777777" w:rsidR="009E335D" w:rsidRPr="00455D9F" w:rsidRDefault="009E335D">
      <w:pPr>
        <w:pStyle w:val="FootnoteText"/>
        <w:rPr>
          <w:sz w:val="20"/>
        </w:rPr>
      </w:pPr>
      <w:r>
        <w:rPr>
          <w:rStyle w:val="FootnoteReference"/>
        </w:rPr>
        <w:footnoteRef/>
      </w:r>
      <w:r>
        <w:t xml:space="preserve"> </w:t>
      </w:r>
      <w:r>
        <w:rPr>
          <w:sz w:val="20"/>
        </w:rPr>
        <w:t>Note: that when α=γ the upper and lower bounds on P do not change with different weightings. The bounds [2/3, 4/3] are the lower and upper bounds recommended here, but these can be adjusted if it is determined by monitoring outcomes that wider/narrower bounds would be more effective.</w:t>
      </w:r>
    </w:p>
  </w:footnote>
  <w:footnote w:id="4">
    <w:p w14:paraId="7118973B" w14:textId="77777777" w:rsidR="009E335D" w:rsidRDefault="009E335D">
      <w:pPr>
        <w:pStyle w:val="FootnoteText"/>
      </w:pPr>
      <w:r>
        <w:rPr>
          <w:rStyle w:val="FootnoteReference"/>
        </w:rPr>
        <w:footnoteRef/>
      </w:r>
      <w:r>
        <w:t xml:space="preserve"> By sampling variation, we mean the variation in bycatch rates in a hypothetical experiment where two vessels are fishing in the same region at the same time in the same way.  These vessels would be expected to have the same bycatch rate.  However, a larger vessel is more likely to have a smaller variation in bycatch rate for multiple hauls than a smaller vessel.  We do NOT refer to observer coverage of boats: we expect any plan with a hardcap on Chinook bycatch will require 100% observer coverage for all vessels.</w:t>
      </w:r>
    </w:p>
  </w:footnote>
  <w:footnote w:id="5">
    <w:p w14:paraId="576EAED0" w14:textId="77777777" w:rsidR="009E335D" w:rsidRPr="00EB58A7" w:rsidRDefault="009E335D" w:rsidP="00E81BAE">
      <w:pPr>
        <w:widowControl w:val="0"/>
        <w:autoSpaceDE w:val="0"/>
        <w:autoSpaceDN w:val="0"/>
        <w:adjustRightInd w:val="0"/>
        <w:rPr>
          <w:rFonts w:ascii="Helvetica" w:hAnsi="Helvetica" w:cs="Helvetica"/>
          <w:i/>
          <w:sz w:val="22"/>
        </w:rPr>
      </w:pPr>
      <w:r w:rsidRPr="00EB58A7">
        <w:rPr>
          <w:rStyle w:val="FootnoteReference"/>
          <w:sz w:val="22"/>
        </w:rPr>
        <w:footnoteRef/>
      </w:r>
      <w:r w:rsidRPr="00EB58A7">
        <w:rPr>
          <w:sz w:val="22"/>
        </w:rPr>
        <w:t xml:space="preserve"> </w:t>
      </w:r>
      <w:r w:rsidRPr="00EB58A7">
        <w:rPr>
          <w:rFonts w:ascii="Helvetica" w:hAnsi="Helvetica" w:cs="Helvetica"/>
          <w:sz w:val="22"/>
        </w:rPr>
        <w:t xml:space="preserve">Note that the questions were addressed to John Gruver’s </w:t>
      </w:r>
      <w:r>
        <w:rPr>
          <w:rFonts w:ascii="Helvetica" w:hAnsi="Helvetica" w:cs="Helvetica"/>
          <w:sz w:val="22"/>
        </w:rPr>
        <w:t xml:space="preserve">Jan 20 2009 </w:t>
      </w:r>
      <w:r w:rsidRPr="00EB58A7">
        <w:rPr>
          <w:rFonts w:ascii="Helvetica" w:hAnsi="Helvetica" w:cs="Helvetica"/>
          <w:sz w:val="22"/>
        </w:rPr>
        <w:t>presentation of the Legacy Market-Incentive plan, which may differ in detail from the Recommended Industr</w:t>
      </w:r>
      <w:r>
        <w:rPr>
          <w:rFonts w:ascii="Helvetica" w:hAnsi="Helvetica" w:cs="Helvetica"/>
          <w:sz w:val="22"/>
        </w:rPr>
        <w:t>y Legacy Market-Incentive Plan</w:t>
      </w:r>
      <w:r w:rsidRPr="00EB58A7">
        <w:rPr>
          <w:rFonts w:ascii="Helvetica" w:hAnsi="Helvetica" w:cs="Helvetica"/>
          <w:sz w:val="22"/>
        </w:rPr>
        <w:t xml:space="preserve"> in the </w:t>
      </w:r>
      <w:r>
        <w:rPr>
          <w:rFonts w:ascii="Helvetica" w:hAnsi="Helvetica" w:cs="Helvetica"/>
          <w:sz w:val="22"/>
        </w:rPr>
        <w:t>SSC report.  Our responses here</w:t>
      </w:r>
      <w:r w:rsidRPr="00EB58A7">
        <w:rPr>
          <w:rFonts w:ascii="Helvetica" w:hAnsi="Helvetica" w:cs="Helvetica"/>
          <w:sz w:val="22"/>
        </w:rPr>
        <w:t xml:space="preserve"> refer to the latter.  </w:t>
      </w:r>
      <w:r w:rsidRPr="00EB58A7">
        <w:rPr>
          <w:rFonts w:ascii="Helvetica" w:hAnsi="Helvetica" w:cs="Helvetica"/>
          <w:sz w:val="22"/>
        </w:rPr>
        <w:tab/>
      </w:r>
      <w:r w:rsidRPr="00EB58A7">
        <w:rPr>
          <w:rFonts w:ascii="Helvetica" w:hAnsi="Helvetica" w:cs="Helvetica"/>
          <w:i/>
          <w:sz w:val="22"/>
        </w:rPr>
        <w:t>-GS</w:t>
      </w:r>
    </w:p>
    <w:p w14:paraId="4C354F7B" w14:textId="77777777" w:rsidR="009E335D" w:rsidRPr="00EB58A7" w:rsidRDefault="009E335D" w:rsidP="00E81BAE">
      <w:pPr>
        <w:pStyle w:val="FootnoteText"/>
        <w:rPr>
          <w:sz w:val="22"/>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F9B72" w14:textId="77777777" w:rsidR="009E335D" w:rsidRDefault="009E335D" w:rsidP="006A3A9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FB33FC" w14:textId="77777777" w:rsidR="009E335D" w:rsidRDefault="009E335D" w:rsidP="006A3A9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EBFE3" w14:textId="77777777" w:rsidR="009E335D" w:rsidRDefault="009E335D" w:rsidP="006A3A9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4803">
      <w:rPr>
        <w:rStyle w:val="PageNumber"/>
        <w:noProof/>
      </w:rPr>
      <w:t>1</w:t>
    </w:r>
    <w:r>
      <w:rPr>
        <w:rStyle w:val="PageNumber"/>
      </w:rPr>
      <w:fldChar w:fldCharType="end"/>
    </w:r>
  </w:p>
  <w:p w14:paraId="2F744F18" w14:textId="49EAD513" w:rsidR="009E335D" w:rsidRPr="00DA0185" w:rsidRDefault="009E335D" w:rsidP="006A3A9B">
    <w:pPr>
      <w:pStyle w:val="Header"/>
      <w:ind w:right="360"/>
      <w:rPr>
        <w: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7163F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3388348"/>
    <w:lvl w:ilvl="0">
      <w:start w:val="1"/>
      <w:numFmt w:val="decimal"/>
      <w:lvlText w:val="%1."/>
      <w:lvlJc w:val="left"/>
      <w:pPr>
        <w:tabs>
          <w:tab w:val="num" w:pos="1800"/>
        </w:tabs>
        <w:ind w:left="1800" w:hanging="360"/>
      </w:pPr>
    </w:lvl>
  </w:abstractNum>
  <w:abstractNum w:abstractNumId="2">
    <w:nsid w:val="FFFFFF7D"/>
    <w:multiLevelType w:val="singleLevel"/>
    <w:tmpl w:val="2710DA3A"/>
    <w:lvl w:ilvl="0">
      <w:start w:val="1"/>
      <w:numFmt w:val="decimal"/>
      <w:lvlText w:val="%1."/>
      <w:lvlJc w:val="left"/>
      <w:pPr>
        <w:tabs>
          <w:tab w:val="num" w:pos="1440"/>
        </w:tabs>
        <w:ind w:left="1440" w:hanging="360"/>
      </w:pPr>
    </w:lvl>
  </w:abstractNum>
  <w:abstractNum w:abstractNumId="3">
    <w:nsid w:val="FFFFFF7E"/>
    <w:multiLevelType w:val="singleLevel"/>
    <w:tmpl w:val="66CC240E"/>
    <w:lvl w:ilvl="0">
      <w:start w:val="1"/>
      <w:numFmt w:val="decimal"/>
      <w:lvlText w:val="%1."/>
      <w:lvlJc w:val="left"/>
      <w:pPr>
        <w:tabs>
          <w:tab w:val="num" w:pos="1080"/>
        </w:tabs>
        <w:ind w:left="1080" w:hanging="360"/>
      </w:pPr>
    </w:lvl>
  </w:abstractNum>
  <w:abstractNum w:abstractNumId="4">
    <w:nsid w:val="FFFFFF7F"/>
    <w:multiLevelType w:val="singleLevel"/>
    <w:tmpl w:val="DD3835E2"/>
    <w:lvl w:ilvl="0">
      <w:start w:val="1"/>
      <w:numFmt w:val="decimal"/>
      <w:lvlText w:val="%1."/>
      <w:lvlJc w:val="left"/>
      <w:pPr>
        <w:tabs>
          <w:tab w:val="num" w:pos="720"/>
        </w:tabs>
        <w:ind w:left="720" w:hanging="360"/>
      </w:pPr>
    </w:lvl>
  </w:abstractNum>
  <w:abstractNum w:abstractNumId="5">
    <w:nsid w:val="FFFFFF80"/>
    <w:multiLevelType w:val="singleLevel"/>
    <w:tmpl w:val="14DC78D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688521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D62153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902BCE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FB21292"/>
    <w:lvl w:ilvl="0">
      <w:start w:val="1"/>
      <w:numFmt w:val="decimal"/>
      <w:lvlText w:val="%1."/>
      <w:lvlJc w:val="left"/>
      <w:pPr>
        <w:tabs>
          <w:tab w:val="num" w:pos="360"/>
        </w:tabs>
        <w:ind w:left="360" w:hanging="360"/>
      </w:pPr>
    </w:lvl>
  </w:abstractNum>
  <w:abstractNum w:abstractNumId="10">
    <w:nsid w:val="FFFFFF89"/>
    <w:multiLevelType w:val="singleLevel"/>
    <w:tmpl w:val="D30E7FDA"/>
    <w:lvl w:ilvl="0">
      <w:start w:val="1"/>
      <w:numFmt w:val="bullet"/>
      <w:lvlText w:val=""/>
      <w:lvlJc w:val="left"/>
      <w:pPr>
        <w:tabs>
          <w:tab w:val="num" w:pos="360"/>
        </w:tabs>
        <w:ind w:left="360" w:hanging="360"/>
      </w:pPr>
      <w:rPr>
        <w:rFonts w:ascii="Symbol" w:hAnsi="Symbol" w:hint="default"/>
      </w:rPr>
    </w:lvl>
  </w:abstractNum>
  <w:abstractNum w:abstractNumId="11">
    <w:nsid w:val="0095031B"/>
    <w:multiLevelType w:val="hybridMultilevel"/>
    <w:tmpl w:val="0A5E006A"/>
    <w:lvl w:ilvl="0" w:tplc="00110409">
      <w:start w:val="1"/>
      <w:numFmt w:val="decimal"/>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00B41D4C"/>
    <w:multiLevelType w:val="hybridMultilevel"/>
    <w:tmpl w:val="A504390A"/>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01C87B67"/>
    <w:multiLevelType w:val="hybridMultilevel"/>
    <w:tmpl w:val="943EAAA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0CBF39F3"/>
    <w:multiLevelType w:val="hybridMultilevel"/>
    <w:tmpl w:val="ED4878F0"/>
    <w:lvl w:ilvl="0" w:tplc="3F2851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F3A61B6"/>
    <w:multiLevelType w:val="hybridMultilevel"/>
    <w:tmpl w:val="572A3BCA"/>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0F625DE3"/>
    <w:multiLevelType w:val="hybridMultilevel"/>
    <w:tmpl w:val="EA7E8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7747C2D"/>
    <w:multiLevelType w:val="hybridMultilevel"/>
    <w:tmpl w:val="41828E0A"/>
    <w:lvl w:ilvl="0" w:tplc="D54C5400">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8">
    <w:nsid w:val="1BFE1B17"/>
    <w:multiLevelType w:val="hybridMultilevel"/>
    <w:tmpl w:val="23BE9746"/>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nsid w:val="29B07838"/>
    <w:multiLevelType w:val="hybridMultilevel"/>
    <w:tmpl w:val="93940E7A"/>
    <w:lvl w:ilvl="0" w:tplc="CCF0ADD2">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0">
    <w:nsid w:val="2C336BEB"/>
    <w:multiLevelType w:val="hybridMultilevel"/>
    <w:tmpl w:val="5BA097F6"/>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nsid w:val="2D0D188A"/>
    <w:multiLevelType w:val="hybridMultilevel"/>
    <w:tmpl w:val="D0A00A10"/>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2F307BC2"/>
    <w:multiLevelType w:val="hybridMultilevel"/>
    <w:tmpl w:val="FC5283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3B2F69"/>
    <w:multiLevelType w:val="hybridMultilevel"/>
    <w:tmpl w:val="935814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E56A9E"/>
    <w:multiLevelType w:val="hybridMultilevel"/>
    <w:tmpl w:val="0A4200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ACF46D7"/>
    <w:multiLevelType w:val="hybridMultilevel"/>
    <w:tmpl w:val="3D10DFE0"/>
    <w:lvl w:ilvl="0" w:tplc="CA74AD0A">
      <w:start w:val="1"/>
      <w:numFmt w:val="low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nsid w:val="3D6508BB"/>
    <w:multiLevelType w:val="hybridMultilevel"/>
    <w:tmpl w:val="11707380"/>
    <w:lvl w:ilvl="0" w:tplc="286480D0">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7">
    <w:nsid w:val="3F2350B9"/>
    <w:multiLevelType w:val="hybridMultilevel"/>
    <w:tmpl w:val="A0A0C170"/>
    <w:lvl w:ilvl="0" w:tplc="E2988684">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8">
    <w:nsid w:val="45E53418"/>
    <w:multiLevelType w:val="hybridMultilevel"/>
    <w:tmpl w:val="7144C442"/>
    <w:lvl w:ilvl="0" w:tplc="E2988684">
      <w:start w:val="1"/>
      <w:numFmt w:val="lowerRoman"/>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9">
    <w:nsid w:val="49602DF7"/>
    <w:multiLevelType w:val="hybridMultilevel"/>
    <w:tmpl w:val="420A0EF4"/>
    <w:lvl w:ilvl="0" w:tplc="CD96FD66">
      <w:start w:val="1"/>
      <w:numFmt w:val="lowerRoman"/>
      <w:lvlText w:val="(%1)"/>
      <w:lvlJc w:val="left"/>
      <w:pPr>
        <w:tabs>
          <w:tab w:val="num" w:pos="1440"/>
        </w:tabs>
        <w:ind w:left="1440" w:hanging="720"/>
      </w:pPr>
      <w:rPr>
        <w:rFonts w:ascii="Times New Roman" w:eastAsia="Times New Roman" w:hAnsi="Times New Roman" w:cs="Times New Roman"/>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30">
    <w:nsid w:val="5A826D3B"/>
    <w:multiLevelType w:val="hybridMultilevel"/>
    <w:tmpl w:val="241822BA"/>
    <w:lvl w:ilvl="0" w:tplc="FED060EE">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31">
    <w:nsid w:val="5DE32561"/>
    <w:multiLevelType w:val="hybridMultilevel"/>
    <w:tmpl w:val="ADA66F80"/>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2">
    <w:nsid w:val="61C34BD4"/>
    <w:multiLevelType w:val="hybridMultilevel"/>
    <w:tmpl w:val="5CE40634"/>
    <w:lvl w:ilvl="0" w:tplc="127C57F6">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33">
    <w:nsid w:val="678646A5"/>
    <w:multiLevelType w:val="hybridMultilevel"/>
    <w:tmpl w:val="0F1CF87E"/>
    <w:lvl w:ilvl="0" w:tplc="0FD037E8">
      <w:start w:val="2"/>
      <w:numFmt w:val="decimal"/>
      <w:lvlText w:val="(%1)"/>
      <w:lvlJc w:val="left"/>
      <w:pPr>
        <w:tabs>
          <w:tab w:val="num" w:pos="720"/>
        </w:tabs>
        <w:ind w:left="720" w:hanging="360"/>
      </w:pPr>
      <w:rPr>
        <w:rFonts w:hint="default"/>
        <w:u w:val="single"/>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4">
    <w:nsid w:val="6C856F8A"/>
    <w:multiLevelType w:val="hybridMultilevel"/>
    <w:tmpl w:val="3D10DFE0"/>
    <w:lvl w:ilvl="0" w:tplc="CA74AD0A">
      <w:start w:val="1"/>
      <w:numFmt w:val="low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5">
    <w:nsid w:val="6E6A1988"/>
    <w:multiLevelType w:val="hybridMultilevel"/>
    <w:tmpl w:val="EF7C06DA"/>
    <w:lvl w:ilvl="0" w:tplc="DC46269E">
      <w:start w:val="2"/>
      <w:numFmt w:val="decimal"/>
      <w:lvlText w:val="%1 "/>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6">
    <w:nsid w:val="71DD7133"/>
    <w:multiLevelType w:val="hybridMultilevel"/>
    <w:tmpl w:val="572A3BCA"/>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7">
    <w:nsid w:val="73000EE9"/>
    <w:multiLevelType w:val="hybridMultilevel"/>
    <w:tmpl w:val="67FCBFEA"/>
    <w:lvl w:ilvl="0" w:tplc="CA74AD0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5C493D"/>
    <w:multiLevelType w:val="hybridMultilevel"/>
    <w:tmpl w:val="63FC4E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EB180A"/>
    <w:multiLevelType w:val="hybridMultilevel"/>
    <w:tmpl w:val="F27ADC36"/>
    <w:lvl w:ilvl="0" w:tplc="DE76801A">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40">
    <w:nsid w:val="7F94298B"/>
    <w:multiLevelType w:val="hybridMultilevel"/>
    <w:tmpl w:val="EE0270A2"/>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40"/>
  </w:num>
  <w:num w:numId="2">
    <w:abstractNumId w:val="27"/>
  </w:num>
  <w:num w:numId="3">
    <w:abstractNumId w:val="19"/>
  </w:num>
  <w:num w:numId="4">
    <w:abstractNumId w:val="33"/>
  </w:num>
  <w:num w:numId="5">
    <w:abstractNumId w:val="13"/>
  </w:num>
  <w:num w:numId="6">
    <w:abstractNumId w:val="21"/>
  </w:num>
  <w:num w:numId="7">
    <w:abstractNumId w:val="20"/>
  </w:num>
  <w:num w:numId="8">
    <w:abstractNumId w:val="18"/>
  </w:num>
  <w:num w:numId="9">
    <w:abstractNumId w:val="35"/>
  </w:num>
  <w:num w:numId="10">
    <w:abstractNumId w:val="29"/>
  </w:num>
  <w:num w:numId="11">
    <w:abstractNumId w:val="31"/>
  </w:num>
  <w:num w:numId="12">
    <w:abstractNumId w:val="12"/>
  </w:num>
  <w:num w:numId="13">
    <w:abstractNumId w:val="39"/>
  </w:num>
  <w:num w:numId="14">
    <w:abstractNumId w:val="32"/>
  </w:num>
  <w:num w:numId="15">
    <w:abstractNumId w:val="26"/>
  </w:num>
  <w:num w:numId="16">
    <w:abstractNumId w:val="25"/>
  </w:num>
  <w:num w:numId="17">
    <w:abstractNumId w:val="15"/>
  </w:num>
  <w:num w:numId="18">
    <w:abstractNumId w:val="22"/>
  </w:num>
  <w:num w:numId="19">
    <w:abstractNumId w:val="30"/>
  </w:num>
  <w:num w:numId="20">
    <w:abstractNumId w:val="11"/>
  </w:num>
  <w:num w:numId="21">
    <w:abstractNumId w:val="17"/>
  </w:num>
  <w:num w:numId="22">
    <w:abstractNumId w:val="28"/>
  </w:num>
  <w:num w:numId="23">
    <w:abstractNumId w:val="38"/>
  </w:num>
  <w:num w:numId="24">
    <w:abstractNumId w:val="14"/>
  </w:num>
  <w:num w:numId="25">
    <w:abstractNumId w:val="23"/>
  </w:num>
  <w:num w:numId="26">
    <w:abstractNumId w:val="37"/>
  </w:num>
  <w:num w:numId="27">
    <w:abstractNumId w:val="36"/>
  </w:num>
  <w:num w:numId="28">
    <w:abstractNumId w:val="34"/>
  </w:num>
  <w:num w:numId="29">
    <w:abstractNumId w:val="16"/>
  </w:num>
  <w:num w:numId="30">
    <w:abstractNumId w:val="24"/>
  </w:num>
  <w:num w:numId="31">
    <w:abstractNumId w:val="10"/>
  </w:num>
  <w:num w:numId="32">
    <w:abstractNumId w:val="8"/>
  </w:num>
  <w:num w:numId="33">
    <w:abstractNumId w:val="7"/>
  </w:num>
  <w:num w:numId="34">
    <w:abstractNumId w:val="6"/>
  </w:num>
  <w:num w:numId="35">
    <w:abstractNumId w:val="5"/>
  </w:num>
  <w:num w:numId="36">
    <w:abstractNumId w:val="9"/>
  </w:num>
  <w:num w:numId="37">
    <w:abstractNumId w:val="4"/>
  </w:num>
  <w:num w:numId="38">
    <w:abstractNumId w:val="3"/>
  </w:num>
  <w:num w:numId="39">
    <w:abstractNumId w:val="2"/>
  </w:num>
  <w:num w:numId="40">
    <w:abstractNumId w:val="1"/>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64" w:dllVersion="131078" w:nlCheck="1" w:checkStyle="1"/>
  <w:activeWritingStyle w:appName="MSWord" w:lang="en-GB" w:vendorID="64" w:dllVersion="131078" w:nlCheck="1" w:checkStyle="1"/>
  <w:doNotTrackMoves/>
  <w:defaultTabStop w:val="720"/>
  <w:drawingGridHorizontalSpacing w:val="120"/>
  <w:displayHorizontalDrawingGridEvery w:val="0"/>
  <w:displayVerticalDrawingGridEvery w:val="0"/>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395B15"/>
    <w:rsid w:val="0000037B"/>
    <w:rsid w:val="000022E2"/>
    <w:rsid w:val="000043D6"/>
    <w:rsid w:val="00007CCB"/>
    <w:rsid w:val="000131F9"/>
    <w:rsid w:val="000134E0"/>
    <w:rsid w:val="00015F01"/>
    <w:rsid w:val="00016CF0"/>
    <w:rsid w:val="0002637D"/>
    <w:rsid w:val="000266B4"/>
    <w:rsid w:val="00031D73"/>
    <w:rsid w:val="000340E9"/>
    <w:rsid w:val="00034EDF"/>
    <w:rsid w:val="00036F45"/>
    <w:rsid w:val="0003759E"/>
    <w:rsid w:val="00040824"/>
    <w:rsid w:val="00045072"/>
    <w:rsid w:val="00045D84"/>
    <w:rsid w:val="000501E7"/>
    <w:rsid w:val="00050C1F"/>
    <w:rsid w:val="00050F50"/>
    <w:rsid w:val="0005214D"/>
    <w:rsid w:val="00053D8A"/>
    <w:rsid w:val="00054D2A"/>
    <w:rsid w:val="000560FE"/>
    <w:rsid w:val="00056C90"/>
    <w:rsid w:val="0006048C"/>
    <w:rsid w:val="00061926"/>
    <w:rsid w:val="00063821"/>
    <w:rsid w:val="00065897"/>
    <w:rsid w:val="00066265"/>
    <w:rsid w:val="000703D1"/>
    <w:rsid w:val="0007708D"/>
    <w:rsid w:val="000778CB"/>
    <w:rsid w:val="000821A3"/>
    <w:rsid w:val="00082C33"/>
    <w:rsid w:val="00083254"/>
    <w:rsid w:val="00083F62"/>
    <w:rsid w:val="00087CB3"/>
    <w:rsid w:val="000915B1"/>
    <w:rsid w:val="00091BF4"/>
    <w:rsid w:val="00092630"/>
    <w:rsid w:val="000944D6"/>
    <w:rsid w:val="000A0C0E"/>
    <w:rsid w:val="000A1A29"/>
    <w:rsid w:val="000A3279"/>
    <w:rsid w:val="000A444E"/>
    <w:rsid w:val="000A4F58"/>
    <w:rsid w:val="000B0F62"/>
    <w:rsid w:val="000B1A46"/>
    <w:rsid w:val="000B1D7B"/>
    <w:rsid w:val="000B2B10"/>
    <w:rsid w:val="000B50C9"/>
    <w:rsid w:val="000C0ACE"/>
    <w:rsid w:val="000C5515"/>
    <w:rsid w:val="000D08BB"/>
    <w:rsid w:val="000D1FC8"/>
    <w:rsid w:val="000E1298"/>
    <w:rsid w:val="000E16F8"/>
    <w:rsid w:val="000E2673"/>
    <w:rsid w:val="000E3BE0"/>
    <w:rsid w:val="000F217A"/>
    <w:rsid w:val="000F4DA4"/>
    <w:rsid w:val="000F643B"/>
    <w:rsid w:val="0010054D"/>
    <w:rsid w:val="00102FF3"/>
    <w:rsid w:val="00104405"/>
    <w:rsid w:val="00106929"/>
    <w:rsid w:val="00107B0A"/>
    <w:rsid w:val="00111B57"/>
    <w:rsid w:val="00111C10"/>
    <w:rsid w:val="00113387"/>
    <w:rsid w:val="00113B88"/>
    <w:rsid w:val="001210F9"/>
    <w:rsid w:val="0012445F"/>
    <w:rsid w:val="00124968"/>
    <w:rsid w:val="00124AE3"/>
    <w:rsid w:val="001255B6"/>
    <w:rsid w:val="00125A1B"/>
    <w:rsid w:val="00130351"/>
    <w:rsid w:val="00130D5E"/>
    <w:rsid w:val="00132D2F"/>
    <w:rsid w:val="00133634"/>
    <w:rsid w:val="0013469B"/>
    <w:rsid w:val="001360AD"/>
    <w:rsid w:val="00137922"/>
    <w:rsid w:val="00142495"/>
    <w:rsid w:val="00142B0C"/>
    <w:rsid w:val="00143620"/>
    <w:rsid w:val="00145961"/>
    <w:rsid w:val="00147D61"/>
    <w:rsid w:val="00162171"/>
    <w:rsid w:val="00167642"/>
    <w:rsid w:val="00177A5D"/>
    <w:rsid w:val="00177C9E"/>
    <w:rsid w:val="00181BDC"/>
    <w:rsid w:val="00183EA3"/>
    <w:rsid w:val="001844C6"/>
    <w:rsid w:val="00184DF4"/>
    <w:rsid w:val="001939B9"/>
    <w:rsid w:val="001954B1"/>
    <w:rsid w:val="001A11D8"/>
    <w:rsid w:val="001A4321"/>
    <w:rsid w:val="001A48E4"/>
    <w:rsid w:val="001A59F0"/>
    <w:rsid w:val="001B0374"/>
    <w:rsid w:val="001B3AA6"/>
    <w:rsid w:val="001B4E14"/>
    <w:rsid w:val="001B6B7C"/>
    <w:rsid w:val="001B6C51"/>
    <w:rsid w:val="001B71B4"/>
    <w:rsid w:val="001B779E"/>
    <w:rsid w:val="001C1202"/>
    <w:rsid w:val="001C6A4B"/>
    <w:rsid w:val="001C7CB4"/>
    <w:rsid w:val="001D0B5E"/>
    <w:rsid w:val="001D133C"/>
    <w:rsid w:val="001D1361"/>
    <w:rsid w:val="001D4DCC"/>
    <w:rsid w:val="001D4DE9"/>
    <w:rsid w:val="001E4CCE"/>
    <w:rsid w:val="001E63F3"/>
    <w:rsid w:val="001F1939"/>
    <w:rsid w:val="001F2EC3"/>
    <w:rsid w:val="001F54AC"/>
    <w:rsid w:val="001F5BD6"/>
    <w:rsid w:val="0020009E"/>
    <w:rsid w:val="002007AB"/>
    <w:rsid w:val="00201E40"/>
    <w:rsid w:val="00203A40"/>
    <w:rsid w:val="00203EE1"/>
    <w:rsid w:val="002042F9"/>
    <w:rsid w:val="00204CDD"/>
    <w:rsid w:val="002122AB"/>
    <w:rsid w:val="002123ED"/>
    <w:rsid w:val="002130E7"/>
    <w:rsid w:val="002145D9"/>
    <w:rsid w:val="00216DA1"/>
    <w:rsid w:val="00217AC6"/>
    <w:rsid w:val="002228CB"/>
    <w:rsid w:val="00230A31"/>
    <w:rsid w:val="00236B24"/>
    <w:rsid w:val="00241276"/>
    <w:rsid w:val="00244FE8"/>
    <w:rsid w:val="00245074"/>
    <w:rsid w:val="00250406"/>
    <w:rsid w:val="002533A8"/>
    <w:rsid w:val="00257709"/>
    <w:rsid w:val="00261264"/>
    <w:rsid w:val="002633C2"/>
    <w:rsid w:val="0026536C"/>
    <w:rsid w:val="00266D12"/>
    <w:rsid w:val="002716D1"/>
    <w:rsid w:val="00277D1E"/>
    <w:rsid w:val="00281777"/>
    <w:rsid w:val="00281C50"/>
    <w:rsid w:val="00282DCB"/>
    <w:rsid w:val="00285740"/>
    <w:rsid w:val="002865A8"/>
    <w:rsid w:val="00286807"/>
    <w:rsid w:val="00293F02"/>
    <w:rsid w:val="002A0981"/>
    <w:rsid w:val="002A2BF6"/>
    <w:rsid w:val="002A33C7"/>
    <w:rsid w:val="002A3B8B"/>
    <w:rsid w:val="002A44BB"/>
    <w:rsid w:val="002A55FD"/>
    <w:rsid w:val="002A648E"/>
    <w:rsid w:val="002B171E"/>
    <w:rsid w:val="002B5858"/>
    <w:rsid w:val="002B7A56"/>
    <w:rsid w:val="002C494B"/>
    <w:rsid w:val="002C4E9C"/>
    <w:rsid w:val="002C5B42"/>
    <w:rsid w:val="002D333A"/>
    <w:rsid w:val="002D495D"/>
    <w:rsid w:val="002D7F8E"/>
    <w:rsid w:val="002E105A"/>
    <w:rsid w:val="002E31F9"/>
    <w:rsid w:val="002E3BED"/>
    <w:rsid w:val="002E3FE2"/>
    <w:rsid w:val="002E4E51"/>
    <w:rsid w:val="002E508B"/>
    <w:rsid w:val="002E6A67"/>
    <w:rsid w:val="002F2B59"/>
    <w:rsid w:val="002F5862"/>
    <w:rsid w:val="002F6593"/>
    <w:rsid w:val="002F6831"/>
    <w:rsid w:val="00301F47"/>
    <w:rsid w:val="00302A18"/>
    <w:rsid w:val="00304B1B"/>
    <w:rsid w:val="00304BC5"/>
    <w:rsid w:val="00312514"/>
    <w:rsid w:val="003128F9"/>
    <w:rsid w:val="00316CE5"/>
    <w:rsid w:val="00321973"/>
    <w:rsid w:val="003233DB"/>
    <w:rsid w:val="00325BBE"/>
    <w:rsid w:val="00326DF1"/>
    <w:rsid w:val="00327D39"/>
    <w:rsid w:val="00330865"/>
    <w:rsid w:val="00330B9B"/>
    <w:rsid w:val="00335029"/>
    <w:rsid w:val="00335B88"/>
    <w:rsid w:val="00335E7B"/>
    <w:rsid w:val="00335F80"/>
    <w:rsid w:val="00336B50"/>
    <w:rsid w:val="00337AF2"/>
    <w:rsid w:val="0034085B"/>
    <w:rsid w:val="00342182"/>
    <w:rsid w:val="00343487"/>
    <w:rsid w:val="003435D1"/>
    <w:rsid w:val="00343F20"/>
    <w:rsid w:val="003453F9"/>
    <w:rsid w:val="00346BC6"/>
    <w:rsid w:val="00346E65"/>
    <w:rsid w:val="00350EDC"/>
    <w:rsid w:val="00352115"/>
    <w:rsid w:val="0035797A"/>
    <w:rsid w:val="003643A7"/>
    <w:rsid w:val="00365148"/>
    <w:rsid w:val="003676FF"/>
    <w:rsid w:val="00367C8B"/>
    <w:rsid w:val="00372FB3"/>
    <w:rsid w:val="00374CE8"/>
    <w:rsid w:val="00376874"/>
    <w:rsid w:val="00376B19"/>
    <w:rsid w:val="003778E9"/>
    <w:rsid w:val="00381AFF"/>
    <w:rsid w:val="003843A8"/>
    <w:rsid w:val="00385DFD"/>
    <w:rsid w:val="0038789C"/>
    <w:rsid w:val="0039003C"/>
    <w:rsid w:val="003904C4"/>
    <w:rsid w:val="00392BD2"/>
    <w:rsid w:val="00395B15"/>
    <w:rsid w:val="003A1D22"/>
    <w:rsid w:val="003A1DA5"/>
    <w:rsid w:val="003A30B0"/>
    <w:rsid w:val="003A3470"/>
    <w:rsid w:val="003A5694"/>
    <w:rsid w:val="003A69AA"/>
    <w:rsid w:val="003A7753"/>
    <w:rsid w:val="003A7E43"/>
    <w:rsid w:val="003A7EE0"/>
    <w:rsid w:val="003B467E"/>
    <w:rsid w:val="003B68B1"/>
    <w:rsid w:val="003B6977"/>
    <w:rsid w:val="003C5999"/>
    <w:rsid w:val="003C6FA7"/>
    <w:rsid w:val="003D2003"/>
    <w:rsid w:val="003D735B"/>
    <w:rsid w:val="003D7C2D"/>
    <w:rsid w:val="003E065A"/>
    <w:rsid w:val="003E17F5"/>
    <w:rsid w:val="003E1F15"/>
    <w:rsid w:val="003E48BF"/>
    <w:rsid w:val="003E4A7A"/>
    <w:rsid w:val="003E5B33"/>
    <w:rsid w:val="003E6667"/>
    <w:rsid w:val="003F0519"/>
    <w:rsid w:val="003F2DD3"/>
    <w:rsid w:val="00401343"/>
    <w:rsid w:val="00401C8E"/>
    <w:rsid w:val="004029FD"/>
    <w:rsid w:val="00412753"/>
    <w:rsid w:val="004130B4"/>
    <w:rsid w:val="004130CE"/>
    <w:rsid w:val="0041766A"/>
    <w:rsid w:val="00417BD4"/>
    <w:rsid w:val="00420CD4"/>
    <w:rsid w:val="00424A8F"/>
    <w:rsid w:val="0042595C"/>
    <w:rsid w:val="00427184"/>
    <w:rsid w:val="004311C6"/>
    <w:rsid w:val="004326E0"/>
    <w:rsid w:val="00434003"/>
    <w:rsid w:val="00442384"/>
    <w:rsid w:val="00443097"/>
    <w:rsid w:val="0044396F"/>
    <w:rsid w:val="00443977"/>
    <w:rsid w:val="004460DE"/>
    <w:rsid w:val="0045097A"/>
    <w:rsid w:val="00452978"/>
    <w:rsid w:val="004558BF"/>
    <w:rsid w:val="00456E67"/>
    <w:rsid w:val="00460396"/>
    <w:rsid w:val="00461806"/>
    <w:rsid w:val="004622AC"/>
    <w:rsid w:val="00462FFA"/>
    <w:rsid w:val="00466DE5"/>
    <w:rsid w:val="00474053"/>
    <w:rsid w:val="00477C89"/>
    <w:rsid w:val="00481729"/>
    <w:rsid w:val="004820E5"/>
    <w:rsid w:val="004827DA"/>
    <w:rsid w:val="00482FB5"/>
    <w:rsid w:val="004856D8"/>
    <w:rsid w:val="00485952"/>
    <w:rsid w:val="0049211A"/>
    <w:rsid w:val="00493074"/>
    <w:rsid w:val="00497C33"/>
    <w:rsid w:val="004A5C11"/>
    <w:rsid w:val="004A6104"/>
    <w:rsid w:val="004A75DC"/>
    <w:rsid w:val="004A7770"/>
    <w:rsid w:val="004B427D"/>
    <w:rsid w:val="004B75A9"/>
    <w:rsid w:val="004C13DA"/>
    <w:rsid w:val="004C2FFA"/>
    <w:rsid w:val="004C3DA0"/>
    <w:rsid w:val="004C4540"/>
    <w:rsid w:val="004C4DEB"/>
    <w:rsid w:val="004C658A"/>
    <w:rsid w:val="004D30A9"/>
    <w:rsid w:val="004D58DD"/>
    <w:rsid w:val="004D68A7"/>
    <w:rsid w:val="004D730D"/>
    <w:rsid w:val="004E2AD9"/>
    <w:rsid w:val="004E413E"/>
    <w:rsid w:val="004E439B"/>
    <w:rsid w:val="004E50BC"/>
    <w:rsid w:val="004E7BA1"/>
    <w:rsid w:val="004F11C9"/>
    <w:rsid w:val="004F4803"/>
    <w:rsid w:val="005000AF"/>
    <w:rsid w:val="005013C5"/>
    <w:rsid w:val="005047B6"/>
    <w:rsid w:val="00510FA9"/>
    <w:rsid w:val="00514716"/>
    <w:rsid w:val="00515633"/>
    <w:rsid w:val="005176C5"/>
    <w:rsid w:val="005234BD"/>
    <w:rsid w:val="00524B76"/>
    <w:rsid w:val="0052574E"/>
    <w:rsid w:val="005268EA"/>
    <w:rsid w:val="00531640"/>
    <w:rsid w:val="00535FE6"/>
    <w:rsid w:val="00537013"/>
    <w:rsid w:val="00537196"/>
    <w:rsid w:val="00537C67"/>
    <w:rsid w:val="00537CD4"/>
    <w:rsid w:val="00537F33"/>
    <w:rsid w:val="00541516"/>
    <w:rsid w:val="0054371A"/>
    <w:rsid w:val="00543A13"/>
    <w:rsid w:val="00555302"/>
    <w:rsid w:val="00562CC9"/>
    <w:rsid w:val="00566EAB"/>
    <w:rsid w:val="0057106C"/>
    <w:rsid w:val="005714C3"/>
    <w:rsid w:val="00574F50"/>
    <w:rsid w:val="00580242"/>
    <w:rsid w:val="0058196D"/>
    <w:rsid w:val="00581D53"/>
    <w:rsid w:val="00582D3F"/>
    <w:rsid w:val="0058304B"/>
    <w:rsid w:val="00583824"/>
    <w:rsid w:val="005872F2"/>
    <w:rsid w:val="00587F8A"/>
    <w:rsid w:val="0059000A"/>
    <w:rsid w:val="005920B3"/>
    <w:rsid w:val="00593ED3"/>
    <w:rsid w:val="0059522A"/>
    <w:rsid w:val="005954F9"/>
    <w:rsid w:val="005A0D06"/>
    <w:rsid w:val="005A72B2"/>
    <w:rsid w:val="005A7B22"/>
    <w:rsid w:val="005B1F12"/>
    <w:rsid w:val="005B4B86"/>
    <w:rsid w:val="005B6045"/>
    <w:rsid w:val="005C0326"/>
    <w:rsid w:val="005C0D0B"/>
    <w:rsid w:val="005C107D"/>
    <w:rsid w:val="005C416C"/>
    <w:rsid w:val="005C4AFD"/>
    <w:rsid w:val="005C7254"/>
    <w:rsid w:val="005D03BA"/>
    <w:rsid w:val="005D2A0B"/>
    <w:rsid w:val="005D2DBA"/>
    <w:rsid w:val="005D3869"/>
    <w:rsid w:val="005D48CB"/>
    <w:rsid w:val="005D4E2C"/>
    <w:rsid w:val="005E0325"/>
    <w:rsid w:val="005E0648"/>
    <w:rsid w:val="005E0DD5"/>
    <w:rsid w:val="005E447F"/>
    <w:rsid w:val="005F1AB0"/>
    <w:rsid w:val="005F4145"/>
    <w:rsid w:val="005F5067"/>
    <w:rsid w:val="005F5C7F"/>
    <w:rsid w:val="00603467"/>
    <w:rsid w:val="0060428F"/>
    <w:rsid w:val="00606124"/>
    <w:rsid w:val="00606382"/>
    <w:rsid w:val="0061254B"/>
    <w:rsid w:val="00613020"/>
    <w:rsid w:val="006154B7"/>
    <w:rsid w:val="006161BB"/>
    <w:rsid w:val="006178EB"/>
    <w:rsid w:val="00620CF1"/>
    <w:rsid w:val="00623998"/>
    <w:rsid w:val="006274FB"/>
    <w:rsid w:val="00630AC7"/>
    <w:rsid w:val="006335F2"/>
    <w:rsid w:val="0063556E"/>
    <w:rsid w:val="00636948"/>
    <w:rsid w:val="006412F8"/>
    <w:rsid w:val="00643BC8"/>
    <w:rsid w:val="00644193"/>
    <w:rsid w:val="00646223"/>
    <w:rsid w:val="00647124"/>
    <w:rsid w:val="00647A6F"/>
    <w:rsid w:val="00647DEA"/>
    <w:rsid w:val="00650301"/>
    <w:rsid w:val="00652891"/>
    <w:rsid w:val="00653455"/>
    <w:rsid w:val="0065374C"/>
    <w:rsid w:val="00657D47"/>
    <w:rsid w:val="00661F3F"/>
    <w:rsid w:val="00662C50"/>
    <w:rsid w:val="00664266"/>
    <w:rsid w:val="006647C8"/>
    <w:rsid w:val="00665CCE"/>
    <w:rsid w:val="006662F2"/>
    <w:rsid w:val="00671026"/>
    <w:rsid w:val="00671469"/>
    <w:rsid w:val="0067208A"/>
    <w:rsid w:val="00673A63"/>
    <w:rsid w:val="00673B87"/>
    <w:rsid w:val="00675B95"/>
    <w:rsid w:val="00682AF4"/>
    <w:rsid w:val="00685C4E"/>
    <w:rsid w:val="006866A0"/>
    <w:rsid w:val="006866FD"/>
    <w:rsid w:val="00691948"/>
    <w:rsid w:val="00691C27"/>
    <w:rsid w:val="00695749"/>
    <w:rsid w:val="0069763A"/>
    <w:rsid w:val="00697673"/>
    <w:rsid w:val="00697722"/>
    <w:rsid w:val="00697D2E"/>
    <w:rsid w:val="006A0E3E"/>
    <w:rsid w:val="006A156A"/>
    <w:rsid w:val="006A2516"/>
    <w:rsid w:val="006A37CD"/>
    <w:rsid w:val="006A3A9B"/>
    <w:rsid w:val="006A607B"/>
    <w:rsid w:val="006A6B52"/>
    <w:rsid w:val="006B0001"/>
    <w:rsid w:val="006B248D"/>
    <w:rsid w:val="006C05DF"/>
    <w:rsid w:val="006C0C5A"/>
    <w:rsid w:val="006C3EAC"/>
    <w:rsid w:val="006C778E"/>
    <w:rsid w:val="006D32CA"/>
    <w:rsid w:val="006D36D1"/>
    <w:rsid w:val="006D427C"/>
    <w:rsid w:val="006D5E5C"/>
    <w:rsid w:val="006D753C"/>
    <w:rsid w:val="006D7C59"/>
    <w:rsid w:val="006E0E08"/>
    <w:rsid w:val="006E2DFB"/>
    <w:rsid w:val="006E3946"/>
    <w:rsid w:val="006E4200"/>
    <w:rsid w:val="006E48DD"/>
    <w:rsid w:val="006E5E7E"/>
    <w:rsid w:val="006F31BA"/>
    <w:rsid w:val="006F37CC"/>
    <w:rsid w:val="006F3FF7"/>
    <w:rsid w:val="006F6426"/>
    <w:rsid w:val="006F6952"/>
    <w:rsid w:val="0070048E"/>
    <w:rsid w:val="00703203"/>
    <w:rsid w:val="0070439C"/>
    <w:rsid w:val="00704F6C"/>
    <w:rsid w:val="00706ED5"/>
    <w:rsid w:val="00707F47"/>
    <w:rsid w:val="00711C0B"/>
    <w:rsid w:val="0071302D"/>
    <w:rsid w:val="00714E70"/>
    <w:rsid w:val="00715C31"/>
    <w:rsid w:val="007162C1"/>
    <w:rsid w:val="00720591"/>
    <w:rsid w:val="00721604"/>
    <w:rsid w:val="00725902"/>
    <w:rsid w:val="00726300"/>
    <w:rsid w:val="00726440"/>
    <w:rsid w:val="00726DBF"/>
    <w:rsid w:val="00731E97"/>
    <w:rsid w:val="007331B1"/>
    <w:rsid w:val="007344B8"/>
    <w:rsid w:val="0073488B"/>
    <w:rsid w:val="007367A9"/>
    <w:rsid w:val="00740401"/>
    <w:rsid w:val="00745D38"/>
    <w:rsid w:val="00747A65"/>
    <w:rsid w:val="00751331"/>
    <w:rsid w:val="00752230"/>
    <w:rsid w:val="00757423"/>
    <w:rsid w:val="0076191B"/>
    <w:rsid w:val="00761B8B"/>
    <w:rsid w:val="00764C02"/>
    <w:rsid w:val="00765CF8"/>
    <w:rsid w:val="00766B18"/>
    <w:rsid w:val="007704FE"/>
    <w:rsid w:val="0077367A"/>
    <w:rsid w:val="00773817"/>
    <w:rsid w:val="00775301"/>
    <w:rsid w:val="00776F69"/>
    <w:rsid w:val="007826DE"/>
    <w:rsid w:val="00782770"/>
    <w:rsid w:val="00784AB8"/>
    <w:rsid w:val="00785993"/>
    <w:rsid w:val="00790D36"/>
    <w:rsid w:val="007910C0"/>
    <w:rsid w:val="0079503D"/>
    <w:rsid w:val="007A2160"/>
    <w:rsid w:val="007A2378"/>
    <w:rsid w:val="007A3A5D"/>
    <w:rsid w:val="007A6D6B"/>
    <w:rsid w:val="007B0FC6"/>
    <w:rsid w:val="007B1F22"/>
    <w:rsid w:val="007B5BC2"/>
    <w:rsid w:val="007B6781"/>
    <w:rsid w:val="007B7503"/>
    <w:rsid w:val="007B7714"/>
    <w:rsid w:val="007C2283"/>
    <w:rsid w:val="007C2E1D"/>
    <w:rsid w:val="007C2FDB"/>
    <w:rsid w:val="007C3A1E"/>
    <w:rsid w:val="007C3A4A"/>
    <w:rsid w:val="007C4FB2"/>
    <w:rsid w:val="007C5685"/>
    <w:rsid w:val="007C62DD"/>
    <w:rsid w:val="007D13FE"/>
    <w:rsid w:val="007D40F9"/>
    <w:rsid w:val="007D5E02"/>
    <w:rsid w:val="007D7421"/>
    <w:rsid w:val="007E12B2"/>
    <w:rsid w:val="007E1D9D"/>
    <w:rsid w:val="007E2415"/>
    <w:rsid w:val="007E47D2"/>
    <w:rsid w:val="007E56DF"/>
    <w:rsid w:val="007E64AF"/>
    <w:rsid w:val="007F0365"/>
    <w:rsid w:val="007F7CE7"/>
    <w:rsid w:val="00800ABB"/>
    <w:rsid w:val="00800D45"/>
    <w:rsid w:val="00801296"/>
    <w:rsid w:val="00804FF3"/>
    <w:rsid w:val="00805182"/>
    <w:rsid w:val="00805204"/>
    <w:rsid w:val="008054F3"/>
    <w:rsid w:val="00806A0A"/>
    <w:rsid w:val="00810DB3"/>
    <w:rsid w:val="00813057"/>
    <w:rsid w:val="008149E5"/>
    <w:rsid w:val="0081509D"/>
    <w:rsid w:val="008203E8"/>
    <w:rsid w:val="00820A85"/>
    <w:rsid w:val="00820EE4"/>
    <w:rsid w:val="0082607B"/>
    <w:rsid w:val="008278E2"/>
    <w:rsid w:val="0083061F"/>
    <w:rsid w:val="00832019"/>
    <w:rsid w:val="00836226"/>
    <w:rsid w:val="008374C9"/>
    <w:rsid w:val="008401BC"/>
    <w:rsid w:val="008426E5"/>
    <w:rsid w:val="00842E2F"/>
    <w:rsid w:val="008432F1"/>
    <w:rsid w:val="00844BCE"/>
    <w:rsid w:val="00846D48"/>
    <w:rsid w:val="00847FE5"/>
    <w:rsid w:val="008504A1"/>
    <w:rsid w:val="00850863"/>
    <w:rsid w:val="0086354E"/>
    <w:rsid w:val="008638B8"/>
    <w:rsid w:val="008653FB"/>
    <w:rsid w:val="00866D32"/>
    <w:rsid w:val="00867B42"/>
    <w:rsid w:val="00867E89"/>
    <w:rsid w:val="00871E93"/>
    <w:rsid w:val="00872D63"/>
    <w:rsid w:val="00873BAA"/>
    <w:rsid w:val="0087647A"/>
    <w:rsid w:val="00877368"/>
    <w:rsid w:val="0088258F"/>
    <w:rsid w:val="0088565B"/>
    <w:rsid w:val="00886D36"/>
    <w:rsid w:val="0088719E"/>
    <w:rsid w:val="008934B2"/>
    <w:rsid w:val="00894C98"/>
    <w:rsid w:val="00895792"/>
    <w:rsid w:val="00896CB7"/>
    <w:rsid w:val="008A31F1"/>
    <w:rsid w:val="008A7148"/>
    <w:rsid w:val="008B07D2"/>
    <w:rsid w:val="008B0C05"/>
    <w:rsid w:val="008B1FA3"/>
    <w:rsid w:val="008B2328"/>
    <w:rsid w:val="008B2A00"/>
    <w:rsid w:val="008C1386"/>
    <w:rsid w:val="008C2296"/>
    <w:rsid w:val="008C59B0"/>
    <w:rsid w:val="008D0597"/>
    <w:rsid w:val="008D1958"/>
    <w:rsid w:val="008D31FD"/>
    <w:rsid w:val="008D662E"/>
    <w:rsid w:val="008E0BF7"/>
    <w:rsid w:val="008E0E81"/>
    <w:rsid w:val="008E1A54"/>
    <w:rsid w:val="008F0B52"/>
    <w:rsid w:val="008F0B53"/>
    <w:rsid w:val="008F134E"/>
    <w:rsid w:val="008F535A"/>
    <w:rsid w:val="008F77C6"/>
    <w:rsid w:val="00904359"/>
    <w:rsid w:val="00904FFD"/>
    <w:rsid w:val="00907453"/>
    <w:rsid w:val="00907C81"/>
    <w:rsid w:val="00913BD0"/>
    <w:rsid w:val="0091422F"/>
    <w:rsid w:val="00920D80"/>
    <w:rsid w:val="009258B8"/>
    <w:rsid w:val="00925BCD"/>
    <w:rsid w:val="009264E9"/>
    <w:rsid w:val="009274F8"/>
    <w:rsid w:val="00927698"/>
    <w:rsid w:val="009301AC"/>
    <w:rsid w:val="009313E7"/>
    <w:rsid w:val="00933CF7"/>
    <w:rsid w:val="009342CC"/>
    <w:rsid w:val="009343C2"/>
    <w:rsid w:val="00936519"/>
    <w:rsid w:val="00937226"/>
    <w:rsid w:val="00944827"/>
    <w:rsid w:val="00946B11"/>
    <w:rsid w:val="00950B76"/>
    <w:rsid w:val="00951982"/>
    <w:rsid w:val="00953A40"/>
    <w:rsid w:val="009557E2"/>
    <w:rsid w:val="00956519"/>
    <w:rsid w:val="00957D9E"/>
    <w:rsid w:val="00963D6F"/>
    <w:rsid w:val="009644EC"/>
    <w:rsid w:val="00964AC3"/>
    <w:rsid w:val="00966637"/>
    <w:rsid w:val="009703F3"/>
    <w:rsid w:val="0097152E"/>
    <w:rsid w:val="00971A90"/>
    <w:rsid w:val="0097224F"/>
    <w:rsid w:val="009729E8"/>
    <w:rsid w:val="009747C7"/>
    <w:rsid w:val="009777CA"/>
    <w:rsid w:val="00981F69"/>
    <w:rsid w:val="00982AAF"/>
    <w:rsid w:val="00987B17"/>
    <w:rsid w:val="009922E2"/>
    <w:rsid w:val="00992C2F"/>
    <w:rsid w:val="0099398B"/>
    <w:rsid w:val="009958A2"/>
    <w:rsid w:val="0099595B"/>
    <w:rsid w:val="00996DCE"/>
    <w:rsid w:val="00997C58"/>
    <w:rsid w:val="009A016E"/>
    <w:rsid w:val="009A63C0"/>
    <w:rsid w:val="009B0E10"/>
    <w:rsid w:val="009B2D38"/>
    <w:rsid w:val="009B4A31"/>
    <w:rsid w:val="009B65A6"/>
    <w:rsid w:val="009B7082"/>
    <w:rsid w:val="009C16E2"/>
    <w:rsid w:val="009C5BB8"/>
    <w:rsid w:val="009C6C9D"/>
    <w:rsid w:val="009D287B"/>
    <w:rsid w:val="009D44D6"/>
    <w:rsid w:val="009D4886"/>
    <w:rsid w:val="009D5ACA"/>
    <w:rsid w:val="009D60FD"/>
    <w:rsid w:val="009D6612"/>
    <w:rsid w:val="009E070E"/>
    <w:rsid w:val="009E119C"/>
    <w:rsid w:val="009E14B9"/>
    <w:rsid w:val="009E1C8F"/>
    <w:rsid w:val="009E24E5"/>
    <w:rsid w:val="009E335D"/>
    <w:rsid w:val="009E48E9"/>
    <w:rsid w:val="009E6FD2"/>
    <w:rsid w:val="009F007E"/>
    <w:rsid w:val="009F11E3"/>
    <w:rsid w:val="009F2CF7"/>
    <w:rsid w:val="00A00DF2"/>
    <w:rsid w:val="00A01632"/>
    <w:rsid w:val="00A02ED9"/>
    <w:rsid w:val="00A02FAF"/>
    <w:rsid w:val="00A04C65"/>
    <w:rsid w:val="00A0614F"/>
    <w:rsid w:val="00A06AC3"/>
    <w:rsid w:val="00A07061"/>
    <w:rsid w:val="00A10933"/>
    <w:rsid w:val="00A1266B"/>
    <w:rsid w:val="00A133A9"/>
    <w:rsid w:val="00A13594"/>
    <w:rsid w:val="00A15438"/>
    <w:rsid w:val="00A16805"/>
    <w:rsid w:val="00A16F61"/>
    <w:rsid w:val="00A174C5"/>
    <w:rsid w:val="00A21A91"/>
    <w:rsid w:val="00A2356F"/>
    <w:rsid w:val="00A325E3"/>
    <w:rsid w:val="00A3292A"/>
    <w:rsid w:val="00A334D8"/>
    <w:rsid w:val="00A34258"/>
    <w:rsid w:val="00A3461C"/>
    <w:rsid w:val="00A34E34"/>
    <w:rsid w:val="00A359E9"/>
    <w:rsid w:val="00A35C0C"/>
    <w:rsid w:val="00A362C4"/>
    <w:rsid w:val="00A37594"/>
    <w:rsid w:val="00A4180C"/>
    <w:rsid w:val="00A4190F"/>
    <w:rsid w:val="00A456E5"/>
    <w:rsid w:val="00A4669C"/>
    <w:rsid w:val="00A50BAC"/>
    <w:rsid w:val="00A51BD2"/>
    <w:rsid w:val="00A55E33"/>
    <w:rsid w:val="00A72BFD"/>
    <w:rsid w:val="00A73450"/>
    <w:rsid w:val="00A74269"/>
    <w:rsid w:val="00A75228"/>
    <w:rsid w:val="00A76B14"/>
    <w:rsid w:val="00A8160E"/>
    <w:rsid w:val="00A822CC"/>
    <w:rsid w:val="00A834E4"/>
    <w:rsid w:val="00A83B5D"/>
    <w:rsid w:val="00A84934"/>
    <w:rsid w:val="00A849B8"/>
    <w:rsid w:val="00A84B71"/>
    <w:rsid w:val="00A86E6F"/>
    <w:rsid w:val="00A9397C"/>
    <w:rsid w:val="00A97417"/>
    <w:rsid w:val="00AA184A"/>
    <w:rsid w:val="00AA45D0"/>
    <w:rsid w:val="00AA6F3F"/>
    <w:rsid w:val="00AB1210"/>
    <w:rsid w:val="00AB5A7F"/>
    <w:rsid w:val="00AC190C"/>
    <w:rsid w:val="00AC2FC4"/>
    <w:rsid w:val="00AC3605"/>
    <w:rsid w:val="00AC4644"/>
    <w:rsid w:val="00AC583F"/>
    <w:rsid w:val="00AC7693"/>
    <w:rsid w:val="00AD320A"/>
    <w:rsid w:val="00AD3B50"/>
    <w:rsid w:val="00AD3BFB"/>
    <w:rsid w:val="00AD52D1"/>
    <w:rsid w:val="00AD532A"/>
    <w:rsid w:val="00AD60ED"/>
    <w:rsid w:val="00AE1EB1"/>
    <w:rsid w:val="00AE3BDD"/>
    <w:rsid w:val="00AE5570"/>
    <w:rsid w:val="00AE5648"/>
    <w:rsid w:val="00AE74FB"/>
    <w:rsid w:val="00AF588B"/>
    <w:rsid w:val="00AF6964"/>
    <w:rsid w:val="00B03642"/>
    <w:rsid w:val="00B045ED"/>
    <w:rsid w:val="00B12A1E"/>
    <w:rsid w:val="00B13543"/>
    <w:rsid w:val="00B16DC2"/>
    <w:rsid w:val="00B16DFE"/>
    <w:rsid w:val="00B214DB"/>
    <w:rsid w:val="00B222AB"/>
    <w:rsid w:val="00B2408F"/>
    <w:rsid w:val="00B24E46"/>
    <w:rsid w:val="00B25A82"/>
    <w:rsid w:val="00B26897"/>
    <w:rsid w:val="00B2748C"/>
    <w:rsid w:val="00B31969"/>
    <w:rsid w:val="00B31CCB"/>
    <w:rsid w:val="00B32860"/>
    <w:rsid w:val="00B340BC"/>
    <w:rsid w:val="00B354A7"/>
    <w:rsid w:val="00B36D69"/>
    <w:rsid w:val="00B40574"/>
    <w:rsid w:val="00B41F37"/>
    <w:rsid w:val="00B458F8"/>
    <w:rsid w:val="00B502E5"/>
    <w:rsid w:val="00B5066A"/>
    <w:rsid w:val="00B507C1"/>
    <w:rsid w:val="00B529FF"/>
    <w:rsid w:val="00B55AB5"/>
    <w:rsid w:val="00B61B22"/>
    <w:rsid w:val="00B652CC"/>
    <w:rsid w:val="00B65E77"/>
    <w:rsid w:val="00B672D0"/>
    <w:rsid w:val="00B70B3C"/>
    <w:rsid w:val="00B744A4"/>
    <w:rsid w:val="00B771D6"/>
    <w:rsid w:val="00B77B85"/>
    <w:rsid w:val="00B80258"/>
    <w:rsid w:val="00B82525"/>
    <w:rsid w:val="00B86B24"/>
    <w:rsid w:val="00BA0485"/>
    <w:rsid w:val="00BA0B3A"/>
    <w:rsid w:val="00BA252B"/>
    <w:rsid w:val="00BA41BA"/>
    <w:rsid w:val="00BA5C2F"/>
    <w:rsid w:val="00BA78DC"/>
    <w:rsid w:val="00BB0152"/>
    <w:rsid w:val="00BB3028"/>
    <w:rsid w:val="00BB3890"/>
    <w:rsid w:val="00BB42E8"/>
    <w:rsid w:val="00BB77F3"/>
    <w:rsid w:val="00BB7C49"/>
    <w:rsid w:val="00BB7CE7"/>
    <w:rsid w:val="00BC1485"/>
    <w:rsid w:val="00BC3541"/>
    <w:rsid w:val="00BC5A71"/>
    <w:rsid w:val="00BC6C20"/>
    <w:rsid w:val="00BD2185"/>
    <w:rsid w:val="00BD5F36"/>
    <w:rsid w:val="00BE621D"/>
    <w:rsid w:val="00BE6B08"/>
    <w:rsid w:val="00BF0407"/>
    <w:rsid w:val="00BF177C"/>
    <w:rsid w:val="00BF28FF"/>
    <w:rsid w:val="00BF37F3"/>
    <w:rsid w:val="00BF4E55"/>
    <w:rsid w:val="00BF72A5"/>
    <w:rsid w:val="00C0118C"/>
    <w:rsid w:val="00C02771"/>
    <w:rsid w:val="00C03055"/>
    <w:rsid w:val="00C04ACD"/>
    <w:rsid w:val="00C04D2C"/>
    <w:rsid w:val="00C11D2A"/>
    <w:rsid w:val="00C14C50"/>
    <w:rsid w:val="00C1561A"/>
    <w:rsid w:val="00C21770"/>
    <w:rsid w:val="00C26046"/>
    <w:rsid w:val="00C26765"/>
    <w:rsid w:val="00C27298"/>
    <w:rsid w:val="00C319AF"/>
    <w:rsid w:val="00C3410C"/>
    <w:rsid w:val="00C343C0"/>
    <w:rsid w:val="00C34E5B"/>
    <w:rsid w:val="00C3741F"/>
    <w:rsid w:val="00C405C8"/>
    <w:rsid w:val="00C4286D"/>
    <w:rsid w:val="00C43E03"/>
    <w:rsid w:val="00C45A8A"/>
    <w:rsid w:val="00C47CB4"/>
    <w:rsid w:val="00C5014B"/>
    <w:rsid w:val="00C5131B"/>
    <w:rsid w:val="00C54724"/>
    <w:rsid w:val="00C54A48"/>
    <w:rsid w:val="00C56533"/>
    <w:rsid w:val="00C60480"/>
    <w:rsid w:val="00C62795"/>
    <w:rsid w:val="00C627EA"/>
    <w:rsid w:val="00C6355D"/>
    <w:rsid w:val="00C64617"/>
    <w:rsid w:val="00C6485D"/>
    <w:rsid w:val="00C65365"/>
    <w:rsid w:val="00C656B4"/>
    <w:rsid w:val="00C669C6"/>
    <w:rsid w:val="00C7324A"/>
    <w:rsid w:val="00C76A8E"/>
    <w:rsid w:val="00C826A7"/>
    <w:rsid w:val="00C84FC5"/>
    <w:rsid w:val="00C84FEE"/>
    <w:rsid w:val="00C84FF2"/>
    <w:rsid w:val="00C85A7B"/>
    <w:rsid w:val="00C866E8"/>
    <w:rsid w:val="00C870FB"/>
    <w:rsid w:val="00C87901"/>
    <w:rsid w:val="00C9077F"/>
    <w:rsid w:val="00C91176"/>
    <w:rsid w:val="00C92AD9"/>
    <w:rsid w:val="00C93525"/>
    <w:rsid w:val="00C9372F"/>
    <w:rsid w:val="00C9702E"/>
    <w:rsid w:val="00C970D1"/>
    <w:rsid w:val="00CA05CB"/>
    <w:rsid w:val="00CA2196"/>
    <w:rsid w:val="00CA276A"/>
    <w:rsid w:val="00CA540A"/>
    <w:rsid w:val="00CA5762"/>
    <w:rsid w:val="00CA5ED6"/>
    <w:rsid w:val="00CA730E"/>
    <w:rsid w:val="00CB1180"/>
    <w:rsid w:val="00CB2EFC"/>
    <w:rsid w:val="00CB4892"/>
    <w:rsid w:val="00CB6E8A"/>
    <w:rsid w:val="00CC1A92"/>
    <w:rsid w:val="00CC1FE3"/>
    <w:rsid w:val="00CC5997"/>
    <w:rsid w:val="00CC5AF8"/>
    <w:rsid w:val="00CC5F6E"/>
    <w:rsid w:val="00CC6F09"/>
    <w:rsid w:val="00CD102F"/>
    <w:rsid w:val="00CD2A53"/>
    <w:rsid w:val="00CD6E30"/>
    <w:rsid w:val="00CE1C4D"/>
    <w:rsid w:val="00CE207A"/>
    <w:rsid w:val="00CE20BA"/>
    <w:rsid w:val="00CE33D6"/>
    <w:rsid w:val="00CE429A"/>
    <w:rsid w:val="00CE60DA"/>
    <w:rsid w:val="00CE6894"/>
    <w:rsid w:val="00CE74DF"/>
    <w:rsid w:val="00CE7CA1"/>
    <w:rsid w:val="00CE7E14"/>
    <w:rsid w:val="00CE7F55"/>
    <w:rsid w:val="00CF3509"/>
    <w:rsid w:val="00CF4C50"/>
    <w:rsid w:val="00CF6785"/>
    <w:rsid w:val="00D07C61"/>
    <w:rsid w:val="00D10579"/>
    <w:rsid w:val="00D105D2"/>
    <w:rsid w:val="00D1071F"/>
    <w:rsid w:val="00D107D9"/>
    <w:rsid w:val="00D12F9C"/>
    <w:rsid w:val="00D15CDB"/>
    <w:rsid w:val="00D15ED3"/>
    <w:rsid w:val="00D16D49"/>
    <w:rsid w:val="00D16D93"/>
    <w:rsid w:val="00D17FAD"/>
    <w:rsid w:val="00D21868"/>
    <w:rsid w:val="00D22B76"/>
    <w:rsid w:val="00D233B0"/>
    <w:rsid w:val="00D248F3"/>
    <w:rsid w:val="00D25C76"/>
    <w:rsid w:val="00D31103"/>
    <w:rsid w:val="00D32834"/>
    <w:rsid w:val="00D33055"/>
    <w:rsid w:val="00D34365"/>
    <w:rsid w:val="00D36902"/>
    <w:rsid w:val="00D37110"/>
    <w:rsid w:val="00D37381"/>
    <w:rsid w:val="00D5146A"/>
    <w:rsid w:val="00D5294E"/>
    <w:rsid w:val="00D52CEA"/>
    <w:rsid w:val="00D53AEB"/>
    <w:rsid w:val="00D55741"/>
    <w:rsid w:val="00D56481"/>
    <w:rsid w:val="00D61490"/>
    <w:rsid w:val="00D62CEB"/>
    <w:rsid w:val="00D63706"/>
    <w:rsid w:val="00D65734"/>
    <w:rsid w:val="00D669ED"/>
    <w:rsid w:val="00D67E02"/>
    <w:rsid w:val="00D72134"/>
    <w:rsid w:val="00D7309D"/>
    <w:rsid w:val="00D7740C"/>
    <w:rsid w:val="00D810B3"/>
    <w:rsid w:val="00D81B3C"/>
    <w:rsid w:val="00D82D70"/>
    <w:rsid w:val="00D90A55"/>
    <w:rsid w:val="00D95C1C"/>
    <w:rsid w:val="00D96056"/>
    <w:rsid w:val="00DA21B4"/>
    <w:rsid w:val="00DA3382"/>
    <w:rsid w:val="00DA62E9"/>
    <w:rsid w:val="00DB1FAD"/>
    <w:rsid w:val="00DB3BA9"/>
    <w:rsid w:val="00DB4BBD"/>
    <w:rsid w:val="00DB62FD"/>
    <w:rsid w:val="00DB754D"/>
    <w:rsid w:val="00DC7EB3"/>
    <w:rsid w:val="00DD5161"/>
    <w:rsid w:val="00DD785E"/>
    <w:rsid w:val="00DE368A"/>
    <w:rsid w:val="00DE440A"/>
    <w:rsid w:val="00DF2FD3"/>
    <w:rsid w:val="00DF4C08"/>
    <w:rsid w:val="00DF61B8"/>
    <w:rsid w:val="00E00948"/>
    <w:rsid w:val="00E02CCA"/>
    <w:rsid w:val="00E039C0"/>
    <w:rsid w:val="00E04FAD"/>
    <w:rsid w:val="00E05144"/>
    <w:rsid w:val="00E10DAA"/>
    <w:rsid w:val="00E112CD"/>
    <w:rsid w:val="00E114F2"/>
    <w:rsid w:val="00E12F8A"/>
    <w:rsid w:val="00E140C3"/>
    <w:rsid w:val="00E1454D"/>
    <w:rsid w:val="00E16E58"/>
    <w:rsid w:val="00E17AD6"/>
    <w:rsid w:val="00E27F7F"/>
    <w:rsid w:val="00E32882"/>
    <w:rsid w:val="00E34743"/>
    <w:rsid w:val="00E34E0D"/>
    <w:rsid w:val="00E36EF0"/>
    <w:rsid w:val="00E404AC"/>
    <w:rsid w:val="00E42D57"/>
    <w:rsid w:val="00E43317"/>
    <w:rsid w:val="00E44EE9"/>
    <w:rsid w:val="00E4512B"/>
    <w:rsid w:val="00E4639A"/>
    <w:rsid w:val="00E46B44"/>
    <w:rsid w:val="00E5263C"/>
    <w:rsid w:val="00E5308E"/>
    <w:rsid w:val="00E532FF"/>
    <w:rsid w:val="00E53365"/>
    <w:rsid w:val="00E540B9"/>
    <w:rsid w:val="00E550C0"/>
    <w:rsid w:val="00E55631"/>
    <w:rsid w:val="00E61D33"/>
    <w:rsid w:val="00E645A6"/>
    <w:rsid w:val="00E67F24"/>
    <w:rsid w:val="00E81A9E"/>
    <w:rsid w:val="00E81BAE"/>
    <w:rsid w:val="00E84356"/>
    <w:rsid w:val="00E84717"/>
    <w:rsid w:val="00E8526D"/>
    <w:rsid w:val="00E85944"/>
    <w:rsid w:val="00E8622F"/>
    <w:rsid w:val="00E876F5"/>
    <w:rsid w:val="00E90230"/>
    <w:rsid w:val="00E93A89"/>
    <w:rsid w:val="00E94803"/>
    <w:rsid w:val="00E96C98"/>
    <w:rsid w:val="00EA0881"/>
    <w:rsid w:val="00EA0EE4"/>
    <w:rsid w:val="00EA1D01"/>
    <w:rsid w:val="00EA2A92"/>
    <w:rsid w:val="00EA2FBB"/>
    <w:rsid w:val="00EA63FD"/>
    <w:rsid w:val="00EB1117"/>
    <w:rsid w:val="00EB426D"/>
    <w:rsid w:val="00EB53A8"/>
    <w:rsid w:val="00EB72CB"/>
    <w:rsid w:val="00EB7A99"/>
    <w:rsid w:val="00EC39FB"/>
    <w:rsid w:val="00EC4C0F"/>
    <w:rsid w:val="00EC5A35"/>
    <w:rsid w:val="00EC77F0"/>
    <w:rsid w:val="00EC7D08"/>
    <w:rsid w:val="00ED0621"/>
    <w:rsid w:val="00ED0C65"/>
    <w:rsid w:val="00ED0D55"/>
    <w:rsid w:val="00ED1CA8"/>
    <w:rsid w:val="00ED2BF7"/>
    <w:rsid w:val="00ED606B"/>
    <w:rsid w:val="00ED6779"/>
    <w:rsid w:val="00ED7777"/>
    <w:rsid w:val="00EE1E72"/>
    <w:rsid w:val="00EE5ED9"/>
    <w:rsid w:val="00EE6BEF"/>
    <w:rsid w:val="00EE7069"/>
    <w:rsid w:val="00EF2576"/>
    <w:rsid w:val="00EF49FC"/>
    <w:rsid w:val="00EF7536"/>
    <w:rsid w:val="00F013B9"/>
    <w:rsid w:val="00F0218A"/>
    <w:rsid w:val="00F038B0"/>
    <w:rsid w:val="00F04F84"/>
    <w:rsid w:val="00F05398"/>
    <w:rsid w:val="00F05A2D"/>
    <w:rsid w:val="00F07F63"/>
    <w:rsid w:val="00F11F17"/>
    <w:rsid w:val="00F1239E"/>
    <w:rsid w:val="00F153EE"/>
    <w:rsid w:val="00F15F4E"/>
    <w:rsid w:val="00F203AC"/>
    <w:rsid w:val="00F2609B"/>
    <w:rsid w:val="00F267B1"/>
    <w:rsid w:val="00F27942"/>
    <w:rsid w:val="00F34500"/>
    <w:rsid w:val="00F345E2"/>
    <w:rsid w:val="00F3558A"/>
    <w:rsid w:val="00F37D56"/>
    <w:rsid w:val="00F4141D"/>
    <w:rsid w:val="00F437E4"/>
    <w:rsid w:val="00F4646C"/>
    <w:rsid w:val="00F50D7E"/>
    <w:rsid w:val="00F510A7"/>
    <w:rsid w:val="00F5173B"/>
    <w:rsid w:val="00F523A5"/>
    <w:rsid w:val="00F5573B"/>
    <w:rsid w:val="00F55FBE"/>
    <w:rsid w:val="00F60706"/>
    <w:rsid w:val="00F61851"/>
    <w:rsid w:val="00F667EB"/>
    <w:rsid w:val="00F71B8C"/>
    <w:rsid w:val="00F71F52"/>
    <w:rsid w:val="00F74532"/>
    <w:rsid w:val="00F82C7A"/>
    <w:rsid w:val="00F83844"/>
    <w:rsid w:val="00F8562C"/>
    <w:rsid w:val="00F85D22"/>
    <w:rsid w:val="00F86CFC"/>
    <w:rsid w:val="00F9307F"/>
    <w:rsid w:val="00F93DEB"/>
    <w:rsid w:val="00F96459"/>
    <w:rsid w:val="00F9734C"/>
    <w:rsid w:val="00F9765A"/>
    <w:rsid w:val="00FB13EB"/>
    <w:rsid w:val="00FB1402"/>
    <w:rsid w:val="00FB4D2F"/>
    <w:rsid w:val="00FB4DCD"/>
    <w:rsid w:val="00FB4F5B"/>
    <w:rsid w:val="00FB609F"/>
    <w:rsid w:val="00FB7B86"/>
    <w:rsid w:val="00FC18D8"/>
    <w:rsid w:val="00FC3087"/>
    <w:rsid w:val="00FC4D2E"/>
    <w:rsid w:val="00FC5B38"/>
    <w:rsid w:val="00FC72F9"/>
    <w:rsid w:val="00FD28C2"/>
    <w:rsid w:val="00FD3C03"/>
    <w:rsid w:val="00FD6856"/>
    <w:rsid w:val="00FE2FB5"/>
    <w:rsid w:val="00FE2FD6"/>
    <w:rsid w:val="00FE3585"/>
    <w:rsid w:val="00FE61F4"/>
    <w:rsid w:val="00FE6792"/>
    <w:rsid w:val="00FF4CAC"/>
    <w:rsid w:val="00FF5609"/>
    <w:rsid w:val="00FF660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egrouptable v:ext="edit">
        <o:entry new="1" old="0"/>
      </o:regrouptable>
    </o:shapelayout>
  </w:shapeDefaults>
  <w:doNotEmbedSmartTags/>
  <w:decimalSymbol w:val="."/>
  <w:listSeparator w:val=","/>
  <w14:docId w14:val="6456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footnote text" w:uiPriority="99"/>
    <w:lsdException w:name="footnote reference" w:uiPriority="99"/>
    <w:lsdException w:name="Balloon Text" w:uiPriority="99"/>
  </w:latentStyles>
  <w:style w:type="paragraph" w:default="1" w:styleId="Normal">
    <w:name w:val="Normal"/>
    <w:qFormat/>
    <w:rsid w:val="00E45121"/>
  </w:style>
  <w:style w:type="paragraph" w:styleId="Heading1">
    <w:name w:val="heading 1"/>
    <w:basedOn w:val="Normal"/>
    <w:next w:val="Normal"/>
    <w:link w:val="Heading1Char"/>
    <w:rsid w:val="00335B88"/>
    <w:pPr>
      <w:keepNext/>
      <w:keepLines/>
      <w:spacing w:before="280" w:after="280"/>
      <w:outlineLvl w:val="0"/>
    </w:pPr>
    <w:rPr>
      <w:rFonts w:eastAsiaTheme="majorEastAsia" w:cstheme="majorBidi"/>
      <w:bCs/>
      <w:sz w:val="28"/>
      <w:szCs w:val="32"/>
    </w:rPr>
  </w:style>
  <w:style w:type="paragraph" w:styleId="Heading2">
    <w:name w:val="heading 2"/>
    <w:basedOn w:val="Normal"/>
    <w:next w:val="Normal"/>
    <w:link w:val="Heading2Char"/>
    <w:rsid w:val="00B529FF"/>
    <w:pPr>
      <w:keepNext/>
      <w:keepLines/>
      <w:spacing w:before="240" w:after="240"/>
      <w:outlineLvl w:val="1"/>
    </w:pPr>
    <w:rPr>
      <w:rFonts w:eastAsiaTheme="majorEastAsia" w:cstheme="majorBidi"/>
      <w:bCs/>
      <w: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E750F0"/>
    <w:rPr>
      <w:rFonts w:ascii="Lucida Grande" w:hAnsi="Lucida Grande"/>
      <w:sz w:val="18"/>
      <w:szCs w:val="18"/>
    </w:rPr>
  </w:style>
  <w:style w:type="character" w:customStyle="1" w:styleId="BalloonTextChar">
    <w:name w:val="Balloon Text Char"/>
    <w:basedOn w:val="DefaultParagraphFont"/>
    <w:uiPriority w:val="99"/>
    <w:semiHidden/>
    <w:rsid w:val="008A1E29"/>
    <w:rPr>
      <w:rFonts w:ascii="Lucida Grande" w:hAnsi="Lucida Grande"/>
      <w:sz w:val="18"/>
      <w:szCs w:val="18"/>
    </w:rPr>
  </w:style>
  <w:style w:type="character" w:customStyle="1" w:styleId="BalloonTextChar0">
    <w:name w:val="Balloon Text Char"/>
    <w:basedOn w:val="DefaultParagraphFont"/>
    <w:uiPriority w:val="99"/>
    <w:semiHidden/>
    <w:rsid w:val="0008182A"/>
    <w:rPr>
      <w:rFonts w:ascii="Lucida Grande" w:hAnsi="Lucida Grande"/>
      <w:sz w:val="18"/>
      <w:szCs w:val="18"/>
    </w:rPr>
  </w:style>
  <w:style w:type="character" w:customStyle="1" w:styleId="BalloonTextChar2">
    <w:name w:val="Balloon Text Char"/>
    <w:basedOn w:val="DefaultParagraphFont"/>
    <w:uiPriority w:val="99"/>
    <w:semiHidden/>
    <w:rsid w:val="00474101"/>
    <w:rPr>
      <w:rFonts w:ascii="Lucida Grande" w:hAnsi="Lucida Grande"/>
      <w:sz w:val="18"/>
      <w:szCs w:val="18"/>
    </w:rPr>
  </w:style>
  <w:style w:type="paragraph" w:styleId="FootnoteText">
    <w:name w:val="footnote text"/>
    <w:basedOn w:val="Normal"/>
    <w:link w:val="FootnoteTextChar"/>
    <w:uiPriority w:val="99"/>
    <w:semiHidden/>
    <w:rsid w:val="0062509E"/>
  </w:style>
  <w:style w:type="character" w:styleId="FootnoteReference">
    <w:name w:val="footnote reference"/>
    <w:basedOn w:val="DefaultParagraphFont"/>
    <w:uiPriority w:val="99"/>
    <w:semiHidden/>
    <w:rsid w:val="0062509E"/>
    <w:rPr>
      <w:vertAlign w:val="superscript"/>
    </w:rPr>
  </w:style>
  <w:style w:type="paragraph" w:styleId="Header">
    <w:name w:val="header"/>
    <w:basedOn w:val="Normal"/>
    <w:rsid w:val="00DA0185"/>
    <w:pPr>
      <w:tabs>
        <w:tab w:val="center" w:pos="4320"/>
        <w:tab w:val="right" w:pos="8640"/>
      </w:tabs>
    </w:pPr>
  </w:style>
  <w:style w:type="paragraph" w:styleId="Footer">
    <w:name w:val="footer"/>
    <w:basedOn w:val="Normal"/>
    <w:semiHidden/>
    <w:rsid w:val="00DA0185"/>
    <w:pPr>
      <w:tabs>
        <w:tab w:val="center" w:pos="4320"/>
        <w:tab w:val="right" w:pos="8640"/>
      </w:tabs>
    </w:pPr>
  </w:style>
  <w:style w:type="character" w:styleId="PageNumber">
    <w:name w:val="page number"/>
    <w:basedOn w:val="DefaultParagraphFont"/>
    <w:rsid w:val="00331969"/>
  </w:style>
  <w:style w:type="paragraph" w:styleId="Caption">
    <w:name w:val="caption"/>
    <w:basedOn w:val="Normal"/>
    <w:next w:val="Normal"/>
    <w:uiPriority w:val="35"/>
    <w:qFormat/>
    <w:rsid w:val="008B3C66"/>
    <w:rPr>
      <w:b/>
      <w:bCs/>
      <w:sz w:val="20"/>
    </w:rPr>
  </w:style>
  <w:style w:type="character" w:customStyle="1" w:styleId="BalloonTextChar1">
    <w:name w:val="Balloon Text Char1"/>
    <w:basedOn w:val="DefaultParagraphFont"/>
    <w:link w:val="BalloonText"/>
    <w:uiPriority w:val="99"/>
    <w:semiHidden/>
    <w:rsid w:val="00E750F0"/>
    <w:rPr>
      <w:rFonts w:ascii="Lucida Grande" w:hAnsi="Lucida Grande"/>
      <w:sz w:val="18"/>
      <w:szCs w:val="18"/>
    </w:rPr>
  </w:style>
  <w:style w:type="paragraph" w:styleId="ListParagraph">
    <w:name w:val="List Paragraph"/>
    <w:basedOn w:val="Normal"/>
    <w:uiPriority w:val="72"/>
    <w:qFormat/>
    <w:rsid w:val="00E02CCA"/>
    <w:pPr>
      <w:ind w:left="720"/>
      <w:contextualSpacing/>
    </w:pPr>
  </w:style>
  <w:style w:type="character" w:styleId="CommentReference">
    <w:name w:val="annotation reference"/>
    <w:basedOn w:val="DefaultParagraphFont"/>
    <w:semiHidden/>
    <w:unhideWhenUsed/>
    <w:rsid w:val="00566EAB"/>
    <w:rPr>
      <w:sz w:val="18"/>
      <w:szCs w:val="18"/>
    </w:rPr>
  </w:style>
  <w:style w:type="paragraph" w:styleId="CommentText">
    <w:name w:val="annotation text"/>
    <w:basedOn w:val="Normal"/>
    <w:link w:val="CommentTextChar"/>
    <w:semiHidden/>
    <w:unhideWhenUsed/>
    <w:rsid w:val="00566EAB"/>
  </w:style>
  <w:style w:type="character" w:customStyle="1" w:styleId="CommentTextChar">
    <w:name w:val="Comment Text Char"/>
    <w:basedOn w:val="DefaultParagraphFont"/>
    <w:link w:val="CommentText"/>
    <w:uiPriority w:val="99"/>
    <w:semiHidden/>
    <w:rsid w:val="00566EAB"/>
    <w:rPr>
      <w:sz w:val="24"/>
      <w:szCs w:val="24"/>
    </w:rPr>
  </w:style>
  <w:style w:type="paragraph" w:styleId="CommentSubject">
    <w:name w:val="annotation subject"/>
    <w:basedOn w:val="CommentText"/>
    <w:next w:val="CommentText"/>
    <w:link w:val="CommentSubjectChar"/>
    <w:uiPriority w:val="99"/>
    <w:semiHidden/>
    <w:unhideWhenUsed/>
    <w:rsid w:val="00566EAB"/>
    <w:rPr>
      <w:b/>
      <w:bCs/>
      <w:sz w:val="20"/>
      <w:szCs w:val="20"/>
    </w:rPr>
  </w:style>
  <w:style w:type="character" w:customStyle="1" w:styleId="CommentSubjectChar">
    <w:name w:val="Comment Subject Char"/>
    <w:basedOn w:val="CommentTextChar"/>
    <w:link w:val="CommentSubject"/>
    <w:uiPriority w:val="99"/>
    <w:semiHidden/>
    <w:rsid w:val="00566EAB"/>
    <w:rPr>
      <w:b/>
      <w:bCs/>
      <w:sz w:val="24"/>
      <w:szCs w:val="24"/>
    </w:rPr>
  </w:style>
  <w:style w:type="character" w:customStyle="1" w:styleId="FootnoteTextChar">
    <w:name w:val="Footnote Text Char"/>
    <w:basedOn w:val="DefaultParagraphFont"/>
    <w:link w:val="FootnoteText"/>
    <w:uiPriority w:val="99"/>
    <w:semiHidden/>
    <w:rsid w:val="00E81BAE"/>
  </w:style>
  <w:style w:type="paragraph" w:styleId="Title">
    <w:name w:val="Title"/>
    <w:basedOn w:val="Normal"/>
    <w:next w:val="Normal"/>
    <w:link w:val="TitleChar"/>
    <w:rsid w:val="00335B88"/>
    <w:pPr>
      <w:contextualSpacing/>
    </w:pPr>
    <w:rPr>
      <w:rFonts w:eastAsiaTheme="majorEastAsia" w:cstheme="majorBidi"/>
      <w:sz w:val="36"/>
      <w:szCs w:val="40"/>
    </w:rPr>
  </w:style>
  <w:style w:type="character" w:customStyle="1" w:styleId="TitleChar">
    <w:name w:val="Title Char"/>
    <w:basedOn w:val="DefaultParagraphFont"/>
    <w:link w:val="Title"/>
    <w:rsid w:val="00335B88"/>
    <w:rPr>
      <w:rFonts w:eastAsiaTheme="majorEastAsia" w:cstheme="majorBidi"/>
      <w:sz w:val="36"/>
      <w:szCs w:val="40"/>
    </w:rPr>
  </w:style>
  <w:style w:type="character" w:customStyle="1" w:styleId="Heading1Char">
    <w:name w:val="Heading 1 Char"/>
    <w:basedOn w:val="DefaultParagraphFont"/>
    <w:link w:val="Heading1"/>
    <w:rsid w:val="00335B88"/>
    <w:rPr>
      <w:rFonts w:eastAsiaTheme="majorEastAsia" w:cstheme="majorBidi"/>
      <w:bCs/>
      <w:sz w:val="28"/>
      <w:szCs w:val="32"/>
    </w:rPr>
  </w:style>
  <w:style w:type="character" w:customStyle="1" w:styleId="Heading2Char">
    <w:name w:val="Heading 2 Char"/>
    <w:basedOn w:val="DefaultParagraphFont"/>
    <w:link w:val="Heading2"/>
    <w:rsid w:val="00B529FF"/>
    <w:rPr>
      <w:rFonts w:eastAsiaTheme="majorEastAsia" w:cstheme="majorBidi"/>
      <w:bCs/>
      <w:i/>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96782">
      <w:bodyDiv w:val="1"/>
      <w:marLeft w:val="0"/>
      <w:marRight w:val="0"/>
      <w:marTop w:val="0"/>
      <w:marBottom w:val="0"/>
      <w:divBdr>
        <w:top w:val="none" w:sz="0" w:space="0" w:color="auto"/>
        <w:left w:val="none" w:sz="0" w:space="0" w:color="auto"/>
        <w:bottom w:val="none" w:sz="0" w:space="0" w:color="auto"/>
        <w:right w:val="none" w:sz="0" w:space="0" w:color="auto"/>
      </w:divBdr>
      <w:divsChild>
        <w:div w:id="1868983738">
          <w:marLeft w:val="720"/>
          <w:marRight w:val="0"/>
          <w:marTop w:val="0"/>
          <w:marBottom w:val="0"/>
          <w:divBdr>
            <w:top w:val="none" w:sz="0" w:space="0" w:color="auto"/>
            <w:left w:val="none" w:sz="0" w:space="0" w:color="auto"/>
            <w:bottom w:val="none" w:sz="0" w:space="0" w:color="auto"/>
            <w:right w:val="none" w:sz="0" w:space="0" w:color="auto"/>
          </w:divBdr>
        </w:div>
        <w:div w:id="625695626">
          <w:marLeft w:val="720"/>
          <w:marRight w:val="0"/>
          <w:marTop w:val="0"/>
          <w:marBottom w:val="0"/>
          <w:divBdr>
            <w:top w:val="none" w:sz="0" w:space="0" w:color="auto"/>
            <w:left w:val="none" w:sz="0" w:space="0" w:color="auto"/>
            <w:bottom w:val="none" w:sz="0" w:space="0" w:color="auto"/>
            <w:right w:val="none" w:sz="0" w:space="0" w:color="auto"/>
          </w:divBdr>
        </w:div>
        <w:div w:id="1569266373">
          <w:marLeft w:val="720"/>
          <w:marRight w:val="0"/>
          <w:marTop w:val="0"/>
          <w:marBottom w:val="0"/>
          <w:divBdr>
            <w:top w:val="none" w:sz="0" w:space="0" w:color="auto"/>
            <w:left w:val="none" w:sz="0" w:space="0" w:color="auto"/>
            <w:bottom w:val="none" w:sz="0" w:space="0" w:color="auto"/>
            <w:right w:val="none" w:sz="0" w:space="0" w:color="auto"/>
          </w:divBdr>
        </w:div>
      </w:divsChild>
    </w:div>
    <w:div w:id="514541988">
      <w:bodyDiv w:val="1"/>
      <w:marLeft w:val="0"/>
      <w:marRight w:val="0"/>
      <w:marTop w:val="0"/>
      <w:marBottom w:val="0"/>
      <w:divBdr>
        <w:top w:val="none" w:sz="0" w:space="0" w:color="auto"/>
        <w:left w:val="none" w:sz="0" w:space="0" w:color="auto"/>
        <w:bottom w:val="none" w:sz="0" w:space="0" w:color="auto"/>
        <w:right w:val="none" w:sz="0" w:space="0" w:color="auto"/>
      </w:divBdr>
    </w:div>
    <w:div w:id="699942272">
      <w:bodyDiv w:val="1"/>
      <w:marLeft w:val="0"/>
      <w:marRight w:val="0"/>
      <w:marTop w:val="0"/>
      <w:marBottom w:val="0"/>
      <w:divBdr>
        <w:top w:val="none" w:sz="0" w:space="0" w:color="auto"/>
        <w:left w:val="none" w:sz="0" w:space="0" w:color="auto"/>
        <w:bottom w:val="none" w:sz="0" w:space="0" w:color="auto"/>
        <w:right w:val="none" w:sz="0" w:space="0" w:color="auto"/>
      </w:divBdr>
    </w:div>
    <w:div w:id="701512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chart" Target="charts/chart10.xml"/><Relationship Id="rId21" Type="http://schemas.openxmlformats.org/officeDocument/2006/relationships/chart" Target="charts/chart11.xml"/><Relationship Id="rId22" Type="http://schemas.openxmlformats.org/officeDocument/2006/relationships/chart" Target="charts/chart12.xml"/><Relationship Id="rId23" Type="http://schemas.openxmlformats.org/officeDocument/2006/relationships/chart" Target="charts/chart13.xml"/><Relationship Id="rId24" Type="http://schemas.openxmlformats.org/officeDocument/2006/relationships/chart" Target="charts/chart14.xml"/><Relationship Id="rId25" Type="http://schemas.openxmlformats.org/officeDocument/2006/relationships/chart" Target="charts/chart15.xml"/><Relationship Id="rId26" Type="http://schemas.openxmlformats.org/officeDocument/2006/relationships/image" Target="media/image3.png"/><Relationship Id="rId27" Type="http://schemas.openxmlformats.org/officeDocument/2006/relationships/chart" Target="charts/chart16.xml"/><Relationship Id="rId28" Type="http://schemas.openxmlformats.org/officeDocument/2006/relationships/image" Target="media/image4.wmf"/><Relationship Id="rId2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6.wmf"/><Relationship Id="rId31" Type="http://schemas.openxmlformats.org/officeDocument/2006/relationships/image" Target="media/image7.wmf"/><Relationship Id="rId32" Type="http://schemas.openxmlformats.org/officeDocument/2006/relationships/image" Target="media/image8.wmf"/><Relationship Id="rId9" Type="http://schemas.openxmlformats.org/officeDocument/2006/relationships/chart" Target="charts/chart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chart" Target="charts/chart7.xml"/><Relationship Id="rId16" Type="http://schemas.openxmlformats.org/officeDocument/2006/relationships/chart" Target="charts/chart8.xml"/><Relationship Id="rId17" Type="http://schemas.openxmlformats.org/officeDocument/2006/relationships/chart" Target="charts/chart9.xml"/><Relationship Id="rId18" Type="http://schemas.openxmlformats.org/officeDocument/2006/relationships/image" Target="media/image1.wmf"/><Relationship Id="rId19" Type="http://schemas.openxmlformats.org/officeDocument/2006/relationships/image" Target="media/image2.wmf"/><Relationship Id="rId3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TACHIKOMA:out_of_credits_by_date.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Documents%20and%20Settings\hye\Desktop\2009_penalty_functions.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Documents%20and%20Settings\hye\Desktop\2009_penalty_functions.xls"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upload\George%20initial%20creds%20moderate%20params.xls"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upload\spreadsheet_3.xls"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Documents%20and%20Settings\hye\Desktop\2009_convergence.xls"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Documents%20and%20Settings\hye\Desktop\2009_convergence.xls"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D:\upload\2009_trading_summary.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pload\spreadsheet_3.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upload\George%20initial%20creds%20moderate%20params.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upload\2009_trading_summary.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upload\2009_trading_summary.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TACHIKOMA:2009_revenue_lost.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TACHIKOMA:2009_revenue_lost.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Documents%20and%20Settings\hye\Desktop\2009_combined_summary.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Documents%20and%20Settings\hye\Desktop\2009_combined_summary.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0" i="0" u="none" strike="noStrike" baseline="0">
                <a:solidFill>
                  <a:srgbClr val="000000"/>
                </a:solidFill>
                <a:latin typeface="Verdana"/>
                <a:ea typeface="Verdana"/>
                <a:cs typeface="Verdana"/>
              </a:defRPr>
            </a:pPr>
            <a:r>
              <a:rPr lang="en-US" b="0"/>
              <a:t>Cumulative Number of Vessels that run out of credits under the PPA hardcap (without trading</a:t>
            </a:r>
            <a:r>
              <a:rPr lang="en-US" b="0" baseline="0"/>
              <a:t>)</a:t>
            </a:r>
            <a:endParaRPr lang="en-US" b="0"/>
          </a:p>
        </c:rich>
      </c:tx>
      <c:layout>
        <c:manualLayout>
          <c:xMode val="edge"/>
          <c:yMode val="edge"/>
          <c:x val="0.166666666666667"/>
          <c:y val="0.0162037192159491"/>
        </c:manualLayout>
      </c:layout>
      <c:overlay val="0"/>
      <c:spPr>
        <a:noFill/>
        <a:ln w="25400">
          <a:noFill/>
        </a:ln>
      </c:spPr>
    </c:title>
    <c:autoTitleDeleted val="0"/>
    <c:plotArea>
      <c:layout>
        <c:manualLayout>
          <c:layoutTarget val="inner"/>
          <c:xMode val="edge"/>
          <c:yMode val="edge"/>
          <c:x val="0.111944444444444"/>
          <c:y val="0.139025766460044"/>
          <c:w val="0.859444444444444"/>
          <c:h val="0.701933054112917"/>
        </c:manualLayout>
      </c:layout>
      <c:lineChart>
        <c:grouping val="standard"/>
        <c:varyColors val="0"/>
        <c:ser>
          <c:idx val="0"/>
          <c:order val="0"/>
          <c:tx>
            <c:strRef>
              <c:f>'no reallocation data'!$B$1</c:f>
              <c:strCache>
                <c:ptCount val="1"/>
                <c:pt idx="0">
                  <c:v>2000</c:v>
                </c:pt>
              </c:strCache>
            </c:strRef>
          </c:tx>
          <c:spPr>
            <a:ln w="38100">
              <a:solidFill>
                <a:srgbClr val="00CCFF"/>
              </a:solidFill>
              <a:prstDash val="solid"/>
            </a:ln>
          </c:spPr>
          <c:marker>
            <c:symbol val="none"/>
          </c:marker>
          <c:cat>
            <c:strRef>
              <c:f>'q=1.33p+0.33 data'!$A$2:$A$213</c:f>
              <c:strCache>
                <c:ptCount val="212"/>
                <c:pt idx="0">
                  <c:v>20-Jan</c:v>
                </c:pt>
                <c:pt idx="1">
                  <c:v>21-Jan</c:v>
                </c:pt>
                <c:pt idx="2">
                  <c:v>22-Jan</c:v>
                </c:pt>
                <c:pt idx="3">
                  <c:v>23-Jan</c:v>
                </c:pt>
                <c:pt idx="4">
                  <c:v>24-Jan</c:v>
                </c:pt>
                <c:pt idx="5">
                  <c:v>25-Jan</c:v>
                </c:pt>
                <c:pt idx="6">
                  <c:v>26-Jan</c:v>
                </c:pt>
                <c:pt idx="7">
                  <c:v>27-Jan</c:v>
                </c:pt>
                <c:pt idx="8">
                  <c:v>28-Jan</c:v>
                </c:pt>
                <c:pt idx="9">
                  <c:v>29-Jan</c:v>
                </c:pt>
                <c:pt idx="10">
                  <c:v>30-Jan</c:v>
                </c:pt>
                <c:pt idx="11">
                  <c:v>31-Jan</c:v>
                </c:pt>
                <c:pt idx="12">
                  <c:v>1-Feb</c:v>
                </c:pt>
                <c:pt idx="13">
                  <c:v>2-Feb</c:v>
                </c:pt>
                <c:pt idx="14">
                  <c:v>3-Feb</c:v>
                </c:pt>
                <c:pt idx="15">
                  <c:v>4-Feb</c:v>
                </c:pt>
                <c:pt idx="16">
                  <c:v>5-Feb</c:v>
                </c:pt>
                <c:pt idx="17">
                  <c:v>6-Feb</c:v>
                </c:pt>
                <c:pt idx="18">
                  <c:v>7-Feb</c:v>
                </c:pt>
                <c:pt idx="19">
                  <c:v>8-Feb</c:v>
                </c:pt>
                <c:pt idx="20">
                  <c:v>9-Feb</c:v>
                </c:pt>
                <c:pt idx="21">
                  <c:v>10-Feb</c:v>
                </c:pt>
                <c:pt idx="22">
                  <c:v>11-Feb</c:v>
                </c:pt>
                <c:pt idx="23">
                  <c:v>12-Feb</c:v>
                </c:pt>
                <c:pt idx="24">
                  <c:v>13-Feb</c:v>
                </c:pt>
                <c:pt idx="25">
                  <c:v>14-Feb</c:v>
                </c:pt>
                <c:pt idx="26">
                  <c:v>15-Feb</c:v>
                </c:pt>
                <c:pt idx="27">
                  <c:v>16-Feb</c:v>
                </c:pt>
                <c:pt idx="28">
                  <c:v>17-Feb</c:v>
                </c:pt>
                <c:pt idx="29">
                  <c:v>18-Feb</c:v>
                </c:pt>
                <c:pt idx="30">
                  <c:v>19-Feb</c:v>
                </c:pt>
                <c:pt idx="31">
                  <c:v>20-Feb</c:v>
                </c:pt>
                <c:pt idx="32">
                  <c:v>21-Feb</c:v>
                </c:pt>
                <c:pt idx="33">
                  <c:v>22-Feb</c:v>
                </c:pt>
                <c:pt idx="34">
                  <c:v>23-Feb</c:v>
                </c:pt>
                <c:pt idx="35">
                  <c:v>24-Feb</c:v>
                </c:pt>
                <c:pt idx="36">
                  <c:v>25-Feb</c:v>
                </c:pt>
                <c:pt idx="37">
                  <c:v>26-Feb</c:v>
                </c:pt>
                <c:pt idx="38">
                  <c:v>27-Feb</c:v>
                </c:pt>
                <c:pt idx="39">
                  <c:v>28-Feb</c:v>
                </c:pt>
                <c:pt idx="40">
                  <c:v>29-Feb</c:v>
                </c:pt>
                <c:pt idx="41">
                  <c:v>1-Mar</c:v>
                </c:pt>
                <c:pt idx="42">
                  <c:v>2-Mar</c:v>
                </c:pt>
                <c:pt idx="43">
                  <c:v>3-Mar</c:v>
                </c:pt>
                <c:pt idx="44">
                  <c:v>4-Mar</c:v>
                </c:pt>
                <c:pt idx="45">
                  <c:v>5-Mar</c:v>
                </c:pt>
                <c:pt idx="46">
                  <c:v>6-Mar</c:v>
                </c:pt>
                <c:pt idx="47">
                  <c:v>7-Mar</c:v>
                </c:pt>
                <c:pt idx="48">
                  <c:v>8-Mar</c:v>
                </c:pt>
                <c:pt idx="49">
                  <c:v>9-Mar</c:v>
                </c:pt>
                <c:pt idx="50">
                  <c:v>10-Mar</c:v>
                </c:pt>
                <c:pt idx="51">
                  <c:v>11-Mar</c:v>
                </c:pt>
                <c:pt idx="52">
                  <c:v>12-Mar</c:v>
                </c:pt>
                <c:pt idx="53">
                  <c:v>13-Mar</c:v>
                </c:pt>
                <c:pt idx="54">
                  <c:v>14-Mar</c:v>
                </c:pt>
                <c:pt idx="55">
                  <c:v>15-Mar</c:v>
                </c:pt>
                <c:pt idx="56">
                  <c:v>16-Mar</c:v>
                </c:pt>
                <c:pt idx="57">
                  <c:v>17-Mar</c:v>
                </c:pt>
                <c:pt idx="58">
                  <c:v>18-Mar</c:v>
                </c:pt>
                <c:pt idx="59">
                  <c:v>19-Mar</c:v>
                </c:pt>
                <c:pt idx="60">
                  <c:v>20-Mar</c:v>
                </c:pt>
                <c:pt idx="61">
                  <c:v>21-Mar</c:v>
                </c:pt>
                <c:pt idx="62">
                  <c:v>22-Mar</c:v>
                </c:pt>
                <c:pt idx="63">
                  <c:v>23-Mar</c:v>
                </c:pt>
                <c:pt idx="64">
                  <c:v>24-Mar</c:v>
                </c:pt>
                <c:pt idx="65">
                  <c:v>25-Mar</c:v>
                </c:pt>
                <c:pt idx="67">
                  <c:v>11-Jun</c:v>
                </c:pt>
                <c:pt idx="68">
                  <c:v>12-Jun</c:v>
                </c:pt>
                <c:pt idx="69">
                  <c:v>13-Jun</c:v>
                </c:pt>
                <c:pt idx="70">
                  <c:v>14-Jun</c:v>
                </c:pt>
                <c:pt idx="71">
                  <c:v>15-Jun</c:v>
                </c:pt>
                <c:pt idx="72">
                  <c:v>16-Jun</c:v>
                </c:pt>
                <c:pt idx="73">
                  <c:v>17-Jun</c:v>
                </c:pt>
                <c:pt idx="74">
                  <c:v>18-Jun</c:v>
                </c:pt>
                <c:pt idx="75">
                  <c:v>19-Jun</c:v>
                </c:pt>
                <c:pt idx="76">
                  <c:v>20-Jun</c:v>
                </c:pt>
                <c:pt idx="77">
                  <c:v>21-Jun</c:v>
                </c:pt>
                <c:pt idx="78">
                  <c:v>22-Jun</c:v>
                </c:pt>
                <c:pt idx="79">
                  <c:v>23-Jun</c:v>
                </c:pt>
                <c:pt idx="80">
                  <c:v>24-Jun</c:v>
                </c:pt>
                <c:pt idx="81">
                  <c:v>25-Jun</c:v>
                </c:pt>
                <c:pt idx="82">
                  <c:v>26-Jun</c:v>
                </c:pt>
                <c:pt idx="83">
                  <c:v>27-Jun</c:v>
                </c:pt>
                <c:pt idx="84">
                  <c:v>28-Jun</c:v>
                </c:pt>
                <c:pt idx="85">
                  <c:v>29-Jun</c:v>
                </c:pt>
                <c:pt idx="86">
                  <c:v>30-Jun</c:v>
                </c:pt>
                <c:pt idx="87">
                  <c:v>1-Jul</c:v>
                </c:pt>
                <c:pt idx="88">
                  <c:v>2-Jul</c:v>
                </c:pt>
                <c:pt idx="89">
                  <c:v>3-Jul</c:v>
                </c:pt>
                <c:pt idx="90">
                  <c:v>4-Jul</c:v>
                </c:pt>
                <c:pt idx="91">
                  <c:v>5-Jul</c:v>
                </c:pt>
                <c:pt idx="92">
                  <c:v>6-Jul</c:v>
                </c:pt>
                <c:pt idx="93">
                  <c:v>7-Jul</c:v>
                </c:pt>
                <c:pt idx="94">
                  <c:v>8-Jul</c:v>
                </c:pt>
                <c:pt idx="95">
                  <c:v>9-Jul</c:v>
                </c:pt>
                <c:pt idx="96">
                  <c:v>10-Jul</c:v>
                </c:pt>
                <c:pt idx="97">
                  <c:v>11-Jul</c:v>
                </c:pt>
                <c:pt idx="98">
                  <c:v>12-Jul</c:v>
                </c:pt>
                <c:pt idx="99">
                  <c:v>13-Jul</c:v>
                </c:pt>
                <c:pt idx="100">
                  <c:v>14-Jul</c:v>
                </c:pt>
                <c:pt idx="101">
                  <c:v>15-Jul</c:v>
                </c:pt>
                <c:pt idx="102">
                  <c:v>16-Jul</c:v>
                </c:pt>
                <c:pt idx="103">
                  <c:v>17-Jul</c:v>
                </c:pt>
                <c:pt idx="104">
                  <c:v>18-Jul</c:v>
                </c:pt>
                <c:pt idx="105">
                  <c:v>19-Jul</c:v>
                </c:pt>
                <c:pt idx="106">
                  <c:v>20-Jul</c:v>
                </c:pt>
                <c:pt idx="107">
                  <c:v>21-Jul</c:v>
                </c:pt>
                <c:pt idx="108">
                  <c:v>22-Jul</c:v>
                </c:pt>
                <c:pt idx="109">
                  <c:v>23-Jul</c:v>
                </c:pt>
                <c:pt idx="110">
                  <c:v>24-Jul</c:v>
                </c:pt>
                <c:pt idx="111">
                  <c:v>25-Jul</c:v>
                </c:pt>
                <c:pt idx="112">
                  <c:v>26-Jul</c:v>
                </c:pt>
                <c:pt idx="113">
                  <c:v>27-Jul</c:v>
                </c:pt>
                <c:pt idx="114">
                  <c:v>28-Jul</c:v>
                </c:pt>
                <c:pt idx="115">
                  <c:v>29-Jul</c:v>
                </c:pt>
                <c:pt idx="116">
                  <c:v>30-Jul</c:v>
                </c:pt>
                <c:pt idx="117">
                  <c:v>31-Jul</c:v>
                </c:pt>
                <c:pt idx="118">
                  <c:v>1-Aug</c:v>
                </c:pt>
                <c:pt idx="119">
                  <c:v>2-Aug</c:v>
                </c:pt>
                <c:pt idx="120">
                  <c:v>3-Aug</c:v>
                </c:pt>
                <c:pt idx="121">
                  <c:v>4-Aug</c:v>
                </c:pt>
                <c:pt idx="122">
                  <c:v>5-Aug</c:v>
                </c:pt>
                <c:pt idx="123">
                  <c:v>6-Aug</c:v>
                </c:pt>
                <c:pt idx="124">
                  <c:v>7-Aug</c:v>
                </c:pt>
                <c:pt idx="125">
                  <c:v>8-Aug</c:v>
                </c:pt>
                <c:pt idx="126">
                  <c:v>9-Aug</c:v>
                </c:pt>
                <c:pt idx="127">
                  <c:v>10-Aug</c:v>
                </c:pt>
                <c:pt idx="128">
                  <c:v>11-Aug</c:v>
                </c:pt>
                <c:pt idx="129">
                  <c:v>12-Aug</c:v>
                </c:pt>
                <c:pt idx="130">
                  <c:v>13-Aug</c:v>
                </c:pt>
                <c:pt idx="131">
                  <c:v>14-Aug</c:v>
                </c:pt>
                <c:pt idx="132">
                  <c:v>15-Aug</c:v>
                </c:pt>
                <c:pt idx="133">
                  <c:v>16-Aug</c:v>
                </c:pt>
                <c:pt idx="134">
                  <c:v>17-Aug</c:v>
                </c:pt>
                <c:pt idx="135">
                  <c:v>18-Aug</c:v>
                </c:pt>
                <c:pt idx="136">
                  <c:v>19-Aug</c:v>
                </c:pt>
                <c:pt idx="137">
                  <c:v>20-Aug</c:v>
                </c:pt>
                <c:pt idx="138">
                  <c:v>21-Aug</c:v>
                </c:pt>
                <c:pt idx="139">
                  <c:v>22-Aug</c:v>
                </c:pt>
                <c:pt idx="140">
                  <c:v>23-Aug</c:v>
                </c:pt>
                <c:pt idx="141">
                  <c:v>24-Aug</c:v>
                </c:pt>
                <c:pt idx="142">
                  <c:v>25-Aug</c:v>
                </c:pt>
                <c:pt idx="143">
                  <c:v>26-Aug</c:v>
                </c:pt>
                <c:pt idx="144">
                  <c:v>27-Aug</c:v>
                </c:pt>
                <c:pt idx="145">
                  <c:v>28-Aug</c:v>
                </c:pt>
                <c:pt idx="146">
                  <c:v>29-Aug</c:v>
                </c:pt>
                <c:pt idx="147">
                  <c:v>30-Aug</c:v>
                </c:pt>
                <c:pt idx="148">
                  <c:v>31-Aug</c:v>
                </c:pt>
                <c:pt idx="149">
                  <c:v>1-Sep</c:v>
                </c:pt>
                <c:pt idx="150">
                  <c:v>2-Sep</c:v>
                </c:pt>
                <c:pt idx="151">
                  <c:v>3-Sep</c:v>
                </c:pt>
                <c:pt idx="152">
                  <c:v>4-Sep</c:v>
                </c:pt>
                <c:pt idx="153">
                  <c:v>5-Sep</c:v>
                </c:pt>
                <c:pt idx="154">
                  <c:v>6-Sep</c:v>
                </c:pt>
                <c:pt idx="155">
                  <c:v>7-Sep</c:v>
                </c:pt>
                <c:pt idx="156">
                  <c:v>8-Sep</c:v>
                </c:pt>
                <c:pt idx="157">
                  <c:v>9-Sep</c:v>
                </c:pt>
                <c:pt idx="158">
                  <c:v>10-Sep</c:v>
                </c:pt>
                <c:pt idx="159">
                  <c:v>11-Sep</c:v>
                </c:pt>
                <c:pt idx="160">
                  <c:v>12-Sep</c:v>
                </c:pt>
                <c:pt idx="161">
                  <c:v>13-Sep</c:v>
                </c:pt>
                <c:pt idx="162">
                  <c:v>14-Sep</c:v>
                </c:pt>
                <c:pt idx="163">
                  <c:v>15-Sep</c:v>
                </c:pt>
                <c:pt idx="164">
                  <c:v>16-Sep</c:v>
                </c:pt>
                <c:pt idx="165">
                  <c:v>17-Sep</c:v>
                </c:pt>
                <c:pt idx="166">
                  <c:v>18-Sep</c:v>
                </c:pt>
                <c:pt idx="167">
                  <c:v>19-Sep</c:v>
                </c:pt>
                <c:pt idx="168">
                  <c:v>20-Sep</c:v>
                </c:pt>
                <c:pt idx="169">
                  <c:v>21-Sep</c:v>
                </c:pt>
                <c:pt idx="170">
                  <c:v>22-Sep</c:v>
                </c:pt>
                <c:pt idx="171">
                  <c:v>23-Sep</c:v>
                </c:pt>
                <c:pt idx="172">
                  <c:v>24-Sep</c:v>
                </c:pt>
                <c:pt idx="173">
                  <c:v>25-Sep</c:v>
                </c:pt>
                <c:pt idx="174">
                  <c:v>26-Sep</c:v>
                </c:pt>
                <c:pt idx="175">
                  <c:v>27-Sep</c:v>
                </c:pt>
                <c:pt idx="176">
                  <c:v>28-Sep</c:v>
                </c:pt>
                <c:pt idx="177">
                  <c:v>29-Sep</c:v>
                </c:pt>
                <c:pt idx="178">
                  <c:v>30-Sep</c:v>
                </c:pt>
                <c:pt idx="179">
                  <c:v>1-Oct</c:v>
                </c:pt>
                <c:pt idx="180">
                  <c:v>2-Oct</c:v>
                </c:pt>
                <c:pt idx="181">
                  <c:v>3-Oct</c:v>
                </c:pt>
                <c:pt idx="182">
                  <c:v>4-Oct</c:v>
                </c:pt>
                <c:pt idx="183">
                  <c:v>5-Oct</c:v>
                </c:pt>
                <c:pt idx="184">
                  <c:v>6-Oct</c:v>
                </c:pt>
                <c:pt idx="185">
                  <c:v>7-Oct</c:v>
                </c:pt>
                <c:pt idx="186">
                  <c:v>8-Oct</c:v>
                </c:pt>
                <c:pt idx="187">
                  <c:v>9-Oct</c:v>
                </c:pt>
                <c:pt idx="188">
                  <c:v>10-Oct</c:v>
                </c:pt>
                <c:pt idx="189">
                  <c:v>11-Oct</c:v>
                </c:pt>
                <c:pt idx="190">
                  <c:v>12-Oct</c:v>
                </c:pt>
                <c:pt idx="191">
                  <c:v>13-Oct</c:v>
                </c:pt>
                <c:pt idx="192">
                  <c:v>14-Oct</c:v>
                </c:pt>
                <c:pt idx="193">
                  <c:v>15-Oct</c:v>
                </c:pt>
                <c:pt idx="194">
                  <c:v>16-Oct</c:v>
                </c:pt>
                <c:pt idx="195">
                  <c:v>17-Oct</c:v>
                </c:pt>
                <c:pt idx="196">
                  <c:v>18-Oct</c:v>
                </c:pt>
                <c:pt idx="197">
                  <c:v>19-Oct</c:v>
                </c:pt>
                <c:pt idx="198">
                  <c:v>20-Oct</c:v>
                </c:pt>
                <c:pt idx="199">
                  <c:v>21-Oct</c:v>
                </c:pt>
                <c:pt idx="200">
                  <c:v>22-Oct</c:v>
                </c:pt>
                <c:pt idx="201">
                  <c:v>23-Oct</c:v>
                </c:pt>
                <c:pt idx="202">
                  <c:v>24-Oct</c:v>
                </c:pt>
                <c:pt idx="203">
                  <c:v>25-Oct</c:v>
                </c:pt>
                <c:pt idx="204">
                  <c:v>26-Oct</c:v>
                </c:pt>
                <c:pt idx="205">
                  <c:v>27-Oct</c:v>
                </c:pt>
                <c:pt idx="206">
                  <c:v>28-Oct</c:v>
                </c:pt>
                <c:pt idx="207">
                  <c:v>29-Oct</c:v>
                </c:pt>
                <c:pt idx="208">
                  <c:v>30-Oct</c:v>
                </c:pt>
                <c:pt idx="209">
                  <c:v>31-Oct</c:v>
                </c:pt>
                <c:pt idx="210">
                  <c:v>1-Nov</c:v>
                </c:pt>
                <c:pt idx="211">
                  <c:v>2-Nov</c:v>
                </c:pt>
              </c:strCache>
            </c:strRef>
          </c:cat>
          <c:val>
            <c:numRef>
              <c:f>'no reallocation data'!$B$2:$B$211</c:f>
              <c:numCache>
                <c:formatCode>General</c:formatCode>
                <c:ptCount val="21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numCache>
            </c:numRef>
          </c:val>
          <c:smooth val="0"/>
        </c:ser>
        <c:ser>
          <c:idx val="1"/>
          <c:order val="1"/>
          <c:tx>
            <c:strRef>
              <c:f>'no reallocation data'!$C$1</c:f>
              <c:strCache>
                <c:ptCount val="1"/>
                <c:pt idx="0">
                  <c:v>2001</c:v>
                </c:pt>
              </c:strCache>
            </c:strRef>
          </c:tx>
          <c:spPr>
            <a:ln w="38100">
              <a:solidFill>
                <a:srgbClr val="FCF305"/>
              </a:solidFill>
              <a:prstDash val="solid"/>
            </a:ln>
          </c:spPr>
          <c:marker>
            <c:symbol val="none"/>
          </c:marker>
          <c:cat>
            <c:strRef>
              <c:f>'q=1.33p+0.33 data'!$A$2:$A$213</c:f>
              <c:strCache>
                <c:ptCount val="212"/>
                <c:pt idx="0">
                  <c:v>20-Jan</c:v>
                </c:pt>
                <c:pt idx="1">
                  <c:v>21-Jan</c:v>
                </c:pt>
                <c:pt idx="2">
                  <c:v>22-Jan</c:v>
                </c:pt>
                <c:pt idx="3">
                  <c:v>23-Jan</c:v>
                </c:pt>
                <c:pt idx="4">
                  <c:v>24-Jan</c:v>
                </c:pt>
                <c:pt idx="5">
                  <c:v>25-Jan</c:v>
                </c:pt>
                <c:pt idx="6">
                  <c:v>26-Jan</c:v>
                </c:pt>
                <c:pt idx="7">
                  <c:v>27-Jan</c:v>
                </c:pt>
                <c:pt idx="8">
                  <c:v>28-Jan</c:v>
                </c:pt>
                <c:pt idx="9">
                  <c:v>29-Jan</c:v>
                </c:pt>
                <c:pt idx="10">
                  <c:v>30-Jan</c:v>
                </c:pt>
                <c:pt idx="11">
                  <c:v>31-Jan</c:v>
                </c:pt>
                <c:pt idx="12">
                  <c:v>1-Feb</c:v>
                </c:pt>
                <c:pt idx="13">
                  <c:v>2-Feb</c:v>
                </c:pt>
                <c:pt idx="14">
                  <c:v>3-Feb</c:v>
                </c:pt>
                <c:pt idx="15">
                  <c:v>4-Feb</c:v>
                </c:pt>
                <c:pt idx="16">
                  <c:v>5-Feb</c:v>
                </c:pt>
                <c:pt idx="17">
                  <c:v>6-Feb</c:v>
                </c:pt>
                <c:pt idx="18">
                  <c:v>7-Feb</c:v>
                </c:pt>
                <c:pt idx="19">
                  <c:v>8-Feb</c:v>
                </c:pt>
                <c:pt idx="20">
                  <c:v>9-Feb</c:v>
                </c:pt>
                <c:pt idx="21">
                  <c:v>10-Feb</c:v>
                </c:pt>
                <c:pt idx="22">
                  <c:v>11-Feb</c:v>
                </c:pt>
                <c:pt idx="23">
                  <c:v>12-Feb</c:v>
                </c:pt>
                <c:pt idx="24">
                  <c:v>13-Feb</c:v>
                </c:pt>
                <c:pt idx="25">
                  <c:v>14-Feb</c:v>
                </c:pt>
                <c:pt idx="26">
                  <c:v>15-Feb</c:v>
                </c:pt>
                <c:pt idx="27">
                  <c:v>16-Feb</c:v>
                </c:pt>
                <c:pt idx="28">
                  <c:v>17-Feb</c:v>
                </c:pt>
                <c:pt idx="29">
                  <c:v>18-Feb</c:v>
                </c:pt>
                <c:pt idx="30">
                  <c:v>19-Feb</c:v>
                </c:pt>
                <c:pt idx="31">
                  <c:v>20-Feb</c:v>
                </c:pt>
                <c:pt idx="32">
                  <c:v>21-Feb</c:v>
                </c:pt>
                <c:pt idx="33">
                  <c:v>22-Feb</c:v>
                </c:pt>
                <c:pt idx="34">
                  <c:v>23-Feb</c:v>
                </c:pt>
                <c:pt idx="35">
                  <c:v>24-Feb</c:v>
                </c:pt>
                <c:pt idx="36">
                  <c:v>25-Feb</c:v>
                </c:pt>
                <c:pt idx="37">
                  <c:v>26-Feb</c:v>
                </c:pt>
                <c:pt idx="38">
                  <c:v>27-Feb</c:v>
                </c:pt>
                <c:pt idx="39">
                  <c:v>28-Feb</c:v>
                </c:pt>
                <c:pt idx="40">
                  <c:v>29-Feb</c:v>
                </c:pt>
                <c:pt idx="41">
                  <c:v>1-Mar</c:v>
                </c:pt>
                <c:pt idx="42">
                  <c:v>2-Mar</c:v>
                </c:pt>
                <c:pt idx="43">
                  <c:v>3-Mar</c:v>
                </c:pt>
                <c:pt idx="44">
                  <c:v>4-Mar</c:v>
                </c:pt>
                <c:pt idx="45">
                  <c:v>5-Mar</c:v>
                </c:pt>
                <c:pt idx="46">
                  <c:v>6-Mar</c:v>
                </c:pt>
                <c:pt idx="47">
                  <c:v>7-Mar</c:v>
                </c:pt>
                <c:pt idx="48">
                  <c:v>8-Mar</c:v>
                </c:pt>
                <c:pt idx="49">
                  <c:v>9-Mar</c:v>
                </c:pt>
                <c:pt idx="50">
                  <c:v>10-Mar</c:v>
                </c:pt>
                <c:pt idx="51">
                  <c:v>11-Mar</c:v>
                </c:pt>
                <c:pt idx="52">
                  <c:v>12-Mar</c:v>
                </c:pt>
                <c:pt idx="53">
                  <c:v>13-Mar</c:v>
                </c:pt>
                <c:pt idx="54">
                  <c:v>14-Mar</c:v>
                </c:pt>
                <c:pt idx="55">
                  <c:v>15-Mar</c:v>
                </c:pt>
                <c:pt idx="56">
                  <c:v>16-Mar</c:v>
                </c:pt>
                <c:pt idx="57">
                  <c:v>17-Mar</c:v>
                </c:pt>
                <c:pt idx="58">
                  <c:v>18-Mar</c:v>
                </c:pt>
                <c:pt idx="59">
                  <c:v>19-Mar</c:v>
                </c:pt>
                <c:pt idx="60">
                  <c:v>20-Mar</c:v>
                </c:pt>
                <c:pt idx="61">
                  <c:v>21-Mar</c:v>
                </c:pt>
                <c:pt idx="62">
                  <c:v>22-Mar</c:v>
                </c:pt>
                <c:pt idx="63">
                  <c:v>23-Mar</c:v>
                </c:pt>
                <c:pt idx="64">
                  <c:v>24-Mar</c:v>
                </c:pt>
                <c:pt idx="65">
                  <c:v>25-Mar</c:v>
                </c:pt>
                <c:pt idx="67">
                  <c:v>11-Jun</c:v>
                </c:pt>
                <c:pt idx="68">
                  <c:v>12-Jun</c:v>
                </c:pt>
                <c:pt idx="69">
                  <c:v>13-Jun</c:v>
                </c:pt>
                <c:pt idx="70">
                  <c:v>14-Jun</c:v>
                </c:pt>
                <c:pt idx="71">
                  <c:v>15-Jun</c:v>
                </c:pt>
                <c:pt idx="72">
                  <c:v>16-Jun</c:v>
                </c:pt>
                <c:pt idx="73">
                  <c:v>17-Jun</c:v>
                </c:pt>
                <c:pt idx="74">
                  <c:v>18-Jun</c:v>
                </c:pt>
                <c:pt idx="75">
                  <c:v>19-Jun</c:v>
                </c:pt>
                <c:pt idx="76">
                  <c:v>20-Jun</c:v>
                </c:pt>
                <c:pt idx="77">
                  <c:v>21-Jun</c:v>
                </c:pt>
                <c:pt idx="78">
                  <c:v>22-Jun</c:v>
                </c:pt>
                <c:pt idx="79">
                  <c:v>23-Jun</c:v>
                </c:pt>
                <c:pt idx="80">
                  <c:v>24-Jun</c:v>
                </c:pt>
                <c:pt idx="81">
                  <c:v>25-Jun</c:v>
                </c:pt>
                <c:pt idx="82">
                  <c:v>26-Jun</c:v>
                </c:pt>
                <c:pt idx="83">
                  <c:v>27-Jun</c:v>
                </c:pt>
                <c:pt idx="84">
                  <c:v>28-Jun</c:v>
                </c:pt>
                <c:pt idx="85">
                  <c:v>29-Jun</c:v>
                </c:pt>
                <c:pt idx="86">
                  <c:v>30-Jun</c:v>
                </c:pt>
                <c:pt idx="87">
                  <c:v>1-Jul</c:v>
                </c:pt>
                <c:pt idx="88">
                  <c:v>2-Jul</c:v>
                </c:pt>
                <c:pt idx="89">
                  <c:v>3-Jul</c:v>
                </c:pt>
                <c:pt idx="90">
                  <c:v>4-Jul</c:v>
                </c:pt>
                <c:pt idx="91">
                  <c:v>5-Jul</c:v>
                </c:pt>
                <c:pt idx="92">
                  <c:v>6-Jul</c:v>
                </c:pt>
                <c:pt idx="93">
                  <c:v>7-Jul</c:v>
                </c:pt>
                <c:pt idx="94">
                  <c:v>8-Jul</c:v>
                </c:pt>
                <c:pt idx="95">
                  <c:v>9-Jul</c:v>
                </c:pt>
                <c:pt idx="96">
                  <c:v>10-Jul</c:v>
                </c:pt>
                <c:pt idx="97">
                  <c:v>11-Jul</c:v>
                </c:pt>
                <c:pt idx="98">
                  <c:v>12-Jul</c:v>
                </c:pt>
                <c:pt idx="99">
                  <c:v>13-Jul</c:v>
                </c:pt>
                <c:pt idx="100">
                  <c:v>14-Jul</c:v>
                </c:pt>
                <c:pt idx="101">
                  <c:v>15-Jul</c:v>
                </c:pt>
                <c:pt idx="102">
                  <c:v>16-Jul</c:v>
                </c:pt>
                <c:pt idx="103">
                  <c:v>17-Jul</c:v>
                </c:pt>
                <c:pt idx="104">
                  <c:v>18-Jul</c:v>
                </c:pt>
                <c:pt idx="105">
                  <c:v>19-Jul</c:v>
                </c:pt>
                <c:pt idx="106">
                  <c:v>20-Jul</c:v>
                </c:pt>
                <c:pt idx="107">
                  <c:v>21-Jul</c:v>
                </c:pt>
                <c:pt idx="108">
                  <c:v>22-Jul</c:v>
                </c:pt>
                <c:pt idx="109">
                  <c:v>23-Jul</c:v>
                </c:pt>
                <c:pt idx="110">
                  <c:v>24-Jul</c:v>
                </c:pt>
                <c:pt idx="111">
                  <c:v>25-Jul</c:v>
                </c:pt>
                <c:pt idx="112">
                  <c:v>26-Jul</c:v>
                </c:pt>
                <c:pt idx="113">
                  <c:v>27-Jul</c:v>
                </c:pt>
                <c:pt idx="114">
                  <c:v>28-Jul</c:v>
                </c:pt>
                <c:pt idx="115">
                  <c:v>29-Jul</c:v>
                </c:pt>
                <c:pt idx="116">
                  <c:v>30-Jul</c:v>
                </c:pt>
                <c:pt idx="117">
                  <c:v>31-Jul</c:v>
                </c:pt>
                <c:pt idx="118">
                  <c:v>1-Aug</c:v>
                </c:pt>
                <c:pt idx="119">
                  <c:v>2-Aug</c:v>
                </c:pt>
                <c:pt idx="120">
                  <c:v>3-Aug</c:v>
                </c:pt>
                <c:pt idx="121">
                  <c:v>4-Aug</c:v>
                </c:pt>
                <c:pt idx="122">
                  <c:v>5-Aug</c:v>
                </c:pt>
                <c:pt idx="123">
                  <c:v>6-Aug</c:v>
                </c:pt>
                <c:pt idx="124">
                  <c:v>7-Aug</c:v>
                </c:pt>
                <c:pt idx="125">
                  <c:v>8-Aug</c:v>
                </c:pt>
                <c:pt idx="126">
                  <c:v>9-Aug</c:v>
                </c:pt>
                <c:pt idx="127">
                  <c:v>10-Aug</c:v>
                </c:pt>
                <c:pt idx="128">
                  <c:v>11-Aug</c:v>
                </c:pt>
                <c:pt idx="129">
                  <c:v>12-Aug</c:v>
                </c:pt>
                <c:pt idx="130">
                  <c:v>13-Aug</c:v>
                </c:pt>
                <c:pt idx="131">
                  <c:v>14-Aug</c:v>
                </c:pt>
                <c:pt idx="132">
                  <c:v>15-Aug</c:v>
                </c:pt>
                <c:pt idx="133">
                  <c:v>16-Aug</c:v>
                </c:pt>
                <c:pt idx="134">
                  <c:v>17-Aug</c:v>
                </c:pt>
                <c:pt idx="135">
                  <c:v>18-Aug</c:v>
                </c:pt>
                <c:pt idx="136">
                  <c:v>19-Aug</c:v>
                </c:pt>
                <c:pt idx="137">
                  <c:v>20-Aug</c:v>
                </c:pt>
                <c:pt idx="138">
                  <c:v>21-Aug</c:v>
                </c:pt>
                <c:pt idx="139">
                  <c:v>22-Aug</c:v>
                </c:pt>
                <c:pt idx="140">
                  <c:v>23-Aug</c:v>
                </c:pt>
                <c:pt idx="141">
                  <c:v>24-Aug</c:v>
                </c:pt>
                <c:pt idx="142">
                  <c:v>25-Aug</c:v>
                </c:pt>
                <c:pt idx="143">
                  <c:v>26-Aug</c:v>
                </c:pt>
                <c:pt idx="144">
                  <c:v>27-Aug</c:v>
                </c:pt>
                <c:pt idx="145">
                  <c:v>28-Aug</c:v>
                </c:pt>
                <c:pt idx="146">
                  <c:v>29-Aug</c:v>
                </c:pt>
                <c:pt idx="147">
                  <c:v>30-Aug</c:v>
                </c:pt>
                <c:pt idx="148">
                  <c:v>31-Aug</c:v>
                </c:pt>
                <c:pt idx="149">
                  <c:v>1-Sep</c:v>
                </c:pt>
                <c:pt idx="150">
                  <c:v>2-Sep</c:v>
                </c:pt>
                <c:pt idx="151">
                  <c:v>3-Sep</c:v>
                </c:pt>
                <c:pt idx="152">
                  <c:v>4-Sep</c:v>
                </c:pt>
                <c:pt idx="153">
                  <c:v>5-Sep</c:v>
                </c:pt>
                <c:pt idx="154">
                  <c:v>6-Sep</c:v>
                </c:pt>
                <c:pt idx="155">
                  <c:v>7-Sep</c:v>
                </c:pt>
                <c:pt idx="156">
                  <c:v>8-Sep</c:v>
                </c:pt>
                <c:pt idx="157">
                  <c:v>9-Sep</c:v>
                </c:pt>
                <c:pt idx="158">
                  <c:v>10-Sep</c:v>
                </c:pt>
                <c:pt idx="159">
                  <c:v>11-Sep</c:v>
                </c:pt>
                <c:pt idx="160">
                  <c:v>12-Sep</c:v>
                </c:pt>
                <c:pt idx="161">
                  <c:v>13-Sep</c:v>
                </c:pt>
                <c:pt idx="162">
                  <c:v>14-Sep</c:v>
                </c:pt>
                <c:pt idx="163">
                  <c:v>15-Sep</c:v>
                </c:pt>
                <c:pt idx="164">
                  <c:v>16-Sep</c:v>
                </c:pt>
                <c:pt idx="165">
                  <c:v>17-Sep</c:v>
                </c:pt>
                <c:pt idx="166">
                  <c:v>18-Sep</c:v>
                </c:pt>
                <c:pt idx="167">
                  <c:v>19-Sep</c:v>
                </c:pt>
                <c:pt idx="168">
                  <c:v>20-Sep</c:v>
                </c:pt>
                <c:pt idx="169">
                  <c:v>21-Sep</c:v>
                </c:pt>
                <c:pt idx="170">
                  <c:v>22-Sep</c:v>
                </c:pt>
                <c:pt idx="171">
                  <c:v>23-Sep</c:v>
                </c:pt>
                <c:pt idx="172">
                  <c:v>24-Sep</c:v>
                </c:pt>
                <c:pt idx="173">
                  <c:v>25-Sep</c:v>
                </c:pt>
                <c:pt idx="174">
                  <c:v>26-Sep</c:v>
                </c:pt>
                <c:pt idx="175">
                  <c:v>27-Sep</c:v>
                </c:pt>
                <c:pt idx="176">
                  <c:v>28-Sep</c:v>
                </c:pt>
                <c:pt idx="177">
                  <c:v>29-Sep</c:v>
                </c:pt>
                <c:pt idx="178">
                  <c:v>30-Sep</c:v>
                </c:pt>
                <c:pt idx="179">
                  <c:v>1-Oct</c:v>
                </c:pt>
                <c:pt idx="180">
                  <c:v>2-Oct</c:v>
                </c:pt>
                <c:pt idx="181">
                  <c:v>3-Oct</c:v>
                </c:pt>
                <c:pt idx="182">
                  <c:v>4-Oct</c:v>
                </c:pt>
                <c:pt idx="183">
                  <c:v>5-Oct</c:v>
                </c:pt>
                <c:pt idx="184">
                  <c:v>6-Oct</c:v>
                </c:pt>
                <c:pt idx="185">
                  <c:v>7-Oct</c:v>
                </c:pt>
                <c:pt idx="186">
                  <c:v>8-Oct</c:v>
                </c:pt>
                <c:pt idx="187">
                  <c:v>9-Oct</c:v>
                </c:pt>
                <c:pt idx="188">
                  <c:v>10-Oct</c:v>
                </c:pt>
                <c:pt idx="189">
                  <c:v>11-Oct</c:v>
                </c:pt>
                <c:pt idx="190">
                  <c:v>12-Oct</c:v>
                </c:pt>
                <c:pt idx="191">
                  <c:v>13-Oct</c:v>
                </c:pt>
                <c:pt idx="192">
                  <c:v>14-Oct</c:v>
                </c:pt>
                <c:pt idx="193">
                  <c:v>15-Oct</c:v>
                </c:pt>
                <c:pt idx="194">
                  <c:v>16-Oct</c:v>
                </c:pt>
                <c:pt idx="195">
                  <c:v>17-Oct</c:v>
                </c:pt>
                <c:pt idx="196">
                  <c:v>18-Oct</c:v>
                </c:pt>
                <c:pt idx="197">
                  <c:v>19-Oct</c:v>
                </c:pt>
                <c:pt idx="198">
                  <c:v>20-Oct</c:v>
                </c:pt>
                <c:pt idx="199">
                  <c:v>21-Oct</c:v>
                </c:pt>
                <c:pt idx="200">
                  <c:v>22-Oct</c:v>
                </c:pt>
                <c:pt idx="201">
                  <c:v>23-Oct</c:v>
                </c:pt>
                <c:pt idx="202">
                  <c:v>24-Oct</c:v>
                </c:pt>
                <c:pt idx="203">
                  <c:v>25-Oct</c:v>
                </c:pt>
                <c:pt idx="204">
                  <c:v>26-Oct</c:v>
                </c:pt>
                <c:pt idx="205">
                  <c:v>27-Oct</c:v>
                </c:pt>
                <c:pt idx="206">
                  <c:v>28-Oct</c:v>
                </c:pt>
                <c:pt idx="207">
                  <c:v>29-Oct</c:v>
                </c:pt>
                <c:pt idx="208">
                  <c:v>30-Oct</c:v>
                </c:pt>
                <c:pt idx="209">
                  <c:v>31-Oct</c:v>
                </c:pt>
                <c:pt idx="210">
                  <c:v>1-Nov</c:v>
                </c:pt>
                <c:pt idx="211">
                  <c:v>2-Nov</c:v>
                </c:pt>
              </c:strCache>
            </c:strRef>
          </c:cat>
          <c:val>
            <c:numRef>
              <c:f>'no reallocation data'!$C$2:$C$211</c:f>
              <c:numCache>
                <c:formatCode>General</c:formatCode>
                <c:ptCount val="21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0.0</c:v>
                </c:pt>
                <c:pt idx="184">
                  <c:v>0.0</c:v>
                </c:pt>
                <c:pt idx="185">
                  <c:v>0.0</c:v>
                </c:pt>
                <c:pt idx="186">
                  <c:v>0.0</c:v>
                </c:pt>
                <c:pt idx="187">
                  <c:v>0.0</c:v>
                </c:pt>
                <c:pt idx="188">
                  <c:v>0.0</c:v>
                </c:pt>
                <c:pt idx="189">
                  <c:v>0.0</c:v>
                </c:pt>
                <c:pt idx="190">
                  <c:v>0.0</c:v>
                </c:pt>
                <c:pt idx="191">
                  <c:v>0.0</c:v>
                </c:pt>
                <c:pt idx="192">
                  <c:v>0.0</c:v>
                </c:pt>
                <c:pt idx="193">
                  <c:v>0.0</c:v>
                </c:pt>
                <c:pt idx="194">
                  <c:v>0.0</c:v>
                </c:pt>
                <c:pt idx="195">
                  <c:v>0.0</c:v>
                </c:pt>
                <c:pt idx="196">
                  <c:v>0.0</c:v>
                </c:pt>
                <c:pt idx="197">
                  <c:v>0.0</c:v>
                </c:pt>
                <c:pt idx="198">
                  <c:v>0.0</c:v>
                </c:pt>
                <c:pt idx="199">
                  <c:v>0.0</c:v>
                </c:pt>
                <c:pt idx="200">
                  <c:v>0.0</c:v>
                </c:pt>
                <c:pt idx="201">
                  <c:v>0.0</c:v>
                </c:pt>
                <c:pt idx="202">
                  <c:v>0.0</c:v>
                </c:pt>
                <c:pt idx="203">
                  <c:v>0.0</c:v>
                </c:pt>
                <c:pt idx="204">
                  <c:v>0.0</c:v>
                </c:pt>
                <c:pt idx="205">
                  <c:v>0.0</c:v>
                </c:pt>
                <c:pt idx="206">
                  <c:v>0.0</c:v>
                </c:pt>
                <c:pt idx="207">
                  <c:v>0.0</c:v>
                </c:pt>
                <c:pt idx="208">
                  <c:v>0.0</c:v>
                </c:pt>
                <c:pt idx="209">
                  <c:v>0.0</c:v>
                </c:pt>
              </c:numCache>
            </c:numRef>
          </c:val>
          <c:smooth val="0"/>
        </c:ser>
        <c:ser>
          <c:idx val="2"/>
          <c:order val="2"/>
          <c:tx>
            <c:strRef>
              <c:f>'no reallocation data'!$D$1</c:f>
              <c:strCache>
                <c:ptCount val="1"/>
                <c:pt idx="0">
                  <c:v>2002</c:v>
                </c:pt>
              </c:strCache>
            </c:strRef>
          </c:tx>
          <c:spPr>
            <a:ln w="25400">
              <a:solidFill>
                <a:srgbClr val="90713A"/>
              </a:solidFill>
              <a:prstDash val="solid"/>
            </a:ln>
          </c:spPr>
          <c:marker>
            <c:symbol val="none"/>
          </c:marker>
          <c:cat>
            <c:strRef>
              <c:f>'q=1.33p+0.33 data'!$A$2:$A$213</c:f>
              <c:strCache>
                <c:ptCount val="212"/>
                <c:pt idx="0">
                  <c:v>20-Jan</c:v>
                </c:pt>
                <c:pt idx="1">
                  <c:v>21-Jan</c:v>
                </c:pt>
                <c:pt idx="2">
                  <c:v>22-Jan</c:v>
                </c:pt>
                <c:pt idx="3">
                  <c:v>23-Jan</c:v>
                </c:pt>
                <c:pt idx="4">
                  <c:v>24-Jan</c:v>
                </c:pt>
                <c:pt idx="5">
                  <c:v>25-Jan</c:v>
                </c:pt>
                <c:pt idx="6">
                  <c:v>26-Jan</c:v>
                </c:pt>
                <c:pt idx="7">
                  <c:v>27-Jan</c:v>
                </c:pt>
                <c:pt idx="8">
                  <c:v>28-Jan</c:v>
                </c:pt>
                <c:pt idx="9">
                  <c:v>29-Jan</c:v>
                </c:pt>
                <c:pt idx="10">
                  <c:v>30-Jan</c:v>
                </c:pt>
                <c:pt idx="11">
                  <c:v>31-Jan</c:v>
                </c:pt>
                <c:pt idx="12">
                  <c:v>1-Feb</c:v>
                </c:pt>
                <c:pt idx="13">
                  <c:v>2-Feb</c:v>
                </c:pt>
                <c:pt idx="14">
                  <c:v>3-Feb</c:v>
                </c:pt>
                <c:pt idx="15">
                  <c:v>4-Feb</c:v>
                </c:pt>
                <c:pt idx="16">
                  <c:v>5-Feb</c:v>
                </c:pt>
                <c:pt idx="17">
                  <c:v>6-Feb</c:v>
                </c:pt>
                <c:pt idx="18">
                  <c:v>7-Feb</c:v>
                </c:pt>
                <c:pt idx="19">
                  <c:v>8-Feb</c:v>
                </c:pt>
                <c:pt idx="20">
                  <c:v>9-Feb</c:v>
                </c:pt>
                <c:pt idx="21">
                  <c:v>10-Feb</c:v>
                </c:pt>
                <c:pt idx="22">
                  <c:v>11-Feb</c:v>
                </c:pt>
                <c:pt idx="23">
                  <c:v>12-Feb</c:v>
                </c:pt>
                <c:pt idx="24">
                  <c:v>13-Feb</c:v>
                </c:pt>
                <c:pt idx="25">
                  <c:v>14-Feb</c:v>
                </c:pt>
                <c:pt idx="26">
                  <c:v>15-Feb</c:v>
                </c:pt>
                <c:pt idx="27">
                  <c:v>16-Feb</c:v>
                </c:pt>
                <c:pt idx="28">
                  <c:v>17-Feb</c:v>
                </c:pt>
                <c:pt idx="29">
                  <c:v>18-Feb</c:v>
                </c:pt>
                <c:pt idx="30">
                  <c:v>19-Feb</c:v>
                </c:pt>
                <c:pt idx="31">
                  <c:v>20-Feb</c:v>
                </c:pt>
                <c:pt idx="32">
                  <c:v>21-Feb</c:v>
                </c:pt>
                <c:pt idx="33">
                  <c:v>22-Feb</c:v>
                </c:pt>
                <c:pt idx="34">
                  <c:v>23-Feb</c:v>
                </c:pt>
                <c:pt idx="35">
                  <c:v>24-Feb</c:v>
                </c:pt>
                <c:pt idx="36">
                  <c:v>25-Feb</c:v>
                </c:pt>
                <c:pt idx="37">
                  <c:v>26-Feb</c:v>
                </c:pt>
                <c:pt idx="38">
                  <c:v>27-Feb</c:v>
                </c:pt>
                <c:pt idx="39">
                  <c:v>28-Feb</c:v>
                </c:pt>
                <c:pt idx="40">
                  <c:v>29-Feb</c:v>
                </c:pt>
                <c:pt idx="41">
                  <c:v>1-Mar</c:v>
                </c:pt>
                <c:pt idx="42">
                  <c:v>2-Mar</c:v>
                </c:pt>
                <c:pt idx="43">
                  <c:v>3-Mar</c:v>
                </c:pt>
                <c:pt idx="44">
                  <c:v>4-Mar</c:v>
                </c:pt>
                <c:pt idx="45">
                  <c:v>5-Mar</c:v>
                </c:pt>
                <c:pt idx="46">
                  <c:v>6-Mar</c:v>
                </c:pt>
                <c:pt idx="47">
                  <c:v>7-Mar</c:v>
                </c:pt>
                <c:pt idx="48">
                  <c:v>8-Mar</c:v>
                </c:pt>
                <c:pt idx="49">
                  <c:v>9-Mar</c:v>
                </c:pt>
                <c:pt idx="50">
                  <c:v>10-Mar</c:v>
                </c:pt>
                <c:pt idx="51">
                  <c:v>11-Mar</c:v>
                </c:pt>
                <c:pt idx="52">
                  <c:v>12-Mar</c:v>
                </c:pt>
                <c:pt idx="53">
                  <c:v>13-Mar</c:v>
                </c:pt>
                <c:pt idx="54">
                  <c:v>14-Mar</c:v>
                </c:pt>
                <c:pt idx="55">
                  <c:v>15-Mar</c:v>
                </c:pt>
                <c:pt idx="56">
                  <c:v>16-Mar</c:v>
                </c:pt>
                <c:pt idx="57">
                  <c:v>17-Mar</c:v>
                </c:pt>
                <c:pt idx="58">
                  <c:v>18-Mar</c:v>
                </c:pt>
                <c:pt idx="59">
                  <c:v>19-Mar</c:v>
                </c:pt>
                <c:pt idx="60">
                  <c:v>20-Mar</c:v>
                </c:pt>
                <c:pt idx="61">
                  <c:v>21-Mar</c:v>
                </c:pt>
                <c:pt idx="62">
                  <c:v>22-Mar</c:v>
                </c:pt>
                <c:pt idx="63">
                  <c:v>23-Mar</c:v>
                </c:pt>
                <c:pt idx="64">
                  <c:v>24-Mar</c:v>
                </c:pt>
                <c:pt idx="65">
                  <c:v>25-Mar</c:v>
                </c:pt>
                <c:pt idx="67">
                  <c:v>11-Jun</c:v>
                </c:pt>
                <c:pt idx="68">
                  <c:v>12-Jun</c:v>
                </c:pt>
                <c:pt idx="69">
                  <c:v>13-Jun</c:v>
                </c:pt>
                <c:pt idx="70">
                  <c:v>14-Jun</c:v>
                </c:pt>
                <c:pt idx="71">
                  <c:v>15-Jun</c:v>
                </c:pt>
                <c:pt idx="72">
                  <c:v>16-Jun</c:v>
                </c:pt>
                <c:pt idx="73">
                  <c:v>17-Jun</c:v>
                </c:pt>
                <c:pt idx="74">
                  <c:v>18-Jun</c:v>
                </c:pt>
                <c:pt idx="75">
                  <c:v>19-Jun</c:v>
                </c:pt>
                <c:pt idx="76">
                  <c:v>20-Jun</c:v>
                </c:pt>
                <c:pt idx="77">
                  <c:v>21-Jun</c:v>
                </c:pt>
                <c:pt idx="78">
                  <c:v>22-Jun</c:v>
                </c:pt>
                <c:pt idx="79">
                  <c:v>23-Jun</c:v>
                </c:pt>
                <c:pt idx="80">
                  <c:v>24-Jun</c:v>
                </c:pt>
                <c:pt idx="81">
                  <c:v>25-Jun</c:v>
                </c:pt>
                <c:pt idx="82">
                  <c:v>26-Jun</c:v>
                </c:pt>
                <c:pt idx="83">
                  <c:v>27-Jun</c:v>
                </c:pt>
                <c:pt idx="84">
                  <c:v>28-Jun</c:v>
                </c:pt>
                <c:pt idx="85">
                  <c:v>29-Jun</c:v>
                </c:pt>
                <c:pt idx="86">
                  <c:v>30-Jun</c:v>
                </c:pt>
                <c:pt idx="87">
                  <c:v>1-Jul</c:v>
                </c:pt>
                <c:pt idx="88">
                  <c:v>2-Jul</c:v>
                </c:pt>
                <c:pt idx="89">
                  <c:v>3-Jul</c:v>
                </c:pt>
                <c:pt idx="90">
                  <c:v>4-Jul</c:v>
                </c:pt>
                <c:pt idx="91">
                  <c:v>5-Jul</c:v>
                </c:pt>
                <c:pt idx="92">
                  <c:v>6-Jul</c:v>
                </c:pt>
                <c:pt idx="93">
                  <c:v>7-Jul</c:v>
                </c:pt>
                <c:pt idx="94">
                  <c:v>8-Jul</c:v>
                </c:pt>
                <c:pt idx="95">
                  <c:v>9-Jul</c:v>
                </c:pt>
                <c:pt idx="96">
                  <c:v>10-Jul</c:v>
                </c:pt>
                <c:pt idx="97">
                  <c:v>11-Jul</c:v>
                </c:pt>
                <c:pt idx="98">
                  <c:v>12-Jul</c:v>
                </c:pt>
                <c:pt idx="99">
                  <c:v>13-Jul</c:v>
                </c:pt>
                <c:pt idx="100">
                  <c:v>14-Jul</c:v>
                </c:pt>
                <c:pt idx="101">
                  <c:v>15-Jul</c:v>
                </c:pt>
                <c:pt idx="102">
                  <c:v>16-Jul</c:v>
                </c:pt>
                <c:pt idx="103">
                  <c:v>17-Jul</c:v>
                </c:pt>
                <c:pt idx="104">
                  <c:v>18-Jul</c:v>
                </c:pt>
                <c:pt idx="105">
                  <c:v>19-Jul</c:v>
                </c:pt>
                <c:pt idx="106">
                  <c:v>20-Jul</c:v>
                </c:pt>
                <c:pt idx="107">
                  <c:v>21-Jul</c:v>
                </c:pt>
                <c:pt idx="108">
                  <c:v>22-Jul</c:v>
                </c:pt>
                <c:pt idx="109">
                  <c:v>23-Jul</c:v>
                </c:pt>
                <c:pt idx="110">
                  <c:v>24-Jul</c:v>
                </c:pt>
                <c:pt idx="111">
                  <c:v>25-Jul</c:v>
                </c:pt>
                <c:pt idx="112">
                  <c:v>26-Jul</c:v>
                </c:pt>
                <c:pt idx="113">
                  <c:v>27-Jul</c:v>
                </c:pt>
                <c:pt idx="114">
                  <c:v>28-Jul</c:v>
                </c:pt>
                <c:pt idx="115">
                  <c:v>29-Jul</c:v>
                </c:pt>
                <c:pt idx="116">
                  <c:v>30-Jul</c:v>
                </c:pt>
                <c:pt idx="117">
                  <c:v>31-Jul</c:v>
                </c:pt>
                <c:pt idx="118">
                  <c:v>1-Aug</c:v>
                </c:pt>
                <c:pt idx="119">
                  <c:v>2-Aug</c:v>
                </c:pt>
                <c:pt idx="120">
                  <c:v>3-Aug</c:v>
                </c:pt>
                <c:pt idx="121">
                  <c:v>4-Aug</c:v>
                </c:pt>
                <c:pt idx="122">
                  <c:v>5-Aug</c:v>
                </c:pt>
                <c:pt idx="123">
                  <c:v>6-Aug</c:v>
                </c:pt>
                <c:pt idx="124">
                  <c:v>7-Aug</c:v>
                </c:pt>
                <c:pt idx="125">
                  <c:v>8-Aug</c:v>
                </c:pt>
                <c:pt idx="126">
                  <c:v>9-Aug</c:v>
                </c:pt>
                <c:pt idx="127">
                  <c:v>10-Aug</c:v>
                </c:pt>
                <c:pt idx="128">
                  <c:v>11-Aug</c:v>
                </c:pt>
                <c:pt idx="129">
                  <c:v>12-Aug</c:v>
                </c:pt>
                <c:pt idx="130">
                  <c:v>13-Aug</c:v>
                </c:pt>
                <c:pt idx="131">
                  <c:v>14-Aug</c:v>
                </c:pt>
                <c:pt idx="132">
                  <c:v>15-Aug</c:v>
                </c:pt>
                <c:pt idx="133">
                  <c:v>16-Aug</c:v>
                </c:pt>
                <c:pt idx="134">
                  <c:v>17-Aug</c:v>
                </c:pt>
                <c:pt idx="135">
                  <c:v>18-Aug</c:v>
                </c:pt>
                <c:pt idx="136">
                  <c:v>19-Aug</c:v>
                </c:pt>
                <c:pt idx="137">
                  <c:v>20-Aug</c:v>
                </c:pt>
                <c:pt idx="138">
                  <c:v>21-Aug</c:v>
                </c:pt>
                <c:pt idx="139">
                  <c:v>22-Aug</c:v>
                </c:pt>
                <c:pt idx="140">
                  <c:v>23-Aug</c:v>
                </c:pt>
                <c:pt idx="141">
                  <c:v>24-Aug</c:v>
                </c:pt>
                <c:pt idx="142">
                  <c:v>25-Aug</c:v>
                </c:pt>
                <c:pt idx="143">
                  <c:v>26-Aug</c:v>
                </c:pt>
                <c:pt idx="144">
                  <c:v>27-Aug</c:v>
                </c:pt>
                <c:pt idx="145">
                  <c:v>28-Aug</c:v>
                </c:pt>
                <c:pt idx="146">
                  <c:v>29-Aug</c:v>
                </c:pt>
                <c:pt idx="147">
                  <c:v>30-Aug</c:v>
                </c:pt>
                <c:pt idx="148">
                  <c:v>31-Aug</c:v>
                </c:pt>
                <c:pt idx="149">
                  <c:v>1-Sep</c:v>
                </c:pt>
                <c:pt idx="150">
                  <c:v>2-Sep</c:v>
                </c:pt>
                <c:pt idx="151">
                  <c:v>3-Sep</c:v>
                </c:pt>
                <c:pt idx="152">
                  <c:v>4-Sep</c:v>
                </c:pt>
                <c:pt idx="153">
                  <c:v>5-Sep</c:v>
                </c:pt>
                <c:pt idx="154">
                  <c:v>6-Sep</c:v>
                </c:pt>
                <c:pt idx="155">
                  <c:v>7-Sep</c:v>
                </c:pt>
                <c:pt idx="156">
                  <c:v>8-Sep</c:v>
                </c:pt>
                <c:pt idx="157">
                  <c:v>9-Sep</c:v>
                </c:pt>
                <c:pt idx="158">
                  <c:v>10-Sep</c:v>
                </c:pt>
                <c:pt idx="159">
                  <c:v>11-Sep</c:v>
                </c:pt>
                <c:pt idx="160">
                  <c:v>12-Sep</c:v>
                </c:pt>
                <c:pt idx="161">
                  <c:v>13-Sep</c:v>
                </c:pt>
                <c:pt idx="162">
                  <c:v>14-Sep</c:v>
                </c:pt>
                <c:pt idx="163">
                  <c:v>15-Sep</c:v>
                </c:pt>
                <c:pt idx="164">
                  <c:v>16-Sep</c:v>
                </c:pt>
                <c:pt idx="165">
                  <c:v>17-Sep</c:v>
                </c:pt>
                <c:pt idx="166">
                  <c:v>18-Sep</c:v>
                </c:pt>
                <c:pt idx="167">
                  <c:v>19-Sep</c:v>
                </c:pt>
                <c:pt idx="168">
                  <c:v>20-Sep</c:v>
                </c:pt>
                <c:pt idx="169">
                  <c:v>21-Sep</c:v>
                </c:pt>
                <c:pt idx="170">
                  <c:v>22-Sep</c:v>
                </c:pt>
                <c:pt idx="171">
                  <c:v>23-Sep</c:v>
                </c:pt>
                <c:pt idx="172">
                  <c:v>24-Sep</c:v>
                </c:pt>
                <c:pt idx="173">
                  <c:v>25-Sep</c:v>
                </c:pt>
                <c:pt idx="174">
                  <c:v>26-Sep</c:v>
                </c:pt>
                <c:pt idx="175">
                  <c:v>27-Sep</c:v>
                </c:pt>
                <c:pt idx="176">
                  <c:v>28-Sep</c:v>
                </c:pt>
                <c:pt idx="177">
                  <c:v>29-Sep</c:v>
                </c:pt>
                <c:pt idx="178">
                  <c:v>30-Sep</c:v>
                </c:pt>
                <c:pt idx="179">
                  <c:v>1-Oct</c:v>
                </c:pt>
                <c:pt idx="180">
                  <c:v>2-Oct</c:v>
                </c:pt>
                <c:pt idx="181">
                  <c:v>3-Oct</c:v>
                </c:pt>
                <c:pt idx="182">
                  <c:v>4-Oct</c:v>
                </c:pt>
                <c:pt idx="183">
                  <c:v>5-Oct</c:v>
                </c:pt>
                <c:pt idx="184">
                  <c:v>6-Oct</c:v>
                </c:pt>
                <c:pt idx="185">
                  <c:v>7-Oct</c:v>
                </c:pt>
                <c:pt idx="186">
                  <c:v>8-Oct</c:v>
                </c:pt>
                <c:pt idx="187">
                  <c:v>9-Oct</c:v>
                </c:pt>
                <c:pt idx="188">
                  <c:v>10-Oct</c:v>
                </c:pt>
                <c:pt idx="189">
                  <c:v>11-Oct</c:v>
                </c:pt>
                <c:pt idx="190">
                  <c:v>12-Oct</c:v>
                </c:pt>
                <c:pt idx="191">
                  <c:v>13-Oct</c:v>
                </c:pt>
                <c:pt idx="192">
                  <c:v>14-Oct</c:v>
                </c:pt>
                <c:pt idx="193">
                  <c:v>15-Oct</c:v>
                </c:pt>
                <c:pt idx="194">
                  <c:v>16-Oct</c:v>
                </c:pt>
                <c:pt idx="195">
                  <c:v>17-Oct</c:v>
                </c:pt>
                <c:pt idx="196">
                  <c:v>18-Oct</c:v>
                </c:pt>
                <c:pt idx="197">
                  <c:v>19-Oct</c:v>
                </c:pt>
                <c:pt idx="198">
                  <c:v>20-Oct</c:v>
                </c:pt>
                <c:pt idx="199">
                  <c:v>21-Oct</c:v>
                </c:pt>
                <c:pt idx="200">
                  <c:v>22-Oct</c:v>
                </c:pt>
                <c:pt idx="201">
                  <c:v>23-Oct</c:v>
                </c:pt>
                <c:pt idx="202">
                  <c:v>24-Oct</c:v>
                </c:pt>
                <c:pt idx="203">
                  <c:v>25-Oct</c:v>
                </c:pt>
                <c:pt idx="204">
                  <c:v>26-Oct</c:v>
                </c:pt>
                <c:pt idx="205">
                  <c:v>27-Oct</c:v>
                </c:pt>
                <c:pt idx="206">
                  <c:v>28-Oct</c:v>
                </c:pt>
                <c:pt idx="207">
                  <c:v>29-Oct</c:v>
                </c:pt>
                <c:pt idx="208">
                  <c:v>30-Oct</c:v>
                </c:pt>
                <c:pt idx="209">
                  <c:v>31-Oct</c:v>
                </c:pt>
                <c:pt idx="210">
                  <c:v>1-Nov</c:v>
                </c:pt>
                <c:pt idx="211">
                  <c:v>2-Nov</c:v>
                </c:pt>
              </c:strCache>
            </c:strRef>
          </c:cat>
          <c:val>
            <c:numRef>
              <c:f>'no reallocation data'!$D$2:$D$211</c:f>
              <c:numCache>
                <c:formatCode>General</c:formatCode>
                <c:ptCount val="210"/>
                <c:pt idx="0">
                  <c:v>0.0</c:v>
                </c:pt>
                <c:pt idx="1">
                  <c:v>0.0</c:v>
                </c:pt>
                <c:pt idx="2">
                  <c:v>0.0</c:v>
                </c:pt>
                <c:pt idx="3">
                  <c:v>0.0</c:v>
                </c:pt>
                <c:pt idx="4">
                  <c:v>0.0</c:v>
                </c:pt>
                <c:pt idx="5">
                  <c:v>0.0</c:v>
                </c:pt>
                <c:pt idx="6">
                  <c:v>0.0</c:v>
                </c:pt>
                <c:pt idx="7">
                  <c:v>0.0</c:v>
                </c:pt>
                <c:pt idx="8">
                  <c:v>0.0</c:v>
                </c:pt>
                <c:pt idx="9">
                  <c:v>1.0</c:v>
                </c:pt>
                <c:pt idx="10">
                  <c:v>1.0</c:v>
                </c:pt>
                <c:pt idx="11">
                  <c:v>1.0</c:v>
                </c:pt>
                <c:pt idx="12">
                  <c:v>1.0</c:v>
                </c:pt>
                <c:pt idx="13">
                  <c:v>1.0</c:v>
                </c:pt>
                <c:pt idx="14">
                  <c:v>2.0</c:v>
                </c:pt>
                <c:pt idx="15">
                  <c:v>2.0</c:v>
                </c:pt>
                <c:pt idx="16">
                  <c:v>2.0</c:v>
                </c:pt>
                <c:pt idx="17">
                  <c:v>2.0</c:v>
                </c:pt>
                <c:pt idx="18">
                  <c:v>2.0</c:v>
                </c:pt>
                <c:pt idx="19">
                  <c:v>3.0</c:v>
                </c:pt>
                <c:pt idx="20">
                  <c:v>3.0</c:v>
                </c:pt>
                <c:pt idx="21">
                  <c:v>3.0</c:v>
                </c:pt>
                <c:pt idx="22">
                  <c:v>3.0</c:v>
                </c:pt>
                <c:pt idx="23">
                  <c:v>3.0</c:v>
                </c:pt>
                <c:pt idx="24">
                  <c:v>3.0</c:v>
                </c:pt>
                <c:pt idx="25">
                  <c:v>3.0</c:v>
                </c:pt>
                <c:pt idx="26">
                  <c:v>3.0</c:v>
                </c:pt>
                <c:pt idx="27">
                  <c:v>3.0</c:v>
                </c:pt>
                <c:pt idx="28">
                  <c:v>3.0</c:v>
                </c:pt>
                <c:pt idx="29">
                  <c:v>3.0</c:v>
                </c:pt>
                <c:pt idx="30">
                  <c:v>3.0</c:v>
                </c:pt>
                <c:pt idx="31">
                  <c:v>3.0</c:v>
                </c:pt>
                <c:pt idx="32">
                  <c:v>3.0</c:v>
                </c:pt>
                <c:pt idx="33">
                  <c:v>3.0</c:v>
                </c:pt>
                <c:pt idx="34">
                  <c:v>3.0</c:v>
                </c:pt>
                <c:pt idx="35">
                  <c:v>3.0</c:v>
                </c:pt>
                <c:pt idx="36">
                  <c:v>3.0</c:v>
                </c:pt>
                <c:pt idx="37">
                  <c:v>3.0</c:v>
                </c:pt>
                <c:pt idx="38">
                  <c:v>3.0</c:v>
                </c:pt>
                <c:pt idx="39">
                  <c:v>3.0</c:v>
                </c:pt>
                <c:pt idx="41">
                  <c:v>3.0</c:v>
                </c:pt>
                <c:pt idx="42">
                  <c:v>3.0</c:v>
                </c:pt>
                <c:pt idx="43">
                  <c:v>3.0</c:v>
                </c:pt>
                <c:pt idx="44">
                  <c:v>3.0</c:v>
                </c:pt>
                <c:pt idx="45">
                  <c:v>3.0</c:v>
                </c:pt>
                <c:pt idx="46">
                  <c:v>3.0</c:v>
                </c:pt>
                <c:pt idx="47">
                  <c:v>3.0</c:v>
                </c:pt>
                <c:pt idx="48">
                  <c:v>3.0</c:v>
                </c:pt>
                <c:pt idx="49">
                  <c:v>3.0</c:v>
                </c:pt>
                <c:pt idx="50">
                  <c:v>3.0</c:v>
                </c:pt>
                <c:pt idx="51">
                  <c:v>3.0</c:v>
                </c:pt>
                <c:pt idx="52">
                  <c:v>3.0</c:v>
                </c:pt>
                <c:pt idx="53">
                  <c:v>3.0</c:v>
                </c:pt>
                <c:pt idx="54">
                  <c:v>3.0</c:v>
                </c:pt>
                <c:pt idx="55">
                  <c:v>3.0</c:v>
                </c:pt>
                <c:pt idx="56">
                  <c:v>3.0</c:v>
                </c:pt>
                <c:pt idx="57">
                  <c:v>3.0</c:v>
                </c:pt>
                <c:pt idx="58">
                  <c:v>3.0</c:v>
                </c:pt>
                <c:pt idx="59">
                  <c:v>3.0</c:v>
                </c:pt>
                <c:pt idx="60">
                  <c:v>3.0</c:v>
                </c:pt>
                <c:pt idx="61">
                  <c:v>3.0</c:v>
                </c:pt>
                <c:pt idx="62">
                  <c:v>3.0</c:v>
                </c:pt>
                <c:pt idx="63">
                  <c:v>3.0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1.0</c:v>
                </c:pt>
                <c:pt idx="138">
                  <c:v>1.0</c:v>
                </c:pt>
                <c:pt idx="139">
                  <c:v>1.0</c:v>
                </c:pt>
                <c:pt idx="140">
                  <c:v>1.0</c:v>
                </c:pt>
                <c:pt idx="141">
                  <c:v>1.0</c:v>
                </c:pt>
                <c:pt idx="142">
                  <c:v>1.0</c:v>
                </c:pt>
                <c:pt idx="143">
                  <c:v>1.0</c:v>
                </c:pt>
                <c:pt idx="144">
                  <c:v>1.0</c:v>
                </c:pt>
                <c:pt idx="145">
                  <c:v>1.0</c:v>
                </c:pt>
                <c:pt idx="146">
                  <c:v>1.0</c:v>
                </c:pt>
                <c:pt idx="147">
                  <c:v>1.0</c:v>
                </c:pt>
                <c:pt idx="148">
                  <c:v>1.0</c:v>
                </c:pt>
                <c:pt idx="149">
                  <c:v>1.0</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2.0</c:v>
                </c:pt>
                <c:pt idx="163">
                  <c:v>2.0</c:v>
                </c:pt>
                <c:pt idx="164">
                  <c:v>2.0</c:v>
                </c:pt>
                <c:pt idx="165">
                  <c:v>2.0</c:v>
                </c:pt>
                <c:pt idx="166">
                  <c:v>2.0</c:v>
                </c:pt>
                <c:pt idx="167">
                  <c:v>2.0</c:v>
                </c:pt>
                <c:pt idx="168">
                  <c:v>2.0</c:v>
                </c:pt>
                <c:pt idx="169">
                  <c:v>2.0</c:v>
                </c:pt>
                <c:pt idx="170">
                  <c:v>2.0</c:v>
                </c:pt>
                <c:pt idx="171">
                  <c:v>2.0</c:v>
                </c:pt>
                <c:pt idx="172">
                  <c:v>2.0</c:v>
                </c:pt>
                <c:pt idx="173">
                  <c:v>2.0</c:v>
                </c:pt>
                <c:pt idx="174">
                  <c:v>2.0</c:v>
                </c:pt>
                <c:pt idx="175">
                  <c:v>2.0</c:v>
                </c:pt>
                <c:pt idx="176">
                  <c:v>2.0</c:v>
                </c:pt>
                <c:pt idx="177">
                  <c:v>2.0</c:v>
                </c:pt>
                <c:pt idx="178">
                  <c:v>2.0</c:v>
                </c:pt>
                <c:pt idx="179">
                  <c:v>2.0</c:v>
                </c:pt>
                <c:pt idx="180">
                  <c:v>2.0</c:v>
                </c:pt>
                <c:pt idx="181">
                  <c:v>2.0</c:v>
                </c:pt>
                <c:pt idx="182">
                  <c:v>2.0</c:v>
                </c:pt>
                <c:pt idx="183">
                  <c:v>2.0</c:v>
                </c:pt>
                <c:pt idx="184">
                  <c:v>2.0</c:v>
                </c:pt>
                <c:pt idx="185">
                  <c:v>2.0</c:v>
                </c:pt>
                <c:pt idx="186">
                  <c:v>3.0</c:v>
                </c:pt>
                <c:pt idx="187">
                  <c:v>4.0</c:v>
                </c:pt>
                <c:pt idx="188">
                  <c:v>4.0</c:v>
                </c:pt>
                <c:pt idx="189">
                  <c:v>4.0</c:v>
                </c:pt>
                <c:pt idx="190">
                  <c:v>4.0</c:v>
                </c:pt>
                <c:pt idx="191">
                  <c:v>4.0</c:v>
                </c:pt>
                <c:pt idx="192">
                  <c:v>4.0</c:v>
                </c:pt>
                <c:pt idx="193">
                  <c:v>4.0</c:v>
                </c:pt>
                <c:pt idx="194">
                  <c:v>5.0</c:v>
                </c:pt>
                <c:pt idx="195">
                  <c:v>5.0</c:v>
                </c:pt>
                <c:pt idx="196">
                  <c:v>5.0</c:v>
                </c:pt>
                <c:pt idx="197">
                  <c:v>6.0</c:v>
                </c:pt>
                <c:pt idx="198">
                  <c:v>6.0</c:v>
                </c:pt>
                <c:pt idx="199">
                  <c:v>6.0</c:v>
                </c:pt>
                <c:pt idx="200">
                  <c:v>6.0</c:v>
                </c:pt>
                <c:pt idx="201">
                  <c:v>6.0</c:v>
                </c:pt>
                <c:pt idx="202">
                  <c:v>6.0</c:v>
                </c:pt>
                <c:pt idx="203">
                  <c:v>6.0</c:v>
                </c:pt>
                <c:pt idx="204">
                  <c:v>7.0</c:v>
                </c:pt>
                <c:pt idx="205">
                  <c:v>8.0</c:v>
                </c:pt>
                <c:pt idx="206">
                  <c:v>8.0</c:v>
                </c:pt>
                <c:pt idx="207">
                  <c:v>8.0</c:v>
                </c:pt>
                <c:pt idx="208">
                  <c:v>8.0</c:v>
                </c:pt>
                <c:pt idx="209">
                  <c:v>8.0</c:v>
                </c:pt>
              </c:numCache>
            </c:numRef>
          </c:val>
          <c:smooth val="0"/>
        </c:ser>
        <c:ser>
          <c:idx val="3"/>
          <c:order val="3"/>
          <c:tx>
            <c:strRef>
              <c:f>'no reallocation data'!$E$1</c:f>
              <c:strCache>
                <c:ptCount val="1"/>
                <c:pt idx="0">
                  <c:v>2003</c:v>
                </c:pt>
              </c:strCache>
            </c:strRef>
          </c:tx>
          <c:spPr>
            <a:ln w="25400">
              <a:solidFill>
                <a:srgbClr val="F20884"/>
              </a:solidFill>
              <a:prstDash val="solid"/>
            </a:ln>
          </c:spPr>
          <c:marker>
            <c:symbol val="none"/>
          </c:marker>
          <c:cat>
            <c:strRef>
              <c:f>'q=1.33p+0.33 data'!$A$2:$A$213</c:f>
              <c:strCache>
                <c:ptCount val="212"/>
                <c:pt idx="0">
                  <c:v>20-Jan</c:v>
                </c:pt>
                <c:pt idx="1">
                  <c:v>21-Jan</c:v>
                </c:pt>
                <c:pt idx="2">
                  <c:v>22-Jan</c:v>
                </c:pt>
                <c:pt idx="3">
                  <c:v>23-Jan</c:v>
                </c:pt>
                <c:pt idx="4">
                  <c:v>24-Jan</c:v>
                </c:pt>
                <c:pt idx="5">
                  <c:v>25-Jan</c:v>
                </c:pt>
                <c:pt idx="6">
                  <c:v>26-Jan</c:v>
                </c:pt>
                <c:pt idx="7">
                  <c:v>27-Jan</c:v>
                </c:pt>
                <c:pt idx="8">
                  <c:v>28-Jan</c:v>
                </c:pt>
                <c:pt idx="9">
                  <c:v>29-Jan</c:v>
                </c:pt>
                <c:pt idx="10">
                  <c:v>30-Jan</c:v>
                </c:pt>
                <c:pt idx="11">
                  <c:v>31-Jan</c:v>
                </c:pt>
                <c:pt idx="12">
                  <c:v>1-Feb</c:v>
                </c:pt>
                <c:pt idx="13">
                  <c:v>2-Feb</c:v>
                </c:pt>
                <c:pt idx="14">
                  <c:v>3-Feb</c:v>
                </c:pt>
                <c:pt idx="15">
                  <c:v>4-Feb</c:v>
                </c:pt>
                <c:pt idx="16">
                  <c:v>5-Feb</c:v>
                </c:pt>
                <c:pt idx="17">
                  <c:v>6-Feb</c:v>
                </c:pt>
                <c:pt idx="18">
                  <c:v>7-Feb</c:v>
                </c:pt>
                <c:pt idx="19">
                  <c:v>8-Feb</c:v>
                </c:pt>
                <c:pt idx="20">
                  <c:v>9-Feb</c:v>
                </c:pt>
                <c:pt idx="21">
                  <c:v>10-Feb</c:v>
                </c:pt>
                <c:pt idx="22">
                  <c:v>11-Feb</c:v>
                </c:pt>
                <c:pt idx="23">
                  <c:v>12-Feb</c:v>
                </c:pt>
                <c:pt idx="24">
                  <c:v>13-Feb</c:v>
                </c:pt>
                <c:pt idx="25">
                  <c:v>14-Feb</c:v>
                </c:pt>
                <c:pt idx="26">
                  <c:v>15-Feb</c:v>
                </c:pt>
                <c:pt idx="27">
                  <c:v>16-Feb</c:v>
                </c:pt>
                <c:pt idx="28">
                  <c:v>17-Feb</c:v>
                </c:pt>
                <c:pt idx="29">
                  <c:v>18-Feb</c:v>
                </c:pt>
                <c:pt idx="30">
                  <c:v>19-Feb</c:v>
                </c:pt>
                <c:pt idx="31">
                  <c:v>20-Feb</c:v>
                </c:pt>
                <c:pt idx="32">
                  <c:v>21-Feb</c:v>
                </c:pt>
                <c:pt idx="33">
                  <c:v>22-Feb</c:v>
                </c:pt>
                <c:pt idx="34">
                  <c:v>23-Feb</c:v>
                </c:pt>
                <c:pt idx="35">
                  <c:v>24-Feb</c:v>
                </c:pt>
                <c:pt idx="36">
                  <c:v>25-Feb</c:v>
                </c:pt>
                <c:pt idx="37">
                  <c:v>26-Feb</c:v>
                </c:pt>
                <c:pt idx="38">
                  <c:v>27-Feb</c:v>
                </c:pt>
                <c:pt idx="39">
                  <c:v>28-Feb</c:v>
                </c:pt>
                <c:pt idx="40">
                  <c:v>29-Feb</c:v>
                </c:pt>
                <c:pt idx="41">
                  <c:v>1-Mar</c:v>
                </c:pt>
                <c:pt idx="42">
                  <c:v>2-Mar</c:v>
                </c:pt>
                <c:pt idx="43">
                  <c:v>3-Mar</c:v>
                </c:pt>
                <c:pt idx="44">
                  <c:v>4-Mar</c:v>
                </c:pt>
                <c:pt idx="45">
                  <c:v>5-Mar</c:v>
                </c:pt>
                <c:pt idx="46">
                  <c:v>6-Mar</c:v>
                </c:pt>
                <c:pt idx="47">
                  <c:v>7-Mar</c:v>
                </c:pt>
                <c:pt idx="48">
                  <c:v>8-Mar</c:v>
                </c:pt>
                <c:pt idx="49">
                  <c:v>9-Mar</c:v>
                </c:pt>
                <c:pt idx="50">
                  <c:v>10-Mar</c:v>
                </c:pt>
                <c:pt idx="51">
                  <c:v>11-Mar</c:v>
                </c:pt>
                <c:pt idx="52">
                  <c:v>12-Mar</c:v>
                </c:pt>
                <c:pt idx="53">
                  <c:v>13-Mar</c:v>
                </c:pt>
                <c:pt idx="54">
                  <c:v>14-Mar</c:v>
                </c:pt>
                <c:pt idx="55">
                  <c:v>15-Mar</c:v>
                </c:pt>
                <c:pt idx="56">
                  <c:v>16-Mar</c:v>
                </c:pt>
                <c:pt idx="57">
                  <c:v>17-Mar</c:v>
                </c:pt>
                <c:pt idx="58">
                  <c:v>18-Mar</c:v>
                </c:pt>
                <c:pt idx="59">
                  <c:v>19-Mar</c:v>
                </c:pt>
                <c:pt idx="60">
                  <c:v>20-Mar</c:v>
                </c:pt>
                <c:pt idx="61">
                  <c:v>21-Mar</c:v>
                </c:pt>
                <c:pt idx="62">
                  <c:v>22-Mar</c:v>
                </c:pt>
                <c:pt idx="63">
                  <c:v>23-Mar</c:v>
                </c:pt>
                <c:pt idx="64">
                  <c:v>24-Mar</c:v>
                </c:pt>
                <c:pt idx="65">
                  <c:v>25-Mar</c:v>
                </c:pt>
                <c:pt idx="67">
                  <c:v>11-Jun</c:v>
                </c:pt>
                <c:pt idx="68">
                  <c:v>12-Jun</c:v>
                </c:pt>
                <c:pt idx="69">
                  <c:v>13-Jun</c:v>
                </c:pt>
                <c:pt idx="70">
                  <c:v>14-Jun</c:v>
                </c:pt>
                <c:pt idx="71">
                  <c:v>15-Jun</c:v>
                </c:pt>
                <c:pt idx="72">
                  <c:v>16-Jun</c:v>
                </c:pt>
                <c:pt idx="73">
                  <c:v>17-Jun</c:v>
                </c:pt>
                <c:pt idx="74">
                  <c:v>18-Jun</c:v>
                </c:pt>
                <c:pt idx="75">
                  <c:v>19-Jun</c:v>
                </c:pt>
                <c:pt idx="76">
                  <c:v>20-Jun</c:v>
                </c:pt>
                <c:pt idx="77">
                  <c:v>21-Jun</c:v>
                </c:pt>
                <c:pt idx="78">
                  <c:v>22-Jun</c:v>
                </c:pt>
                <c:pt idx="79">
                  <c:v>23-Jun</c:v>
                </c:pt>
                <c:pt idx="80">
                  <c:v>24-Jun</c:v>
                </c:pt>
                <c:pt idx="81">
                  <c:v>25-Jun</c:v>
                </c:pt>
                <c:pt idx="82">
                  <c:v>26-Jun</c:v>
                </c:pt>
                <c:pt idx="83">
                  <c:v>27-Jun</c:v>
                </c:pt>
                <c:pt idx="84">
                  <c:v>28-Jun</c:v>
                </c:pt>
                <c:pt idx="85">
                  <c:v>29-Jun</c:v>
                </c:pt>
                <c:pt idx="86">
                  <c:v>30-Jun</c:v>
                </c:pt>
                <c:pt idx="87">
                  <c:v>1-Jul</c:v>
                </c:pt>
                <c:pt idx="88">
                  <c:v>2-Jul</c:v>
                </c:pt>
                <c:pt idx="89">
                  <c:v>3-Jul</c:v>
                </c:pt>
                <c:pt idx="90">
                  <c:v>4-Jul</c:v>
                </c:pt>
                <c:pt idx="91">
                  <c:v>5-Jul</c:v>
                </c:pt>
                <c:pt idx="92">
                  <c:v>6-Jul</c:v>
                </c:pt>
                <c:pt idx="93">
                  <c:v>7-Jul</c:v>
                </c:pt>
                <c:pt idx="94">
                  <c:v>8-Jul</c:v>
                </c:pt>
                <c:pt idx="95">
                  <c:v>9-Jul</c:v>
                </c:pt>
                <c:pt idx="96">
                  <c:v>10-Jul</c:v>
                </c:pt>
                <c:pt idx="97">
                  <c:v>11-Jul</c:v>
                </c:pt>
                <c:pt idx="98">
                  <c:v>12-Jul</c:v>
                </c:pt>
                <c:pt idx="99">
                  <c:v>13-Jul</c:v>
                </c:pt>
                <c:pt idx="100">
                  <c:v>14-Jul</c:v>
                </c:pt>
                <c:pt idx="101">
                  <c:v>15-Jul</c:v>
                </c:pt>
                <c:pt idx="102">
                  <c:v>16-Jul</c:v>
                </c:pt>
                <c:pt idx="103">
                  <c:v>17-Jul</c:v>
                </c:pt>
                <c:pt idx="104">
                  <c:v>18-Jul</c:v>
                </c:pt>
                <c:pt idx="105">
                  <c:v>19-Jul</c:v>
                </c:pt>
                <c:pt idx="106">
                  <c:v>20-Jul</c:v>
                </c:pt>
                <c:pt idx="107">
                  <c:v>21-Jul</c:v>
                </c:pt>
                <c:pt idx="108">
                  <c:v>22-Jul</c:v>
                </c:pt>
                <c:pt idx="109">
                  <c:v>23-Jul</c:v>
                </c:pt>
                <c:pt idx="110">
                  <c:v>24-Jul</c:v>
                </c:pt>
                <c:pt idx="111">
                  <c:v>25-Jul</c:v>
                </c:pt>
                <c:pt idx="112">
                  <c:v>26-Jul</c:v>
                </c:pt>
                <c:pt idx="113">
                  <c:v>27-Jul</c:v>
                </c:pt>
                <c:pt idx="114">
                  <c:v>28-Jul</c:v>
                </c:pt>
                <c:pt idx="115">
                  <c:v>29-Jul</c:v>
                </c:pt>
                <c:pt idx="116">
                  <c:v>30-Jul</c:v>
                </c:pt>
                <c:pt idx="117">
                  <c:v>31-Jul</c:v>
                </c:pt>
                <c:pt idx="118">
                  <c:v>1-Aug</c:v>
                </c:pt>
                <c:pt idx="119">
                  <c:v>2-Aug</c:v>
                </c:pt>
                <c:pt idx="120">
                  <c:v>3-Aug</c:v>
                </c:pt>
                <c:pt idx="121">
                  <c:v>4-Aug</c:v>
                </c:pt>
                <c:pt idx="122">
                  <c:v>5-Aug</c:v>
                </c:pt>
                <c:pt idx="123">
                  <c:v>6-Aug</c:v>
                </c:pt>
                <c:pt idx="124">
                  <c:v>7-Aug</c:v>
                </c:pt>
                <c:pt idx="125">
                  <c:v>8-Aug</c:v>
                </c:pt>
                <c:pt idx="126">
                  <c:v>9-Aug</c:v>
                </c:pt>
                <c:pt idx="127">
                  <c:v>10-Aug</c:v>
                </c:pt>
                <c:pt idx="128">
                  <c:v>11-Aug</c:v>
                </c:pt>
                <c:pt idx="129">
                  <c:v>12-Aug</c:v>
                </c:pt>
                <c:pt idx="130">
                  <c:v>13-Aug</c:v>
                </c:pt>
                <c:pt idx="131">
                  <c:v>14-Aug</c:v>
                </c:pt>
                <c:pt idx="132">
                  <c:v>15-Aug</c:v>
                </c:pt>
                <c:pt idx="133">
                  <c:v>16-Aug</c:v>
                </c:pt>
                <c:pt idx="134">
                  <c:v>17-Aug</c:v>
                </c:pt>
                <c:pt idx="135">
                  <c:v>18-Aug</c:v>
                </c:pt>
                <c:pt idx="136">
                  <c:v>19-Aug</c:v>
                </c:pt>
                <c:pt idx="137">
                  <c:v>20-Aug</c:v>
                </c:pt>
                <c:pt idx="138">
                  <c:v>21-Aug</c:v>
                </c:pt>
                <c:pt idx="139">
                  <c:v>22-Aug</c:v>
                </c:pt>
                <c:pt idx="140">
                  <c:v>23-Aug</c:v>
                </c:pt>
                <c:pt idx="141">
                  <c:v>24-Aug</c:v>
                </c:pt>
                <c:pt idx="142">
                  <c:v>25-Aug</c:v>
                </c:pt>
                <c:pt idx="143">
                  <c:v>26-Aug</c:v>
                </c:pt>
                <c:pt idx="144">
                  <c:v>27-Aug</c:v>
                </c:pt>
                <c:pt idx="145">
                  <c:v>28-Aug</c:v>
                </c:pt>
                <c:pt idx="146">
                  <c:v>29-Aug</c:v>
                </c:pt>
                <c:pt idx="147">
                  <c:v>30-Aug</c:v>
                </c:pt>
                <c:pt idx="148">
                  <c:v>31-Aug</c:v>
                </c:pt>
                <c:pt idx="149">
                  <c:v>1-Sep</c:v>
                </c:pt>
                <c:pt idx="150">
                  <c:v>2-Sep</c:v>
                </c:pt>
                <c:pt idx="151">
                  <c:v>3-Sep</c:v>
                </c:pt>
                <c:pt idx="152">
                  <c:v>4-Sep</c:v>
                </c:pt>
                <c:pt idx="153">
                  <c:v>5-Sep</c:v>
                </c:pt>
                <c:pt idx="154">
                  <c:v>6-Sep</c:v>
                </c:pt>
                <c:pt idx="155">
                  <c:v>7-Sep</c:v>
                </c:pt>
                <c:pt idx="156">
                  <c:v>8-Sep</c:v>
                </c:pt>
                <c:pt idx="157">
                  <c:v>9-Sep</c:v>
                </c:pt>
                <c:pt idx="158">
                  <c:v>10-Sep</c:v>
                </c:pt>
                <c:pt idx="159">
                  <c:v>11-Sep</c:v>
                </c:pt>
                <c:pt idx="160">
                  <c:v>12-Sep</c:v>
                </c:pt>
                <c:pt idx="161">
                  <c:v>13-Sep</c:v>
                </c:pt>
                <c:pt idx="162">
                  <c:v>14-Sep</c:v>
                </c:pt>
                <c:pt idx="163">
                  <c:v>15-Sep</c:v>
                </c:pt>
                <c:pt idx="164">
                  <c:v>16-Sep</c:v>
                </c:pt>
                <c:pt idx="165">
                  <c:v>17-Sep</c:v>
                </c:pt>
                <c:pt idx="166">
                  <c:v>18-Sep</c:v>
                </c:pt>
                <c:pt idx="167">
                  <c:v>19-Sep</c:v>
                </c:pt>
                <c:pt idx="168">
                  <c:v>20-Sep</c:v>
                </c:pt>
                <c:pt idx="169">
                  <c:v>21-Sep</c:v>
                </c:pt>
                <c:pt idx="170">
                  <c:v>22-Sep</c:v>
                </c:pt>
                <c:pt idx="171">
                  <c:v>23-Sep</c:v>
                </c:pt>
                <c:pt idx="172">
                  <c:v>24-Sep</c:v>
                </c:pt>
                <c:pt idx="173">
                  <c:v>25-Sep</c:v>
                </c:pt>
                <c:pt idx="174">
                  <c:v>26-Sep</c:v>
                </c:pt>
                <c:pt idx="175">
                  <c:v>27-Sep</c:v>
                </c:pt>
                <c:pt idx="176">
                  <c:v>28-Sep</c:v>
                </c:pt>
                <c:pt idx="177">
                  <c:v>29-Sep</c:v>
                </c:pt>
                <c:pt idx="178">
                  <c:v>30-Sep</c:v>
                </c:pt>
                <c:pt idx="179">
                  <c:v>1-Oct</c:v>
                </c:pt>
                <c:pt idx="180">
                  <c:v>2-Oct</c:v>
                </c:pt>
                <c:pt idx="181">
                  <c:v>3-Oct</c:v>
                </c:pt>
                <c:pt idx="182">
                  <c:v>4-Oct</c:v>
                </c:pt>
                <c:pt idx="183">
                  <c:v>5-Oct</c:v>
                </c:pt>
                <c:pt idx="184">
                  <c:v>6-Oct</c:v>
                </c:pt>
                <c:pt idx="185">
                  <c:v>7-Oct</c:v>
                </c:pt>
                <c:pt idx="186">
                  <c:v>8-Oct</c:v>
                </c:pt>
                <c:pt idx="187">
                  <c:v>9-Oct</c:v>
                </c:pt>
                <c:pt idx="188">
                  <c:v>10-Oct</c:v>
                </c:pt>
                <c:pt idx="189">
                  <c:v>11-Oct</c:v>
                </c:pt>
                <c:pt idx="190">
                  <c:v>12-Oct</c:v>
                </c:pt>
                <c:pt idx="191">
                  <c:v>13-Oct</c:v>
                </c:pt>
                <c:pt idx="192">
                  <c:v>14-Oct</c:v>
                </c:pt>
                <c:pt idx="193">
                  <c:v>15-Oct</c:v>
                </c:pt>
                <c:pt idx="194">
                  <c:v>16-Oct</c:v>
                </c:pt>
                <c:pt idx="195">
                  <c:v>17-Oct</c:v>
                </c:pt>
                <c:pt idx="196">
                  <c:v>18-Oct</c:v>
                </c:pt>
                <c:pt idx="197">
                  <c:v>19-Oct</c:v>
                </c:pt>
                <c:pt idx="198">
                  <c:v>20-Oct</c:v>
                </c:pt>
                <c:pt idx="199">
                  <c:v>21-Oct</c:v>
                </c:pt>
                <c:pt idx="200">
                  <c:v>22-Oct</c:v>
                </c:pt>
                <c:pt idx="201">
                  <c:v>23-Oct</c:v>
                </c:pt>
                <c:pt idx="202">
                  <c:v>24-Oct</c:v>
                </c:pt>
                <c:pt idx="203">
                  <c:v>25-Oct</c:v>
                </c:pt>
                <c:pt idx="204">
                  <c:v>26-Oct</c:v>
                </c:pt>
                <c:pt idx="205">
                  <c:v>27-Oct</c:v>
                </c:pt>
                <c:pt idx="206">
                  <c:v>28-Oct</c:v>
                </c:pt>
                <c:pt idx="207">
                  <c:v>29-Oct</c:v>
                </c:pt>
                <c:pt idx="208">
                  <c:v>30-Oct</c:v>
                </c:pt>
                <c:pt idx="209">
                  <c:v>31-Oct</c:v>
                </c:pt>
                <c:pt idx="210">
                  <c:v>1-Nov</c:v>
                </c:pt>
                <c:pt idx="211">
                  <c:v>2-Nov</c:v>
                </c:pt>
              </c:strCache>
            </c:strRef>
          </c:cat>
          <c:val>
            <c:numRef>
              <c:f>'no reallocation data'!$E$2:$E$211</c:f>
              <c:numCache>
                <c:formatCode>General</c:formatCode>
                <c:ptCount val="210"/>
                <c:pt idx="0">
                  <c:v>0.0</c:v>
                </c:pt>
                <c:pt idx="1">
                  <c:v>0.0</c:v>
                </c:pt>
                <c:pt idx="2">
                  <c:v>0.0</c:v>
                </c:pt>
                <c:pt idx="3">
                  <c:v>0.0</c:v>
                </c:pt>
                <c:pt idx="4">
                  <c:v>0.0</c:v>
                </c:pt>
                <c:pt idx="5">
                  <c:v>0.0</c:v>
                </c:pt>
                <c:pt idx="6">
                  <c:v>0.0</c:v>
                </c:pt>
                <c:pt idx="7">
                  <c:v>0.0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2.0</c:v>
                </c:pt>
                <c:pt idx="31">
                  <c:v>2.0</c:v>
                </c:pt>
                <c:pt idx="32">
                  <c:v>2.0</c:v>
                </c:pt>
                <c:pt idx="33">
                  <c:v>2.0</c:v>
                </c:pt>
                <c:pt idx="34">
                  <c:v>2.0</c:v>
                </c:pt>
                <c:pt idx="35">
                  <c:v>2.0</c:v>
                </c:pt>
                <c:pt idx="36">
                  <c:v>2.0</c:v>
                </c:pt>
                <c:pt idx="37">
                  <c:v>2.0</c:v>
                </c:pt>
                <c:pt idx="38">
                  <c:v>2.0</c:v>
                </c:pt>
                <c:pt idx="39">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3.0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0.0</c:v>
                </c:pt>
                <c:pt idx="176">
                  <c:v>0.0</c:v>
                </c:pt>
                <c:pt idx="177">
                  <c:v>0.0</c:v>
                </c:pt>
                <c:pt idx="178">
                  <c:v>0.0</c:v>
                </c:pt>
                <c:pt idx="179">
                  <c:v>0.0</c:v>
                </c:pt>
                <c:pt idx="180">
                  <c:v>0.0</c:v>
                </c:pt>
                <c:pt idx="181">
                  <c:v>0.0</c:v>
                </c:pt>
                <c:pt idx="182">
                  <c:v>0.0</c:v>
                </c:pt>
                <c:pt idx="183">
                  <c:v>1.0</c:v>
                </c:pt>
                <c:pt idx="184">
                  <c:v>1.0</c:v>
                </c:pt>
                <c:pt idx="185">
                  <c:v>1.0</c:v>
                </c:pt>
                <c:pt idx="186">
                  <c:v>1.0</c:v>
                </c:pt>
                <c:pt idx="187">
                  <c:v>2.0</c:v>
                </c:pt>
                <c:pt idx="188">
                  <c:v>2.0</c:v>
                </c:pt>
                <c:pt idx="189">
                  <c:v>3.0</c:v>
                </c:pt>
                <c:pt idx="190">
                  <c:v>3.0</c:v>
                </c:pt>
                <c:pt idx="191">
                  <c:v>4.0</c:v>
                </c:pt>
                <c:pt idx="192">
                  <c:v>5.0</c:v>
                </c:pt>
                <c:pt idx="193">
                  <c:v>5.0</c:v>
                </c:pt>
                <c:pt idx="194">
                  <c:v>5.0</c:v>
                </c:pt>
                <c:pt idx="195">
                  <c:v>5.0</c:v>
                </c:pt>
                <c:pt idx="196">
                  <c:v>5.0</c:v>
                </c:pt>
                <c:pt idx="197">
                  <c:v>5.0</c:v>
                </c:pt>
                <c:pt idx="198">
                  <c:v>5.0</c:v>
                </c:pt>
                <c:pt idx="199">
                  <c:v>5.0</c:v>
                </c:pt>
                <c:pt idx="200">
                  <c:v>5.0</c:v>
                </c:pt>
                <c:pt idx="201">
                  <c:v>5.0</c:v>
                </c:pt>
                <c:pt idx="202">
                  <c:v>5.0</c:v>
                </c:pt>
                <c:pt idx="203">
                  <c:v>5.0</c:v>
                </c:pt>
                <c:pt idx="204">
                  <c:v>5.0</c:v>
                </c:pt>
                <c:pt idx="205">
                  <c:v>5.0</c:v>
                </c:pt>
                <c:pt idx="206">
                  <c:v>5.0</c:v>
                </c:pt>
                <c:pt idx="207">
                  <c:v>5.0</c:v>
                </c:pt>
                <c:pt idx="208">
                  <c:v>5.0</c:v>
                </c:pt>
                <c:pt idx="209">
                  <c:v>5.0</c:v>
                </c:pt>
              </c:numCache>
            </c:numRef>
          </c:val>
          <c:smooth val="0"/>
        </c:ser>
        <c:ser>
          <c:idx val="4"/>
          <c:order val="4"/>
          <c:tx>
            <c:strRef>
              <c:f>'no reallocation data'!$F$1</c:f>
              <c:strCache>
                <c:ptCount val="1"/>
                <c:pt idx="0">
                  <c:v>2004</c:v>
                </c:pt>
              </c:strCache>
            </c:strRef>
          </c:tx>
          <c:spPr>
            <a:ln w="25400">
              <a:solidFill>
                <a:srgbClr val="6711FF"/>
              </a:solidFill>
              <a:prstDash val="solid"/>
            </a:ln>
          </c:spPr>
          <c:marker>
            <c:symbol val="none"/>
          </c:marker>
          <c:cat>
            <c:strRef>
              <c:f>'q=1.33p+0.33 data'!$A$2:$A$213</c:f>
              <c:strCache>
                <c:ptCount val="212"/>
                <c:pt idx="0">
                  <c:v>20-Jan</c:v>
                </c:pt>
                <c:pt idx="1">
                  <c:v>21-Jan</c:v>
                </c:pt>
                <c:pt idx="2">
                  <c:v>22-Jan</c:v>
                </c:pt>
                <c:pt idx="3">
                  <c:v>23-Jan</c:v>
                </c:pt>
                <c:pt idx="4">
                  <c:v>24-Jan</c:v>
                </c:pt>
                <c:pt idx="5">
                  <c:v>25-Jan</c:v>
                </c:pt>
                <c:pt idx="6">
                  <c:v>26-Jan</c:v>
                </c:pt>
                <c:pt idx="7">
                  <c:v>27-Jan</c:v>
                </c:pt>
                <c:pt idx="8">
                  <c:v>28-Jan</c:v>
                </c:pt>
                <c:pt idx="9">
                  <c:v>29-Jan</c:v>
                </c:pt>
                <c:pt idx="10">
                  <c:v>30-Jan</c:v>
                </c:pt>
                <c:pt idx="11">
                  <c:v>31-Jan</c:v>
                </c:pt>
                <c:pt idx="12">
                  <c:v>1-Feb</c:v>
                </c:pt>
                <c:pt idx="13">
                  <c:v>2-Feb</c:v>
                </c:pt>
                <c:pt idx="14">
                  <c:v>3-Feb</c:v>
                </c:pt>
                <c:pt idx="15">
                  <c:v>4-Feb</c:v>
                </c:pt>
                <c:pt idx="16">
                  <c:v>5-Feb</c:v>
                </c:pt>
                <c:pt idx="17">
                  <c:v>6-Feb</c:v>
                </c:pt>
                <c:pt idx="18">
                  <c:v>7-Feb</c:v>
                </c:pt>
                <c:pt idx="19">
                  <c:v>8-Feb</c:v>
                </c:pt>
                <c:pt idx="20">
                  <c:v>9-Feb</c:v>
                </c:pt>
                <c:pt idx="21">
                  <c:v>10-Feb</c:v>
                </c:pt>
                <c:pt idx="22">
                  <c:v>11-Feb</c:v>
                </c:pt>
                <c:pt idx="23">
                  <c:v>12-Feb</c:v>
                </c:pt>
                <c:pt idx="24">
                  <c:v>13-Feb</c:v>
                </c:pt>
                <c:pt idx="25">
                  <c:v>14-Feb</c:v>
                </c:pt>
                <c:pt idx="26">
                  <c:v>15-Feb</c:v>
                </c:pt>
                <c:pt idx="27">
                  <c:v>16-Feb</c:v>
                </c:pt>
                <c:pt idx="28">
                  <c:v>17-Feb</c:v>
                </c:pt>
                <c:pt idx="29">
                  <c:v>18-Feb</c:v>
                </c:pt>
                <c:pt idx="30">
                  <c:v>19-Feb</c:v>
                </c:pt>
                <c:pt idx="31">
                  <c:v>20-Feb</c:v>
                </c:pt>
                <c:pt idx="32">
                  <c:v>21-Feb</c:v>
                </c:pt>
                <c:pt idx="33">
                  <c:v>22-Feb</c:v>
                </c:pt>
                <c:pt idx="34">
                  <c:v>23-Feb</c:v>
                </c:pt>
                <c:pt idx="35">
                  <c:v>24-Feb</c:v>
                </c:pt>
                <c:pt idx="36">
                  <c:v>25-Feb</c:v>
                </c:pt>
                <c:pt idx="37">
                  <c:v>26-Feb</c:v>
                </c:pt>
                <c:pt idx="38">
                  <c:v>27-Feb</c:v>
                </c:pt>
                <c:pt idx="39">
                  <c:v>28-Feb</c:v>
                </c:pt>
                <c:pt idx="40">
                  <c:v>29-Feb</c:v>
                </c:pt>
                <c:pt idx="41">
                  <c:v>1-Mar</c:v>
                </c:pt>
                <c:pt idx="42">
                  <c:v>2-Mar</c:v>
                </c:pt>
                <c:pt idx="43">
                  <c:v>3-Mar</c:v>
                </c:pt>
                <c:pt idx="44">
                  <c:v>4-Mar</c:v>
                </c:pt>
                <c:pt idx="45">
                  <c:v>5-Mar</c:v>
                </c:pt>
                <c:pt idx="46">
                  <c:v>6-Mar</c:v>
                </c:pt>
                <c:pt idx="47">
                  <c:v>7-Mar</c:v>
                </c:pt>
                <c:pt idx="48">
                  <c:v>8-Mar</c:v>
                </c:pt>
                <c:pt idx="49">
                  <c:v>9-Mar</c:v>
                </c:pt>
                <c:pt idx="50">
                  <c:v>10-Mar</c:v>
                </c:pt>
                <c:pt idx="51">
                  <c:v>11-Mar</c:v>
                </c:pt>
                <c:pt idx="52">
                  <c:v>12-Mar</c:v>
                </c:pt>
                <c:pt idx="53">
                  <c:v>13-Mar</c:v>
                </c:pt>
                <c:pt idx="54">
                  <c:v>14-Mar</c:v>
                </c:pt>
                <c:pt idx="55">
                  <c:v>15-Mar</c:v>
                </c:pt>
                <c:pt idx="56">
                  <c:v>16-Mar</c:v>
                </c:pt>
                <c:pt idx="57">
                  <c:v>17-Mar</c:v>
                </c:pt>
                <c:pt idx="58">
                  <c:v>18-Mar</c:v>
                </c:pt>
                <c:pt idx="59">
                  <c:v>19-Mar</c:v>
                </c:pt>
                <c:pt idx="60">
                  <c:v>20-Mar</c:v>
                </c:pt>
                <c:pt idx="61">
                  <c:v>21-Mar</c:v>
                </c:pt>
                <c:pt idx="62">
                  <c:v>22-Mar</c:v>
                </c:pt>
                <c:pt idx="63">
                  <c:v>23-Mar</c:v>
                </c:pt>
                <c:pt idx="64">
                  <c:v>24-Mar</c:v>
                </c:pt>
                <c:pt idx="65">
                  <c:v>25-Mar</c:v>
                </c:pt>
                <c:pt idx="67">
                  <c:v>11-Jun</c:v>
                </c:pt>
                <c:pt idx="68">
                  <c:v>12-Jun</c:v>
                </c:pt>
                <c:pt idx="69">
                  <c:v>13-Jun</c:v>
                </c:pt>
                <c:pt idx="70">
                  <c:v>14-Jun</c:v>
                </c:pt>
                <c:pt idx="71">
                  <c:v>15-Jun</c:v>
                </c:pt>
                <c:pt idx="72">
                  <c:v>16-Jun</c:v>
                </c:pt>
                <c:pt idx="73">
                  <c:v>17-Jun</c:v>
                </c:pt>
                <c:pt idx="74">
                  <c:v>18-Jun</c:v>
                </c:pt>
                <c:pt idx="75">
                  <c:v>19-Jun</c:v>
                </c:pt>
                <c:pt idx="76">
                  <c:v>20-Jun</c:v>
                </c:pt>
                <c:pt idx="77">
                  <c:v>21-Jun</c:v>
                </c:pt>
                <c:pt idx="78">
                  <c:v>22-Jun</c:v>
                </c:pt>
                <c:pt idx="79">
                  <c:v>23-Jun</c:v>
                </c:pt>
                <c:pt idx="80">
                  <c:v>24-Jun</c:v>
                </c:pt>
                <c:pt idx="81">
                  <c:v>25-Jun</c:v>
                </c:pt>
                <c:pt idx="82">
                  <c:v>26-Jun</c:v>
                </c:pt>
                <c:pt idx="83">
                  <c:v>27-Jun</c:v>
                </c:pt>
                <c:pt idx="84">
                  <c:v>28-Jun</c:v>
                </c:pt>
                <c:pt idx="85">
                  <c:v>29-Jun</c:v>
                </c:pt>
                <c:pt idx="86">
                  <c:v>30-Jun</c:v>
                </c:pt>
                <c:pt idx="87">
                  <c:v>1-Jul</c:v>
                </c:pt>
                <c:pt idx="88">
                  <c:v>2-Jul</c:v>
                </c:pt>
                <c:pt idx="89">
                  <c:v>3-Jul</c:v>
                </c:pt>
                <c:pt idx="90">
                  <c:v>4-Jul</c:v>
                </c:pt>
                <c:pt idx="91">
                  <c:v>5-Jul</c:v>
                </c:pt>
                <c:pt idx="92">
                  <c:v>6-Jul</c:v>
                </c:pt>
                <c:pt idx="93">
                  <c:v>7-Jul</c:v>
                </c:pt>
                <c:pt idx="94">
                  <c:v>8-Jul</c:v>
                </c:pt>
                <c:pt idx="95">
                  <c:v>9-Jul</c:v>
                </c:pt>
                <c:pt idx="96">
                  <c:v>10-Jul</c:v>
                </c:pt>
                <c:pt idx="97">
                  <c:v>11-Jul</c:v>
                </c:pt>
                <c:pt idx="98">
                  <c:v>12-Jul</c:v>
                </c:pt>
                <c:pt idx="99">
                  <c:v>13-Jul</c:v>
                </c:pt>
                <c:pt idx="100">
                  <c:v>14-Jul</c:v>
                </c:pt>
                <c:pt idx="101">
                  <c:v>15-Jul</c:v>
                </c:pt>
                <c:pt idx="102">
                  <c:v>16-Jul</c:v>
                </c:pt>
                <c:pt idx="103">
                  <c:v>17-Jul</c:v>
                </c:pt>
                <c:pt idx="104">
                  <c:v>18-Jul</c:v>
                </c:pt>
                <c:pt idx="105">
                  <c:v>19-Jul</c:v>
                </c:pt>
                <c:pt idx="106">
                  <c:v>20-Jul</c:v>
                </c:pt>
                <c:pt idx="107">
                  <c:v>21-Jul</c:v>
                </c:pt>
                <c:pt idx="108">
                  <c:v>22-Jul</c:v>
                </c:pt>
                <c:pt idx="109">
                  <c:v>23-Jul</c:v>
                </c:pt>
                <c:pt idx="110">
                  <c:v>24-Jul</c:v>
                </c:pt>
                <c:pt idx="111">
                  <c:v>25-Jul</c:v>
                </c:pt>
                <c:pt idx="112">
                  <c:v>26-Jul</c:v>
                </c:pt>
                <c:pt idx="113">
                  <c:v>27-Jul</c:v>
                </c:pt>
                <c:pt idx="114">
                  <c:v>28-Jul</c:v>
                </c:pt>
                <c:pt idx="115">
                  <c:v>29-Jul</c:v>
                </c:pt>
                <c:pt idx="116">
                  <c:v>30-Jul</c:v>
                </c:pt>
                <c:pt idx="117">
                  <c:v>31-Jul</c:v>
                </c:pt>
                <c:pt idx="118">
                  <c:v>1-Aug</c:v>
                </c:pt>
                <c:pt idx="119">
                  <c:v>2-Aug</c:v>
                </c:pt>
                <c:pt idx="120">
                  <c:v>3-Aug</c:v>
                </c:pt>
                <c:pt idx="121">
                  <c:v>4-Aug</c:v>
                </c:pt>
                <c:pt idx="122">
                  <c:v>5-Aug</c:v>
                </c:pt>
                <c:pt idx="123">
                  <c:v>6-Aug</c:v>
                </c:pt>
                <c:pt idx="124">
                  <c:v>7-Aug</c:v>
                </c:pt>
                <c:pt idx="125">
                  <c:v>8-Aug</c:v>
                </c:pt>
                <c:pt idx="126">
                  <c:v>9-Aug</c:v>
                </c:pt>
                <c:pt idx="127">
                  <c:v>10-Aug</c:v>
                </c:pt>
                <c:pt idx="128">
                  <c:v>11-Aug</c:v>
                </c:pt>
                <c:pt idx="129">
                  <c:v>12-Aug</c:v>
                </c:pt>
                <c:pt idx="130">
                  <c:v>13-Aug</c:v>
                </c:pt>
                <c:pt idx="131">
                  <c:v>14-Aug</c:v>
                </c:pt>
                <c:pt idx="132">
                  <c:v>15-Aug</c:v>
                </c:pt>
                <c:pt idx="133">
                  <c:v>16-Aug</c:v>
                </c:pt>
                <c:pt idx="134">
                  <c:v>17-Aug</c:v>
                </c:pt>
                <c:pt idx="135">
                  <c:v>18-Aug</c:v>
                </c:pt>
                <c:pt idx="136">
                  <c:v>19-Aug</c:v>
                </c:pt>
                <c:pt idx="137">
                  <c:v>20-Aug</c:v>
                </c:pt>
                <c:pt idx="138">
                  <c:v>21-Aug</c:v>
                </c:pt>
                <c:pt idx="139">
                  <c:v>22-Aug</c:v>
                </c:pt>
                <c:pt idx="140">
                  <c:v>23-Aug</c:v>
                </c:pt>
                <c:pt idx="141">
                  <c:v>24-Aug</c:v>
                </c:pt>
                <c:pt idx="142">
                  <c:v>25-Aug</c:v>
                </c:pt>
                <c:pt idx="143">
                  <c:v>26-Aug</c:v>
                </c:pt>
                <c:pt idx="144">
                  <c:v>27-Aug</c:v>
                </c:pt>
                <c:pt idx="145">
                  <c:v>28-Aug</c:v>
                </c:pt>
                <c:pt idx="146">
                  <c:v>29-Aug</c:v>
                </c:pt>
                <c:pt idx="147">
                  <c:v>30-Aug</c:v>
                </c:pt>
                <c:pt idx="148">
                  <c:v>31-Aug</c:v>
                </c:pt>
                <c:pt idx="149">
                  <c:v>1-Sep</c:v>
                </c:pt>
                <c:pt idx="150">
                  <c:v>2-Sep</c:v>
                </c:pt>
                <c:pt idx="151">
                  <c:v>3-Sep</c:v>
                </c:pt>
                <c:pt idx="152">
                  <c:v>4-Sep</c:v>
                </c:pt>
                <c:pt idx="153">
                  <c:v>5-Sep</c:v>
                </c:pt>
                <c:pt idx="154">
                  <c:v>6-Sep</c:v>
                </c:pt>
                <c:pt idx="155">
                  <c:v>7-Sep</c:v>
                </c:pt>
                <c:pt idx="156">
                  <c:v>8-Sep</c:v>
                </c:pt>
                <c:pt idx="157">
                  <c:v>9-Sep</c:v>
                </c:pt>
                <c:pt idx="158">
                  <c:v>10-Sep</c:v>
                </c:pt>
                <c:pt idx="159">
                  <c:v>11-Sep</c:v>
                </c:pt>
                <c:pt idx="160">
                  <c:v>12-Sep</c:v>
                </c:pt>
                <c:pt idx="161">
                  <c:v>13-Sep</c:v>
                </c:pt>
                <c:pt idx="162">
                  <c:v>14-Sep</c:v>
                </c:pt>
                <c:pt idx="163">
                  <c:v>15-Sep</c:v>
                </c:pt>
                <c:pt idx="164">
                  <c:v>16-Sep</c:v>
                </c:pt>
                <c:pt idx="165">
                  <c:v>17-Sep</c:v>
                </c:pt>
                <c:pt idx="166">
                  <c:v>18-Sep</c:v>
                </c:pt>
                <c:pt idx="167">
                  <c:v>19-Sep</c:v>
                </c:pt>
                <c:pt idx="168">
                  <c:v>20-Sep</c:v>
                </c:pt>
                <c:pt idx="169">
                  <c:v>21-Sep</c:v>
                </c:pt>
                <c:pt idx="170">
                  <c:v>22-Sep</c:v>
                </c:pt>
                <c:pt idx="171">
                  <c:v>23-Sep</c:v>
                </c:pt>
                <c:pt idx="172">
                  <c:v>24-Sep</c:v>
                </c:pt>
                <c:pt idx="173">
                  <c:v>25-Sep</c:v>
                </c:pt>
                <c:pt idx="174">
                  <c:v>26-Sep</c:v>
                </c:pt>
                <c:pt idx="175">
                  <c:v>27-Sep</c:v>
                </c:pt>
                <c:pt idx="176">
                  <c:v>28-Sep</c:v>
                </c:pt>
                <c:pt idx="177">
                  <c:v>29-Sep</c:v>
                </c:pt>
                <c:pt idx="178">
                  <c:v>30-Sep</c:v>
                </c:pt>
                <c:pt idx="179">
                  <c:v>1-Oct</c:v>
                </c:pt>
                <c:pt idx="180">
                  <c:v>2-Oct</c:v>
                </c:pt>
                <c:pt idx="181">
                  <c:v>3-Oct</c:v>
                </c:pt>
                <c:pt idx="182">
                  <c:v>4-Oct</c:v>
                </c:pt>
                <c:pt idx="183">
                  <c:v>5-Oct</c:v>
                </c:pt>
                <c:pt idx="184">
                  <c:v>6-Oct</c:v>
                </c:pt>
                <c:pt idx="185">
                  <c:v>7-Oct</c:v>
                </c:pt>
                <c:pt idx="186">
                  <c:v>8-Oct</c:v>
                </c:pt>
                <c:pt idx="187">
                  <c:v>9-Oct</c:v>
                </c:pt>
                <c:pt idx="188">
                  <c:v>10-Oct</c:v>
                </c:pt>
                <c:pt idx="189">
                  <c:v>11-Oct</c:v>
                </c:pt>
                <c:pt idx="190">
                  <c:v>12-Oct</c:v>
                </c:pt>
                <c:pt idx="191">
                  <c:v>13-Oct</c:v>
                </c:pt>
                <c:pt idx="192">
                  <c:v>14-Oct</c:v>
                </c:pt>
                <c:pt idx="193">
                  <c:v>15-Oct</c:v>
                </c:pt>
                <c:pt idx="194">
                  <c:v>16-Oct</c:v>
                </c:pt>
                <c:pt idx="195">
                  <c:v>17-Oct</c:v>
                </c:pt>
                <c:pt idx="196">
                  <c:v>18-Oct</c:v>
                </c:pt>
                <c:pt idx="197">
                  <c:v>19-Oct</c:v>
                </c:pt>
                <c:pt idx="198">
                  <c:v>20-Oct</c:v>
                </c:pt>
                <c:pt idx="199">
                  <c:v>21-Oct</c:v>
                </c:pt>
                <c:pt idx="200">
                  <c:v>22-Oct</c:v>
                </c:pt>
                <c:pt idx="201">
                  <c:v>23-Oct</c:v>
                </c:pt>
                <c:pt idx="202">
                  <c:v>24-Oct</c:v>
                </c:pt>
                <c:pt idx="203">
                  <c:v>25-Oct</c:v>
                </c:pt>
                <c:pt idx="204">
                  <c:v>26-Oct</c:v>
                </c:pt>
                <c:pt idx="205">
                  <c:v>27-Oct</c:v>
                </c:pt>
                <c:pt idx="206">
                  <c:v>28-Oct</c:v>
                </c:pt>
                <c:pt idx="207">
                  <c:v>29-Oct</c:v>
                </c:pt>
                <c:pt idx="208">
                  <c:v>30-Oct</c:v>
                </c:pt>
                <c:pt idx="209">
                  <c:v>31-Oct</c:v>
                </c:pt>
                <c:pt idx="210">
                  <c:v>1-Nov</c:v>
                </c:pt>
                <c:pt idx="211">
                  <c:v>2-Nov</c:v>
                </c:pt>
              </c:strCache>
            </c:strRef>
          </c:cat>
          <c:val>
            <c:numRef>
              <c:f>'no reallocation data'!$F$2:$F$211</c:f>
              <c:numCache>
                <c:formatCode>General</c:formatCode>
                <c:ptCount val="21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1.0</c:v>
                </c:pt>
                <c:pt idx="15">
                  <c:v>1.0</c:v>
                </c:pt>
                <c:pt idx="16">
                  <c:v>1.0</c:v>
                </c:pt>
                <c:pt idx="17">
                  <c:v>1.0</c:v>
                </c:pt>
                <c:pt idx="18">
                  <c:v>1.0</c:v>
                </c:pt>
                <c:pt idx="19">
                  <c:v>1.0</c:v>
                </c:pt>
                <c:pt idx="20">
                  <c:v>1.0</c:v>
                </c:pt>
                <c:pt idx="21">
                  <c:v>1.0</c:v>
                </c:pt>
                <c:pt idx="22">
                  <c:v>1.0</c:v>
                </c:pt>
                <c:pt idx="23">
                  <c:v>1.0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2.0</c:v>
                </c:pt>
                <c:pt idx="48">
                  <c:v>2.0</c:v>
                </c:pt>
                <c:pt idx="49">
                  <c:v>2.0</c:v>
                </c:pt>
                <c:pt idx="50">
                  <c:v>2.0</c:v>
                </c:pt>
                <c:pt idx="51">
                  <c:v>2.0</c:v>
                </c:pt>
                <c:pt idx="52">
                  <c:v>2.0</c:v>
                </c:pt>
                <c:pt idx="53">
                  <c:v>2.0</c:v>
                </c:pt>
                <c:pt idx="54">
                  <c:v>2.0</c:v>
                </c:pt>
                <c:pt idx="55">
                  <c:v>2.0</c:v>
                </c:pt>
                <c:pt idx="56">
                  <c:v>2.0</c:v>
                </c:pt>
                <c:pt idx="57">
                  <c:v>2.0</c:v>
                </c:pt>
                <c:pt idx="58">
                  <c:v>2.0</c:v>
                </c:pt>
                <c:pt idx="59">
                  <c:v>2.0</c:v>
                </c:pt>
                <c:pt idx="60">
                  <c:v>2.0</c:v>
                </c:pt>
                <c:pt idx="61">
                  <c:v>2.0</c:v>
                </c:pt>
                <c:pt idx="62">
                  <c:v>2.0</c:v>
                </c:pt>
                <c:pt idx="63">
                  <c:v>2.0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0.0</c:v>
                </c:pt>
                <c:pt idx="162">
                  <c:v>0.0</c:v>
                </c:pt>
                <c:pt idx="163">
                  <c:v>0.0</c:v>
                </c:pt>
                <c:pt idx="164">
                  <c:v>0.0</c:v>
                </c:pt>
                <c:pt idx="165">
                  <c:v>0.0</c:v>
                </c:pt>
                <c:pt idx="166">
                  <c:v>0.0</c:v>
                </c:pt>
                <c:pt idx="167">
                  <c:v>0.0</c:v>
                </c:pt>
                <c:pt idx="168">
                  <c:v>0.0</c:v>
                </c:pt>
                <c:pt idx="169">
                  <c:v>0.0</c:v>
                </c:pt>
                <c:pt idx="170">
                  <c:v>0.0</c:v>
                </c:pt>
                <c:pt idx="171">
                  <c:v>0.0</c:v>
                </c:pt>
                <c:pt idx="172">
                  <c:v>0.0</c:v>
                </c:pt>
                <c:pt idx="173">
                  <c:v>0.0</c:v>
                </c:pt>
                <c:pt idx="174">
                  <c:v>0.0</c:v>
                </c:pt>
                <c:pt idx="175">
                  <c:v>1.0</c:v>
                </c:pt>
                <c:pt idx="176">
                  <c:v>1.0</c:v>
                </c:pt>
                <c:pt idx="177">
                  <c:v>1.0</c:v>
                </c:pt>
                <c:pt idx="178">
                  <c:v>1.0</c:v>
                </c:pt>
                <c:pt idx="179">
                  <c:v>1.0</c:v>
                </c:pt>
                <c:pt idx="180">
                  <c:v>1.0</c:v>
                </c:pt>
                <c:pt idx="181">
                  <c:v>1.0</c:v>
                </c:pt>
                <c:pt idx="182">
                  <c:v>2.0</c:v>
                </c:pt>
                <c:pt idx="183">
                  <c:v>2.0</c:v>
                </c:pt>
                <c:pt idx="184">
                  <c:v>2.0</c:v>
                </c:pt>
                <c:pt idx="185">
                  <c:v>3.0</c:v>
                </c:pt>
                <c:pt idx="186">
                  <c:v>3.0</c:v>
                </c:pt>
                <c:pt idx="187">
                  <c:v>4.0</c:v>
                </c:pt>
                <c:pt idx="188">
                  <c:v>4.0</c:v>
                </c:pt>
                <c:pt idx="189">
                  <c:v>4.0</c:v>
                </c:pt>
                <c:pt idx="190">
                  <c:v>5.0</c:v>
                </c:pt>
                <c:pt idx="191">
                  <c:v>6.0</c:v>
                </c:pt>
                <c:pt idx="192">
                  <c:v>6.0</c:v>
                </c:pt>
                <c:pt idx="193">
                  <c:v>6.0</c:v>
                </c:pt>
                <c:pt idx="194">
                  <c:v>7.0</c:v>
                </c:pt>
                <c:pt idx="195">
                  <c:v>7.0</c:v>
                </c:pt>
                <c:pt idx="196">
                  <c:v>7.0</c:v>
                </c:pt>
                <c:pt idx="197">
                  <c:v>8.0</c:v>
                </c:pt>
                <c:pt idx="198">
                  <c:v>8.0</c:v>
                </c:pt>
                <c:pt idx="199">
                  <c:v>8.0</c:v>
                </c:pt>
                <c:pt idx="200">
                  <c:v>8.0</c:v>
                </c:pt>
                <c:pt idx="201">
                  <c:v>9.0</c:v>
                </c:pt>
                <c:pt idx="202">
                  <c:v>11.0</c:v>
                </c:pt>
                <c:pt idx="203">
                  <c:v>13.0</c:v>
                </c:pt>
                <c:pt idx="204">
                  <c:v>13.0</c:v>
                </c:pt>
                <c:pt idx="205">
                  <c:v>13.0</c:v>
                </c:pt>
                <c:pt idx="206">
                  <c:v>15.0</c:v>
                </c:pt>
                <c:pt idx="207">
                  <c:v>16.0</c:v>
                </c:pt>
                <c:pt idx="208">
                  <c:v>16.0</c:v>
                </c:pt>
                <c:pt idx="209">
                  <c:v>16.0</c:v>
                </c:pt>
              </c:numCache>
            </c:numRef>
          </c:val>
          <c:smooth val="0"/>
        </c:ser>
        <c:ser>
          <c:idx val="5"/>
          <c:order val="5"/>
          <c:tx>
            <c:strRef>
              <c:f>'no reallocation data'!$G$1</c:f>
              <c:strCache>
                <c:ptCount val="1"/>
                <c:pt idx="0">
                  <c:v>2005</c:v>
                </c:pt>
              </c:strCache>
            </c:strRef>
          </c:tx>
          <c:spPr>
            <a:ln w="25400">
              <a:solidFill>
                <a:srgbClr val="1FB714"/>
              </a:solidFill>
              <a:prstDash val="solid"/>
            </a:ln>
          </c:spPr>
          <c:marker>
            <c:symbol val="none"/>
          </c:marker>
          <c:cat>
            <c:strRef>
              <c:f>'q=1.33p+0.33 data'!$A$2:$A$213</c:f>
              <c:strCache>
                <c:ptCount val="212"/>
                <c:pt idx="0">
                  <c:v>20-Jan</c:v>
                </c:pt>
                <c:pt idx="1">
                  <c:v>21-Jan</c:v>
                </c:pt>
                <c:pt idx="2">
                  <c:v>22-Jan</c:v>
                </c:pt>
                <c:pt idx="3">
                  <c:v>23-Jan</c:v>
                </c:pt>
                <c:pt idx="4">
                  <c:v>24-Jan</c:v>
                </c:pt>
                <c:pt idx="5">
                  <c:v>25-Jan</c:v>
                </c:pt>
                <c:pt idx="6">
                  <c:v>26-Jan</c:v>
                </c:pt>
                <c:pt idx="7">
                  <c:v>27-Jan</c:v>
                </c:pt>
                <c:pt idx="8">
                  <c:v>28-Jan</c:v>
                </c:pt>
                <c:pt idx="9">
                  <c:v>29-Jan</c:v>
                </c:pt>
                <c:pt idx="10">
                  <c:v>30-Jan</c:v>
                </c:pt>
                <c:pt idx="11">
                  <c:v>31-Jan</c:v>
                </c:pt>
                <c:pt idx="12">
                  <c:v>1-Feb</c:v>
                </c:pt>
                <c:pt idx="13">
                  <c:v>2-Feb</c:v>
                </c:pt>
                <c:pt idx="14">
                  <c:v>3-Feb</c:v>
                </c:pt>
                <c:pt idx="15">
                  <c:v>4-Feb</c:v>
                </c:pt>
                <c:pt idx="16">
                  <c:v>5-Feb</c:v>
                </c:pt>
                <c:pt idx="17">
                  <c:v>6-Feb</c:v>
                </c:pt>
                <c:pt idx="18">
                  <c:v>7-Feb</c:v>
                </c:pt>
                <c:pt idx="19">
                  <c:v>8-Feb</c:v>
                </c:pt>
                <c:pt idx="20">
                  <c:v>9-Feb</c:v>
                </c:pt>
                <c:pt idx="21">
                  <c:v>10-Feb</c:v>
                </c:pt>
                <c:pt idx="22">
                  <c:v>11-Feb</c:v>
                </c:pt>
                <c:pt idx="23">
                  <c:v>12-Feb</c:v>
                </c:pt>
                <c:pt idx="24">
                  <c:v>13-Feb</c:v>
                </c:pt>
                <c:pt idx="25">
                  <c:v>14-Feb</c:v>
                </c:pt>
                <c:pt idx="26">
                  <c:v>15-Feb</c:v>
                </c:pt>
                <c:pt idx="27">
                  <c:v>16-Feb</c:v>
                </c:pt>
                <c:pt idx="28">
                  <c:v>17-Feb</c:v>
                </c:pt>
                <c:pt idx="29">
                  <c:v>18-Feb</c:v>
                </c:pt>
                <c:pt idx="30">
                  <c:v>19-Feb</c:v>
                </c:pt>
                <c:pt idx="31">
                  <c:v>20-Feb</c:v>
                </c:pt>
                <c:pt idx="32">
                  <c:v>21-Feb</c:v>
                </c:pt>
                <c:pt idx="33">
                  <c:v>22-Feb</c:v>
                </c:pt>
                <c:pt idx="34">
                  <c:v>23-Feb</c:v>
                </c:pt>
                <c:pt idx="35">
                  <c:v>24-Feb</c:v>
                </c:pt>
                <c:pt idx="36">
                  <c:v>25-Feb</c:v>
                </c:pt>
                <c:pt idx="37">
                  <c:v>26-Feb</c:v>
                </c:pt>
                <c:pt idx="38">
                  <c:v>27-Feb</c:v>
                </c:pt>
                <c:pt idx="39">
                  <c:v>28-Feb</c:v>
                </c:pt>
                <c:pt idx="40">
                  <c:v>29-Feb</c:v>
                </c:pt>
                <c:pt idx="41">
                  <c:v>1-Mar</c:v>
                </c:pt>
                <c:pt idx="42">
                  <c:v>2-Mar</c:v>
                </c:pt>
                <c:pt idx="43">
                  <c:v>3-Mar</c:v>
                </c:pt>
                <c:pt idx="44">
                  <c:v>4-Mar</c:v>
                </c:pt>
                <c:pt idx="45">
                  <c:v>5-Mar</c:v>
                </c:pt>
                <c:pt idx="46">
                  <c:v>6-Mar</c:v>
                </c:pt>
                <c:pt idx="47">
                  <c:v>7-Mar</c:v>
                </c:pt>
                <c:pt idx="48">
                  <c:v>8-Mar</c:v>
                </c:pt>
                <c:pt idx="49">
                  <c:v>9-Mar</c:v>
                </c:pt>
                <c:pt idx="50">
                  <c:v>10-Mar</c:v>
                </c:pt>
                <c:pt idx="51">
                  <c:v>11-Mar</c:v>
                </c:pt>
                <c:pt idx="52">
                  <c:v>12-Mar</c:v>
                </c:pt>
                <c:pt idx="53">
                  <c:v>13-Mar</c:v>
                </c:pt>
                <c:pt idx="54">
                  <c:v>14-Mar</c:v>
                </c:pt>
                <c:pt idx="55">
                  <c:v>15-Mar</c:v>
                </c:pt>
                <c:pt idx="56">
                  <c:v>16-Mar</c:v>
                </c:pt>
                <c:pt idx="57">
                  <c:v>17-Mar</c:v>
                </c:pt>
                <c:pt idx="58">
                  <c:v>18-Mar</c:v>
                </c:pt>
                <c:pt idx="59">
                  <c:v>19-Mar</c:v>
                </c:pt>
                <c:pt idx="60">
                  <c:v>20-Mar</c:v>
                </c:pt>
                <c:pt idx="61">
                  <c:v>21-Mar</c:v>
                </c:pt>
                <c:pt idx="62">
                  <c:v>22-Mar</c:v>
                </c:pt>
                <c:pt idx="63">
                  <c:v>23-Mar</c:v>
                </c:pt>
                <c:pt idx="64">
                  <c:v>24-Mar</c:v>
                </c:pt>
                <c:pt idx="65">
                  <c:v>25-Mar</c:v>
                </c:pt>
                <c:pt idx="67">
                  <c:v>11-Jun</c:v>
                </c:pt>
                <c:pt idx="68">
                  <c:v>12-Jun</c:v>
                </c:pt>
                <c:pt idx="69">
                  <c:v>13-Jun</c:v>
                </c:pt>
                <c:pt idx="70">
                  <c:v>14-Jun</c:v>
                </c:pt>
                <c:pt idx="71">
                  <c:v>15-Jun</c:v>
                </c:pt>
                <c:pt idx="72">
                  <c:v>16-Jun</c:v>
                </c:pt>
                <c:pt idx="73">
                  <c:v>17-Jun</c:v>
                </c:pt>
                <c:pt idx="74">
                  <c:v>18-Jun</c:v>
                </c:pt>
                <c:pt idx="75">
                  <c:v>19-Jun</c:v>
                </c:pt>
                <c:pt idx="76">
                  <c:v>20-Jun</c:v>
                </c:pt>
                <c:pt idx="77">
                  <c:v>21-Jun</c:v>
                </c:pt>
                <c:pt idx="78">
                  <c:v>22-Jun</c:v>
                </c:pt>
                <c:pt idx="79">
                  <c:v>23-Jun</c:v>
                </c:pt>
                <c:pt idx="80">
                  <c:v>24-Jun</c:v>
                </c:pt>
                <c:pt idx="81">
                  <c:v>25-Jun</c:v>
                </c:pt>
                <c:pt idx="82">
                  <c:v>26-Jun</c:v>
                </c:pt>
                <c:pt idx="83">
                  <c:v>27-Jun</c:v>
                </c:pt>
                <c:pt idx="84">
                  <c:v>28-Jun</c:v>
                </c:pt>
                <c:pt idx="85">
                  <c:v>29-Jun</c:v>
                </c:pt>
                <c:pt idx="86">
                  <c:v>30-Jun</c:v>
                </c:pt>
                <c:pt idx="87">
                  <c:v>1-Jul</c:v>
                </c:pt>
                <c:pt idx="88">
                  <c:v>2-Jul</c:v>
                </c:pt>
                <c:pt idx="89">
                  <c:v>3-Jul</c:v>
                </c:pt>
                <c:pt idx="90">
                  <c:v>4-Jul</c:v>
                </c:pt>
                <c:pt idx="91">
                  <c:v>5-Jul</c:v>
                </c:pt>
                <c:pt idx="92">
                  <c:v>6-Jul</c:v>
                </c:pt>
                <c:pt idx="93">
                  <c:v>7-Jul</c:v>
                </c:pt>
                <c:pt idx="94">
                  <c:v>8-Jul</c:v>
                </c:pt>
                <c:pt idx="95">
                  <c:v>9-Jul</c:v>
                </c:pt>
                <c:pt idx="96">
                  <c:v>10-Jul</c:v>
                </c:pt>
                <c:pt idx="97">
                  <c:v>11-Jul</c:v>
                </c:pt>
                <c:pt idx="98">
                  <c:v>12-Jul</c:v>
                </c:pt>
                <c:pt idx="99">
                  <c:v>13-Jul</c:v>
                </c:pt>
                <c:pt idx="100">
                  <c:v>14-Jul</c:v>
                </c:pt>
                <c:pt idx="101">
                  <c:v>15-Jul</c:v>
                </c:pt>
                <c:pt idx="102">
                  <c:v>16-Jul</c:v>
                </c:pt>
                <c:pt idx="103">
                  <c:v>17-Jul</c:v>
                </c:pt>
                <c:pt idx="104">
                  <c:v>18-Jul</c:v>
                </c:pt>
                <c:pt idx="105">
                  <c:v>19-Jul</c:v>
                </c:pt>
                <c:pt idx="106">
                  <c:v>20-Jul</c:v>
                </c:pt>
                <c:pt idx="107">
                  <c:v>21-Jul</c:v>
                </c:pt>
                <c:pt idx="108">
                  <c:v>22-Jul</c:v>
                </c:pt>
                <c:pt idx="109">
                  <c:v>23-Jul</c:v>
                </c:pt>
                <c:pt idx="110">
                  <c:v>24-Jul</c:v>
                </c:pt>
                <c:pt idx="111">
                  <c:v>25-Jul</c:v>
                </c:pt>
                <c:pt idx="112">
                  <c:v>26-Jul</c:v>
                </c:pt>
                <c:pt idx="113">
                  <c:v>27-Jul</c:v>
                </c:pt>
                <c:pt idx="114">
                  <c:v>28-Jul</c:v>
                </c:pt>
                <c:pt idx="115">
                  <c:v>29-Jul</c:v>
                </c:pt>
                <c:pt idx="116">
                  <c:v>30-Jul</c:v>
                </c:pt>
                <c:pt idx="117">
                  <c:v>31-Jul</c:v>
                </c:pt>
                <c:pt idx="118">
                  <c:v>1-Aug</c:v>
                </c:pt>
                <c:pt idx="119">
                  <c:v>2-Aug</c:v>
                </c:pt>
                <c:pt idx="120">
                  <c:v>3-Aug</c:v>
                </c:pt>
                <c:pt idx="121">
                  <c:v>4-Aug</c:v>
                </c:pt>
                <c:pt idx="122">
                  <c:v>5-Aug</c:v>
                </c:pt>
                <c:pt idx="123">
                  <c:v>6-Aug</c:v>
                </c:pt>
                <c:pt idx="124">
                  <c:v>7-Aug</c:v>
                </c:pt>
                <c:pt idx="125">
                  <c:v>8-Aug</c:v>
                </c:pt>
                <c:pt idx="126">
                  <c:v>9-Aug</c:v>
                </c:pt>
                <c:pt idx="127">
                  <c:v>10-Aug</c:v>
                </c:pt>
                <c:pt idx="128">
                  <c:v>11-Aug</c:v>
                </c:pt>
                <c:pt idx="129">
                  <c:v>12-Aug</c:v>
                </c:pt>
                <c:pt idx="130">
                  <c:v>13-Aug</c:v>
                </c:pt>
                <c:pt idx="131">
                  <c:v>14-Aug</c:v>
                </c:pt>
                <c:pt idx="132">
                  <c:v>15-Aug</c:v>
                </c:pt>
                <c:pt idx="133">
                  <c:v>16-Aug</c:v>
                </c:pt>
                <c:pt idx="134">
                  <c:v>17-Aug</c:v>
                </c:pt>
                <c:pt idx="135">
                  <c:v>18-Aug</c:v>
                </c:pt>
                <c:pt idx="136">
                  <c:v>19-Aug</c:v>
                </c:pt>
                <c:pt idx="137">
                  <c:v>20-Aug</c:v>
                </c:pt>
                <c:pt idx="138">
                  <c:v>21-Aug</c:v>
                </c:pt>
                <c:pt idx="139">
                  <c:v>22-Aug</c:v>
                </c:pt>
                <c:pt idx="140">
                  <c:v>23-Aug</c:v>
                </c:pt>
                <c:pt idx="141">
                  <c:v>24-Aug</c:v>
                </c:pt>
                <c:pt idx="142">
                  <c:v>25-Aug</c:v>
                </c:pt>
                <c:pt idx="143">
                  <c:v>26-Aug</c:v>
                </c:pt>
                <c:pt idx="144">
                  <c:v>27-Aug</c:v>
                </c:pt>
                <c:pt idx="145">
                  <c:v>28-Aug</c:v>
                </c:pt>
                <c:pt idx="146">
                  <c:v>29-Aug</c:v>
                </c:pt>
                <c:pt idx="147">
                  <c:v>30-Aug</c:v>
                </c:pt>
                <c:pt idx="148">
                  <c:v>31-Aug</c:v>
                </c:pt>
                <c:pt idx="149">
                  <c:v>1-Sep</c:v>
                </c:pt>
                <c:pt idx="150">
                  <c:v>2-Sep</c:v>
                </c:pt>
                <c:pt idx="151">
                  <c:v>3-Sep</c:v>
                </c:pt>
                <c:pt idx="152">
                  <c:v>4-Sep</c:v>
                </c:pt>
                <c:pt idx="153">
                  <c:v>5-Sep</c:v>
                </c:pt>
                <c:pt idx="154">
                  <c:v>6-Sep</c:v>
                </c:pt>
                <c:pt idx="155">
                  <c:v>7-Sep</c:v>
                </c:pt>
                <c:pt idx="156">
                  <c:v>8-Sep</c:v>
                </c:pt>
                <c:pt idx="157">
                  <c:v>9-Sep</c:v>
                </c:pt>
                <c:pt idx="158">
                  <c:v>10-Sep</c:v>
                </c:pt>
                <c:pt idx="159">
                  <c:v>11-Sep</c:v>
                </c:pt>
                <c:pt idx="160">
                  <c:v>12-Sep</c:v>
                </c:pt>
                <c:pt idx="161">
                  <c:v>13-Sep</c:v>
                </c:pt>
                <c:pt idx="162">
                  <c:v>14-Sep</c:v>
                </c:pt>
                <c:pt idx="163">
                  <c:v>15-Sep</c:v>
                </c:pt>
                <c:pt idx="164">
                  <c:v>16-Sep</c:v>
                </c:pt>
                <c:pt idx="165">
                  <c:v>17-Sep</c:v>
                </c:pt>
                <c:pt idx="166">
                  <c:v>18-Sep</c:v>
                </c:pt>
                <c:pt idx="167">
                  <c:v>19-Sep</c:v>
                </c:pt>
                <c:pt idx="168">
                  <c:v>20-Sep</c:v>
                </c:pt>
                <c:pt idx="169">
                  <c:v>21-Sep</c:v>
                </c:pt>
                <c:pt idx="170">
                  <c:v>22-Sep</c:v>
                </c:pt>
                <c:pt idx="171">
                  <c:v>23-Sep</c:v>
                </c:pt>
                <c:pt idx="172">
                  <c:v>24-Sep</c:v>
                </c:pt>
                <c:pt idx="173">
                  <c:v>25-Sep</c:v>
                </c:pt>
                <c:pt idx="174">
                  <c:v>26-Sep</c:v>
                </c:pt>
                <c:pt idx="175">
                  <c:v>27-Sep</c:v>
                </c:pt>
                <c:pt idx="176">
                  <c:v>28-Sep</c:v>
                </c:pt>
                <c:pt idx="177">
                  <c:v>29-Sep</c:v>
                </c:pt>
                <c:pt idx="178">
                  <c:v>30-Sep</c:v>
                </c:pt>
                <c:pt idx="179">
                  <c:v>1-Oct</c:v>
                </c:pt>
                <c:pt idx="180">
                  <c:v>2-Oct</c:v>
                </c:pt>
                <c:pt idx="181">
                  <c:v>3-Oct</c:v>
                </c:pt>
                <c:pt idx="182">
                  <c:v>4-Oct</c:v>
                </c:pt>
                <c:pt idx="183">
                  <c:v>5-Oct</c:v>
                </c:pt>
                <c:pt idx="184">
                  <c:v>6-Oct</c:v>
                </c:pt>
                <c:pt idx="185">
                  <c:v>7-Oct</c:v>
                </c:pt>
                <c:pt idx="186">
                  <c:v>8-Oct</c:v>
                </c:pt>
                <c:pt idx="187">
                  <c:v>9-Oct</c:v>
                </c:pt>
                <c:pt idx="188">
                  <c:v>10-Oct</c:v>
                </c:pt>
                <c:pt idx="189">
                  <c:v>11-Oct</c:v>
                </c:pt>
                <c:pt idx="190">
                  <c:v>12-Oct</c:v>
                </c:pt>
                <c:pt idx="191">
                  <c:v>13-Oct</c:v>
                </c:pt>
                <c:pt idx="192">
                  <c:v>14-Oct</c:v>
                </c:pt>
                <c:pt idx="193">
                  <c:v>15-Oct</c:v>
                </c:pt>
                <c:pt idx="194">
                  <c:v>16-Oct</c:v>
                </c:pt>
                <c:pt idx="195">
                  <c:v>17-Oct</c:v>
                </c:pt>
                <c:pt idx="196">
                  <c:v>18-Oct</c:v>
                </c:pt>
                <c:pt idx="197">
                  <c:v>19-Oct</c:v>
                </c:pt>
                <c:pt idx="198">
                  <c:v>20-Oct</c:v>
                </c:pt>
                <c:pt idx="199">
                  <c:v>21-Oct</c:v>
                </c:pt>
                <c:pt idx="200">
                  <c:v>22-Oct</c:v>
                </c:pt>
                <c:pt idx="201">
                  <c:v>23-Oct</c:v>
                </c:pt>
                <c:pt idx="202">
                  <c:v>24-Oct</c:v>
                </c:pt>
                <c:pt idx="203">
                  <c:v>25-Oct</c:v>
                </c:pt>
                <c:pt idx="204">
                  <c:v>26-Oct</c:v>
                </c:pt>
                <c:pt idx="205">
                  <c:v>27-Oct</c:v>
                </c:pt>
                <c:pt idx="206">
                  <c:v>28-Oct</c:v>
                </c:pt>
                <c:pt idx="207">
                  <c:v>29-Oct</c:v>
                </c:pt>
                <c:pt idx="208">
                  <c:v>30-Oct</c:v>
                </c:pt>
                <c:pt idx="209">
                  <c:v>31-Oct</c:v>
                </c:pt>
                <c:pt idx="210">
                  <c:v>1-Nov</c:v>
                </c:pt>
                <c:pt idx="211">
                  <c:v>2-Nov</c:v>
                </c:pt>
              </c:strCache>
            </c:strRef>
          </c:cat>
          <c:val>
            <c:numRef>
              <c:f>'no reallocation data'!$G$2:$G$211</c:f>
              <c:numCache>
                <c:formatCode>General</c:formatCode>
                <c:ptCount val="21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1.0</c:v>
                </c:pt>
                <c:pt idx="18">
                  <c:v>1.0</c:v>
                </c:pt>
                <c:pt idx="19">
                  <c:v>1.0</c:v>
                </c:pt>
                <c:pt idx="20">
                  <c:v>2.0</c:v>
                </c:pt>
                <c:pt idx="21">
                  <c:v>2.0</c:v>
                </c:pt>
                <c:pt idx="22">
                  <c:v>2.0</c:v>
                </c:pt>
                <c:pt idx="23">
                  <c:v>2.0</c:v>
                </c:pt>
                <c:pt idx="24">
                  <c:v>3.0</c:v>
                </c:pt>
                <c:pt idx="25">
                  <c:v>3.0</c:v>
                </c:pt>
                <c:pt idx="26">
                  <c:v>3.0</c:v>
                </c:pt>
                <c:pt idx="27">
                  <c:v>4.0</c:v>
                </c:pt>
                <c:pt idx="28">
                  <c:v>4.0</c:v>
                </c:pt>
                <c:pt idx="29">
                  <c:v>4.0</c:v>
                </c:pt>
                <c:pt idx="30">
                  <c:v>4.0</c:v>
                </c:pt>
                <c:pt idx="31">
                  <c:v>4.0</c:v>
                </c:pt>
                <c:pt idx="32">
                  <c:v>4.0</c:v>
                </c:pt>
                <c:pt idx="33">
                  <c:v>4.0</c:v>
                </c:pt>
                <c:pt idx="34">
                  <c:v>4.0</c:v>
                </c:pt>
                <c:pt idx="35">
                  <c:v>4.0</c:v>
                </c:pt>
                <c:pt idx="36">
                  <c:v>4.0</c:v>
                </c:pt>
                <c:pt idx="37">
                  <c:v>4.0</c:v>
                </c:pt>
                <c:pt idx="38">
                  <c:v>4.0</c:v>
                </c:pt>
                <c:pt idx="39">
                  <c:v>4.0</c:v>
                </c:pt>
                <c:pt idx="41">
                  <c:v>4.0</c:v>
                </c:pt>
                <c:pt idx="42">
                  <c:v>4.0</c:v>
                </c:pt>
                <c:pt idx="43">
                  <c:v>4.0</c:v>
                </c:pt>
                <c:pt idx="44">
                  <c:v>4.0</c:v>
                </c:pt>
                <c:pt idx="45">
                  <c:v>4.0</c:v>
                </c:pt>
                <c:pt idx="46">
                  <c:v>4.0</c:v>
                </c:pt>
                <c:pt idx="47">
                  <c:v>4.0</c:v>
                </c:pt>
                <c:pt idx="48">
                  <c:v>4.0</c:v>
                </c:pt>
                <c:pt idx="49">
                  <c:v>4.0</c:v>
                </c:pt>
                <c:pt idx="50">
                  <c:v>4.0</c:v>
                </c:pt>
                <c:pt idx="51">
                  <c:v>4.0</c:v>
                </c:pt>
                <c:pt idx="52">
                  <c:v>4.0</c:v>
                </c:pt>
                <c:pt idx="53">
                  <c:v>4.0</c:v>
                </c:pt>
                <c:pt idx="54">
                  <c:v>4.0</c:v>
                </c:pt>
                <c:pt idx="55">
                  <c:v>4.0</c:v>
                </c:pt>
                <c:pt idx="56">
                  <c:v>4.0</c:v>
                </c:pt>
                <c:pt idx="57">
                  <c:v>4.0</c:v>
                </c:pt>
                <c:pt idx="58">
                  <c:v>4.0</c:v>
                </c:pt>
                <c:pt idx="59">
                  <c:v>4.0</c:v>
                </c:pt>
                <c:pt idx="60">
                  <c:v>4.0</c:v>
                </c:pt>
                <c:pt idx="61">
                  <c:v>4.0</c:v>
                </c:pt>
                <c:pt idx="62">
                  <c:v>4.0</c:v>
                </c:pt>
                <c:pt idx="63">
                  <c:v>4.0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1.0</c:v>
                </c:pt>
                <c:pt idx="136">
                  <c:v>1.0</c:v>
                </c:pt>
                <c:pt idx="137">
                  <c:v>1.0</c:v>
                </c:pt>
                <c:pt idx="138">
                  <c:v>1.0</c:v>
                </c:pt>
                <c:pt idx="139">
                  <c:v>1.0</c:v>
                </c:pt>
                <c:pt idx="140">
                  <c:v>1.0</c:v>
                </c:pt>
                <c:pt idx="141">
                  <c:v>1.0</c:v>
                </c:pt>
                <c:pt idx="142">
                  <c:v>1.0</c:v>
                </c:pt>
                <c:pt idx="143">
                  <c:v>1.0</c:v>
                </c:pt>
                <c:pt idx="144">
                  <c:v>1.0</c:v>
                </c:pt>
                <c:pt idx="145">
                  <c:v>1.0</c:v>
                </c:pt>
                <c:pt idx="146">
                  <c:v>1.0</c:v>
                </c:pt>
                <c:pt idx="147">
                  <c:v>1.0</c:v>
                </c:pt>
                <c:pt idx="148">
                  <c:v>1.0</c:v>
                </c:pt>
                <c:pt idx="149">
                  <c:v>1.0</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1.0</c:v>
                </c:pt>
                <c:pt idx="166">
                  <c:v>1.0</c:v>
                </c:pt>
                <c:pt idx="167">
                  <c:v>2.0</c:v>
                </c:pt>
                <c:pt idx="168">
                  <c:v>2.0</c:v>
                </c:pt>
                <c:pt idx="169">
                  <c:v>2.0</c:v>
                </c:pt>
                <c:pt idx="170">
                  <c:v>2.0</c:v>
                </c:pt>
                <c:pt idx="171">
                  <c:v>3.0</c:v>
                </c:pt>
                <c:pt idx="172">
                  <c:v>3.0</c:v>
                </c:pt>
                <c:pt idx="173">
                  <c:v>3.0</c:v>
                </c:pt>
                <c:pt idx="174">
                  <c:v>4.0</c:v>
                </c:pt>
                <c:pt idx="175">
                  <c:v>4.0</c:v>
                </c:pt>
                <c:pt idx="176">
                  <c:v>6.0</c:v>
                </c:pt>
                <c:pt idx="177">
                  <c:v>6.0</c:v>
                </c:pt>
                <c:pt idx="178">
                  <c:v>7.0</c:v>
                </c:pt>
                <c:pt idx="179">
                  <c:v>8.0</c:v>
                </c:pt>
                <c:pt idx="180">
                  <c:v>8.0</c:v>
                </c:pt>
                <c:pt idx="181">
                  <c:v>8.0</c:v>
                </c:pt>
                <c:pt idx="182">
                  <c:v>10.0</c:v>
                </c:pt>
                <c:pt idx="183">
                  <c:v>12.0</c:v>
                </c:pt>
                <c:pt idx="184">
                  <c:v>15.0</c:v>
                </c:pt>
                <c:pt idx="185">
                  <c:v>16.0</c:v>
                </c:pt>
                <c:pt idx="186">
                  <c:v>17.0</c:v>
                </c:pt>
                <c:pt idx="187">
                  <c:v>17.0</c:v>
                </c:pt>
                <c:pt idx="188">
                  <c:v>17.0</c:v>
                </c:pt>
                <c:pt idx="189">
                  <c:v>19.0</c:v>
                </c:pt>
                <c:pt idx="190">
                  <c:v>20.0</c:v>
                </c:pt>
                <c:pt idx="191">
                  <c:v>21.0</c:v>
                </c:pt>
                <c:pt idx="192">
                  <c:v>22.0</c:v>
                </c:pt>
                <c:pt idx="193">
                  <c:v>23.0</c:v>
                </c:pt>
                <c:pt idx="194">
                  <c:v>23.0</c:v>
                </c:pt>
                <c:pt idx="195">
                  <c:v>23.0</c:v>
                </c:pt>
                <c:pt idx="196">
                  <c:v>24.0</c:v>
                </c:pt>
                <c:pt idx="197">
                  <c:v>24.0</c:v>
                </c:pt>
                <c:pt idx="198">
                  <c:v>24.0</c:v>
                </c:pt>
                <c:pt idx="199">
                  <c:v>24.0</c:v>
                </c:pt>
                <c:pt idx="200">
                  <c:v>24.0</c:v>
                </c:pt>
                <c:pt idx="201">
                  <c:v>24.0</c:v>
                </c:pt>
                <c:pt idx="202">
                  <c:v>24.0</c:v>
                </c:pt>
                <c:pt idx="203">
                  <c:v>25.0</c:v>
                </c:pt>
                <c:pt idx="204">
                  <c:v>27.0</c:v>
                </c:pt>
                <c:pt idx="205">
                  <c:v>27.0</c:v>
                </c:pt>
                <c:pt idx="206">
                  <c:v>27.0</c:v>
                </c:pt>
                <c:pt idx="207">
                  <c:v>28.0</c:v>
                </c:pt>
                <c:pt idx="208">
                  <c:v>29.0</c:v>
                </c:pt>
                <c:pt idx="209">
                  <c:v>29.0</c:v>
                </c:pt>
              </c:numCache>
            </c:numRef>
          </c:val>
          <c:smooth val="0"/>
        </c:ser>
        <c:ser>
          <c:idx val="6"/>
          <c:order val="6"/>
          <c:tx>
            <c:strRef>
              <c:f>'no reallocation data'!$H$1</c:f>
              <c:strCache>
                <c:ptCount val="1"/>
                <c:pt idx="0">
                  <c:v>2006</c:v>
                </c:pt>
              </c:strCache>
            </c:strRef>
          </c:tx>
          <c:spPr>
            <a:ln w="25400">
              <a:solidFill>
                <a:srgbClr val="FF9900"/>
              </a:solidFill>
              <a:prstDash val="solid"/>
            </a:ln>
          </c:spPr>
          <c:marker>
            <c:symbol val="none"/>
          </c:marker>
          <c:cat>
            <c:strRef>
              <c:f>'q=1.33p+0.33 data'!$A$2:$A$213</c:f>
              <c:strCache>
                <c:ptCount val="212"/>
                <c:pt idx="0">
                  <c:v>20-Jan</c:v>
                </c:pt>
                <c:pt idx="1">
                  <c:v>21-Jan</c:v>
                </c:pt>
                <c:pt idx="2">
                  <c:v>22-Jan</c:v>
                </c:pt>
                <c:pt idx="3">
                  <c:v>23-Jan</c:v>
                </c:pt>
                <c:pt idx="4">
                  <c:v>24-Jan</c:v>
                </c:pt>
                <c:pt idx="5">
                  <c:v>25-Jan</c:v>
                </c:pt>
                <c:pt idx="6">
                  <c:v>26-Jan</c:v>
                </c:pt>
                <c:pt idx="7">
                  <c:v>27-Jan</c:v>
                </c:pt>
                <c:pt idx="8">
                  <c:v>28-Jan</c:v>
                </c:pt>
                <c:pt idx="9">
                  <c:v>29-Jan</c:v>
                </c:pt>
                <c:pt idx="10">
                  <c:v>30-Jan</c:v>
                </c:pt>
                <c:pt idx="11">
                  <c:v>31-Jan</c:v>
                </c:pt>
                <c:pt idx="12">
                  <c:v>1-Feb</c:v>
                </c:pt>
                <c:pt idx="13">
                  <c:v>2-Feb</c:v>
                </c:pt>
                <c:pt idx="14">
                  <c:v>3-Feb</c:v>
                </c:pt>
                <c:pt idx="15">
                  <c:v>4-Feb</c:v>
                </c:pt>
                <c:pt idx="16">
                  <c:v>5-Feb</c:v>
                </c:pt>
                <c:pt idx="17">
                  <c:v>6-Feb</c:v>
                </c:pt>
                <c:pt idx="18">
                  <c:v>7-Feb</c:v>
                </c:pt>
                <c:pt idx="19">
                  <c:v>8-Feb</c:v>
                </c:pt>
                <c:pt idx="20">
                  <c:v>9-Feb</c:v>
                </c:pt>
                <c:pt idx="21">
                  <c:v>10-Feb</c:v>
                </c:pt>
                <c:pt idx="22">
                  <c:v>11-Feb</c:v>
                </c:pt>
                <c:pt idx="23">
                  <c:v>12-Feb</c:v>
                </c:pt>
                <c:pt idx="24">
                  <c:v>13-Feb</c:v>
                </c:pt>
                <c:pt idx="25">
                  <c:v>14-Feb</c:v>
                </c:pt>
                <c:pt idx="26">
                  <c:v>15-Feb</c:v>
                </c:pt>
                <c:pt idx="27">
                  <c:v>16-Feb</c:v>
                </c:pt>
                <c:pt idx="28">
                  <c:v>17-Feb</c:v>
                </c:pt>
                <c:pt idx="29">
                  <c:v>18-Feb</c:v>
                </c:pt>
                <c:pt idx="30">
                  <c:v>19-Feb</c:v>
                </c:pt>
                <c:pt idx="31">
                  <c:v>20-Feb</c:v>
                </c:pt>
                <c:pt idx="32">
                  <c:v>21-Feb</c:v>
                </c:pt>
                <c:pt idx="33">
                  <c:v>22-Feb</c:v>
                </c:pt>
                <c:pt idx="34">
                  <c:v>23-Feb</c:v>
                </c:pt>
                <c:pt idx="35">
                  <c:v>24-Feb</c:v>
                </c:pt>
                <c:pt idx="36">
                  <c:v>25-Feb</c:v>
                </c:pt>
                <c:pt idx="37">
                  <c:v>26-Feb</c:v>
                </c:pt>
                <c:pt idx="38">
                  <c:v>27-Feb</c:v>
                </c:pt>
                <c:pt idx="39">
                  <c:v>28-Feb</c:v>
                </c:pt>
                <c:pt idx="40">
                  <c:v>29-Feb</c:v>
                </c:pt>
                <c:pt idx="41">
                  <c:v>1-Mar</c:v>
                </c:pt>
                <c:pt idx="42">
                  <c:v>2-Mar</c:v>
                </c:pt>
                <c:pt idx="43">
                  <c:v>3-Mar</c:v>
                </c:pt>
                <c:pt idx="44">
                  <c:v>4-Mar</c:v>
                </c:pt>
                <c:pt idx="45">
                  <c:v>5-Mar</c:v>
                </c:pt>
                <c:pt idx="46">
                  <c:v>6-Mar</c:v>
                </c:pt>
                <c:pt idx="47">
                  <c:v>7-Mar</c:v>
                </c:pt>
                <c:pt idx="48">
                  <c:v>8-Mar</c:v>
                </c:pt>
                <c:pt idx="49">
                  <c:v>9-Mar</c:v>
                </c:pt>
                <c:pt idx="50">
                  <c:v>10-Mar</c:v>
                </c:pt>
                <c:pt idx="51">
                  <c:v>11-Mar</c:v>
                </c:pt>
                <c:pt idx="52">
                  <c:v>12-Mar</c:v>
                </c:pt>
                <c:pt idx="53">
                  <c:v>13-Mar</c:v>
                </c:pt>
                <c:pt idx="54">
                  <c:v>14-Mar</c:v>
                </c:pt>
                <c:pt idx="55">
                  <c:v>15-Mar</c:v>
                </c:pt>
                <c:pt idx="56">
                  <c:v>16-Mar</c:v>
                </c:pt>
                <c:pt idx="57">
                  <c:v>17-Mar</c:v>
                </c:pt>
                <c:pt idx="58">
                  <c:v>18-Mar</c:v>
                </c:pt>
                <c:pt idx="59">
                  <c:v>19-Mar</c:v>
                </c:pt>
                <c:pt idx="60">
                  <c:v>20-Mar</c:v>
                </c:pt>
                <c:pt idx="61">
                  <c:v>21-Mar</c:v>
                </c:pt>
                <c:pt idx="62">
                  <c:v>22-Mar</c:v>
                </c:pt>
                <c:pt idx="63">
                  <c:v>23-Mar</c:v>
                </c:pt>
                <c:pt idx="64">
                  <c:v>24-Mar</c:v>
                </c:pt>
                <c:pt idx="65">
                  <c:v>25-Mar</c:v>
                </c:pt>
                <c:pt idx="67">
                  <c:v>11-Jun</c:v>
                </c:pt>
                <c:pt idx="68">
                  <c:v>12-Jun</c:v>
                </c:pt>
                <c:pt idx="69">
                  <c:v>13-Jun</c:v>
                </c:pt>
                <c:pt idx="70">
                  <c:v>14-Jun</c:v>
                </c:pt>
                <c:pt idx="71">
                  <c:v>15-Jun</c:v>
                </c:pt>
                <c:pt idx="72">
                  <c:v>16-Jun</c:v>
                </c:pt>
                <c:pt idx="73">
                  <c:v>17-Jun</c:v>
                </c:pt>
                <c:pt idx="74">
                  <c:v>18-Jun</c:v>
                </c:pt>
                <c:pt idx="75">
                  <c:v>19-Jun</c:v>
                </c:pt>
                <c:pt idx="76">
                  <c:v>20-Jun</c:v>
                </c:pt>
                <c:pt idx="77">
                  <c:v>21-Jun</c:v>
                </c:pt>
                <c:pt idx="78">
                  <c:v>22-Jun</c:v>
                </c:pt>
                <c:pt idx="79">
                  <c:v>23-Jun</c:v>
                </c:pt>
                <c:pt idx="80">
                  <c:v>24-Jun</c:v>
                </c:pt>
                <c:pt idx="81">
                  <c:v>25-Jun</c:v>
                </c:pt>
                <c:pt idx="82">
                  <c:v>26-Jun</c:v>
                </c:pt>
                <c:pt idx="83">
                  <c:v>27-Jun</c:v>
                </c:pt>
                <c:pt idx="84">
                  <c:v>28-Jun</c:v>
                </c:pt>
                <c:pt idx="85">
                  <c:v>29-Jun</c:v>
                </c:pt>
                <c:pt idx="86">
                  <c:v>30-Jun</c:v>
                </c:pt>
                <c:pt idx="87">
                  <c:v>1-Jul</c:v>
                </c:pt>
                <c:pt idx="88">
                  <c:v>2-Jul</c:v>
                </c:pt>
                <c:pt idx="89">
                  <c:v>3-Jul</c:v>
                </c:pt>
                <c:pt idx="90">
                  <c:v>4-Jul</c:v>
                </c:pt>
                <c:pt idx="91">
                  <c:v>5-Jul</c:v>
                </c:pt>
                <c:pt idx="92">
                  <c:v>6-Jul</c:v>
                </c:pt>
                <c:pt idx="93">
                  <c:v>7-Jul</c:v>
                </c:pt>
                <c:pt idx="94">
                  <c:v>8-Jul</c:v>
                </c:pt>
                <c:pt idx="95">
                  <c:v>9-Jul</c:v>
                </c:pt>
                <c:pt idx="96">
                  <c:v>10-Jul</c:v>
                </c:pt>
                <c:pt idx="97">
                  <c:v>11-Jul</c:v>
                </c:pt>
                <c:pt idx="98">
                  <c:v>12-Jul</c:v>
                </c:pt>
                <c:pt idx="99">
                  <c:v>13-Jul</c:v>
                </c:pt>
                <c:pt idx="100">
                  <c:v>14-Jul</c:v>
                </c:pt>
                <c:pt idx="101">
                  <c:v>15-Jul</c:v>
                </c:pt>
                <c:pt idx="102">
                  <c:v>16-Jul</c:v>
                </c:pt>
                <c:pt idx="103">
                  <c:v>17-Jul</c:v>
                </c:pt>
                <c:pt idx="104">
                  <c:v>18-Jul</c:v>
                </c:pt>
                <c:pt idx="105">
                  <c:v>19-Jul</c:v>
                </c:pt>
                <c:pt idx="106">
                  <c:v>20-Jul</c:v>
                </c:pt>
                <c:pt idx="107">
                  <c:v>21-Jul</c:v>
                </c:pt>
                <c:pt idx="108">
                  <c:v>22-Jul</c:v>
                </c:pt>
                <c:pt idx="109">
                  <c:v>23-Jul</c:v>
                </c:pt>
                <c:pt idx="110">
                  <c:v>24-Jul</c:v>
                </c:pt>
                <c:pt idx="111">
                  <c:v>25-Jul</c:v>
                </c:pt>
                <c:pt idx="112">
                  <c:v>26-Jul</c:v>
                </c:pt>
                <c:pt idx="113">
                  <c:v>27-Jul</c:v>
                </c:pt>
                <c:pt idx="114">
                  <c:v>28-Jul</c:v>
                </c:pt>
                <c:pt idx="115">
                  <c:v>29-Jul</c:v>
                </c:pt>
                <c:pt idx="116">
                  <c:v>30-Jul</c:v>
                </c:pt>
                <c:pt idx="117">
                  <c:v>31-Jul</c:v>
                </c:pt>
                <c:pt idx="118">
                  <c:v>1-Aug</c:v>
                </c:pt>
                <c:pt idx="119">
                  <c:v>2-Aug</c:v>
                </c:pt>
                <c:pt idx="120">
                  <c:v>3-Aug</c:v>
                </c:pt>
                <c:pt idx="121">
                  <c:v>4-Aug</c:v>
                </c:pt>
                <c:pt idx="122">
                  <c:v>5-Aug</c:v>
                </c:pt>
                <c:pt idx="123">
                  <c:v>6-Aug</c:v>
                </c:pt>
                <c:pt idx="124">
                  <c:v>7-Aug</c:v>
                </c:pt>
                <c:pt idx="125">
                  <c:v>8-Aug</c:v>
                </c:pt>
                <c:pt idx="126">
                  <c:v>9-Aug</c:v>
                </c:pt>
                <c:pt idx="127">
                  <c:v>10-Aug</c:v>
                </c:pt>
                <c:pt idx="128">
                  <c:v>11-Aug</c:v>
                </c:pt>
                <c:pt idx="129">
                  <c:v>12-Aug</c:v>
                </c:pt>
                <c:pt idx="130">
                  <c:v>13-Aug</c:v>
                </c:pt>
                <c:pt idx="131">
                  <c:v>14-Aug</c:v>
                </c:pt>
                <c:pt idx="132">
                  <c:v>15-Aug</c:v>
                </c:pt>
                <c:pt idx="133">
                  <c:v>16-Aug</c:v>
                </c:pt>
                <c:pt idx="134">
                  <c:v>17-Aug</c:v>
                </c:pt>
                <c:pt idx="135">
                  <c:v>18-Aug</c:v>
                </c:pt>
                <c:pt idx="136">
                  <c:v>19-Aug</c:v>
                </c:pt>
                <c:pt idx="137">
                  <c:v>20-Aug</c:v>
                </c:pt>
                <c:pt idx="138">
                  <c:v>21-Aug</c:v>
                </c:pt>
                <c:pt idx="139">
                  <c:v>22-Aug</c:v>
                </c:pt>
                <c:pt idx="140">
                  <c:v>23-Aug</c:v>
                </c:pt>
                <c:pt idx="141">
                  <c:v>24-Aug</c:v>
                </c:pt>
                <c:pt idx="142">
                  <c:v>25-Aug</c:v>
                </c:pt>
                <c:pt idx="143">
                  <c:v>26-Aug</c:v>
                </c:pt>
                <c:pt idx="144">
                  <c:v>27-Aug</c:v>
                </c:pt>
                <c:pt idx="145">
                  <c:v>28-Aug</c:v>
                </c:pt>
                <c:pt idx="146">
                  <c:v>29-Aug</c:v>
                </c:pt>
                <c:pt idx="147">
                  <c:v>30-Aug</c:v>
                </c:pt>
                <c:pt idx="148">
                  <c:v>31-Aug</c:v>
                </c:pt>
                <c:pt idx="149">
                  <c:v>1-Sep</c:v>
                </c:pt>
                <c:pt idx="150">
                  <c:v>2-Sep</c:v>
                </c:pt>
                <c:pt idx="151">
                  <c:v>3-Sep</c:v>
                </c:pt>
                <c:pt idx="152">
                  <c:v>4-Sep</c:v>
                </c:pt>
                <c:pt idx="153">
                  <c:v>5-Sep</c:v>
                </c:pt>
                <c:pt idx="154">
                  <c:v>6-Sep</c:v>
                </c:pt>
                <c:pt idx="155">
                  <c:v>7-Sep</c:v>
                </c:pt>
                <c:pt idx="156">
                  <c:v>8-Sep</c:v>
                </c:pt>
                <c:pt idx="157">
                  <c:v>9-Sep</c:v>
                </c:pt>
                <c:pt idx="158">
                  <c:v>10-Sep</c:v>
                </c:pt>
                <c:pt idx="159">
                  <c:v>11-Sep</c:v>
                </c:pt>
                <c:pt idx="160">
                  <c:v>12-Sep</c:v>
                </c:pt>
                <c:pt idx="161">
                  <c:v>13-Sep</c:v>
                </c:pt>
                <c:pt idx="162">
                  <c:v>14-Sep</c:v>
                </c:pt>
                <c:pt idx="163">
                  <c:v>15-Sep</c:v>
                </c:pt>
                <c:pt idx="164">
                  <c:v>16-Sep</c:v>
                </c:pt>
                <c:pt idx="165">
                  <c:v>17-Sep</c:v>
                </c:pt>
                <c:pt idx="166">
                  <c:v>18-Sep</c:v>
                </c:pt>
                <c:pt idx="167">
                  <c:v>19-Sep</c:v>
                </c:pt>
                <c:pt idx="168">
                  <c:v>20-Sep</c:v>
                </c:pt>
                <c:pt idx="169">
                  <c:v>21-Sep</c:v>
                </c:pt>
                <c:pt idx="170">
                  <c:v>22-Sep</c:v>
                </c:pt>
                <c:pt idx="171">
                  <c:v>23-Sep</c:v>
                </c:pt>
                <c:pt idx="172">
                  <c:v>24-Sep</c:v>
                </c:pt>
                <c:pt idx="173">
                  <c:v>25-Sep</c:v>
                </c:pt>
                <c:pt idx="174">
                  <c:v>26-Sep</c:v>
                </c:pt>
                <c:pt idx="175">
                  <c:v>27-Sep</c:v>
                </c:pt>
                <c:pt idx="176">
                  <c:v>28-Sep</c:v>
                </c:pt>
                <c:pt idx="177">
                  <c:v>29-Sep</c:v>
                </c:pt>
                <c:pt idx="178">
                  <c:v>30-Sep</c:v>
                </c:pt>
                <c:pt idx="179">
                  <c:v>1-Oct</c:v>
                </c:pt>
                <c:pt idx="180">
                  <c:v>2-Oct</c:v>
                </c:pt>
                <c:pt idx="181">
                  <c:v>3-Oct</c:v>
                </c:pt>
                <c:pt idx="182">
                  <c:v>4-Oct</c:v>
                </c:pt>
                <c:pt idx="183">
                  <c:v>5-Oct</c:v>
                </c:pt>
                <c:pt idx="184">
                  <c:v>6-Oct</c:v>
                </c:pt>
                <c:pt idx="185">
                  <c:v>7-Oct</c:v>
                </c:pt>
                <c:pt idx="186">
                  <c:v>8-Oct</c:v>
                </c:pt>
                <c:pt idx="187">
                  <c:v>9-Oct</c:v>
                </c:pt>
                <c:pt idx="188">
                  <c:v>10-Oct</c:v>
                </c:pt>
                <c:pt idx="189">
                  <c:v>11-Oct</c:v>
                </c:pt>
                <c:pt idx="190">
                  <c:v>12-Oct</c:v>
                </c:pt>
                <c:pt idx="191">
                  <c:v>13-Oct</c:v>
                </c:pt>
                <c:pt idx="192">
                  <c:v>14-Oct</c:v>
                </c:pt>
                <c:pt idx="193">
                  <c:v>15-Oct</c:v>
                </c:pt>
                <c:pt idx="194">
                  <c:v>16-Oct</c:v>
                </c:pt>
                <c:pt idx="195">
                  <c:v>17-Oct</c:v>
                </c:pt>
                <c:pt idx="196">
                  <c:v>18-Oct</c:v>
                </c:pt>
                <c:pt idx="197">
                  <c:v>19-Oct</c:v>
                </c:pt>
                <c:pt idx="198">
                  <c:v>20-Oct</c:v>
                </c:pt>
                <c:pt idx="199">
                  <c:v>21-Oct</c:v>
                </c:pt>
                <c:pt idx="200">
                  <c:v>22-Oct</c:v>
                </c:pt>
                <c:pt idx="201">
                  <c:v>23-Oct</c:v>
                </c:pt>
                <c:pt idx="202">
                  <c:v>24-Oct</c:v>
                </c:pt>
                <c:pt idx="203">
                  <c:v>25-Oct</c:v>
                </c:pt>
                <c:pt idx="204">
                  <c:v>26-Oct</c:v>
                </c:pt>
                <c:pt idx="205">
                  <c:v>27-Oct</c:v>
                </c:pt>
                <c:pt idx="206">
                  <c:v>28-Oct</c:v>
                </c:pt>
                <c:pt idx="207">
                  <c:v>29-Oct</c:v>
                </c:pt>
                <c:pt idx="208">
                  <c:v>30-Oct</c:v>
                </c:pt>
                <c:pt idx="209">
                  <c:v>31-Oct</c:v>
                </c:pt>
                <c:pt idx="210">
                  <c:v>1-Nov</c:v>
                </c:pt>
                <c:pt idx="211">
                  <c:v>2-Nov</c:v>
                </c:pt>
              </c:strCache>
            </c:strRef>
          </c:cat>
          <c:val>
            <c:numRef>
              <c:f>'no reallocation data'!$H$2:$H$211</c:f>
              <c:numCache>
                <c:formatCode>General</c:formatCode>
                <c:ptCount val="210"/>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3.0</c:v>
                </c:pt>
                <c:pt idx="19">
                  <c:v>5.0</c:v>
                </c:pt>
                <c:pt idx="20">
                  <c:v>10.0</c:v>
                </c:pt>
                <c:pt idx="21">
                  <c:v>11.0</c:v>
                </c:pt>
                <c:pt idx="22">
                  <c:v>12.0</c:v>
                </c:pt>
                <c:pt idx="23">
                  <c:v>12.0</c:v>
                </c:pt>
                <c:pt idx="24">
                  <c:v>14.0</c:v>
                </c:pt>
                <c:pt idx="25">
                  <c:v>16.0</c:v>
                </c:pt>
                <c:pt idx="26">
                  <c:v>17.0</c:v>
                </c:pt>
                <c:pt idx="27">
                  <c:v>17.0</c:v>
                </c:pt>
                <c:pt idx="28">
                  <c:v>18.0</c:v>
                </c:pt>
                <c:pt idx="29">
                  <c:v>18.0</c:v>
                </c:pt>
                <c:pt idx="30">
                  <c:v>18.0</c:v>
                </c:pt>
                <c:pt idx="31">
                  <c:v>21.0</c:v>
                </c:pt>
                <c:pt idx="32">
                  <c:v>23.0</c:v>
                </c:pt>
                <c:pt idx="33">
                  <c:v>29.0</c:v>
                </c:pt>
                <c:pt idx="34">
                  <c:v>30.0</c:v>
                </c:pt>
                <c:pt idx="35">
                  <c:v>34.0</c:v>
                </c:pt>
                <c:pt idx="36">
                  <c:v>34.0</c:v>
                </c:pt>
                <c:pt idx="37">
                  <c:v>35.0</c:v>
                </c:pt>
                <c:pt idx="38">
                  <c:v>35.0</c:v>
                </c:pt>
                <c:pt idx="39">
                  <c:v>35.0</c:v>
                </c:pt>
                <c:pt idx="41">
                  <c:v>35.0</c:v>
                </c:pt>
                <c:pt idx="42">
                  <c:v>36.0</c:v>
                </c:pt>
                <c:pt idx="43">
                  <c:v>36.0</c:v>
                </c:pt>
                <c:pt idx="44">
                  <c:v>36.0</c:v>
                </c:pt>
                <c:pt idx="45">
                  <c:v>36.0</c:v>
                </c:pt>
                <c:pt idx="46">
                  <c:v>36.0</c:v>
                </c:pt>
                <c:pt idx="47">
                  <c:v>36.0</c:v>
                </c:pt>
                <c:pt idx="48">
                  <c:v>36.0</c:v>
                </c:pt>
                <c:pt idx="49">
                  <c:v>36.0</c:v>
                </c:pt>
                <c:pt idx="50">
                  <c:v>36.0</c:v>
                </c:pt>
                <c:pt idx="51">
                  <c:v>36.0</c:v>
                </c:pt>
                <c:pt idx="52">
                  <c:v>36.0</c:v>
                </c:pt>
                <c:pt idx="53">
                  <c:v>36.0</c:v>
                </c:pt>
                <c:pt idx="54">
                  <c:v>37.0</c:v>
                </c:pt>
                <c:pt idx="55">
                  <c:v>38.0</c:v>
                </c:pt>
                <c:pt idx="56">
                  <c:v>39.0</c:v>
                </c:pt>
                <c:pt idx="57">
                  <c:v>41.0</c:v>
                </c:pt>
                <c:pt idx="58">
                  <c:v>42.0</c:v>
                </c:pt>
                <c:pt idx="59">
                  <c:v>42.0</c:v>
                </c:pt>
                <c:pt idx="60">
                  <c:v>42.0</c:v>
                </c:pt>
                <c:pt idx="61">
                  <c:v>42.0</c:v>
                </c:pt>
                <c:pt idx="62">
                  <c:v>42.0</c:v>
                </c:pt>
                <c:pt idx="63">
                  <c:v>42.0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1.0</c:v>
                </c:pt>
                <c:pt idx="159">
                  <c:v>2.0</c:v>
                </c:pt>
                <c:pt idx="160">
                  <c:v>2.0</c:v>
                </c:pt>
                <c:pt idx="161">
                  <c:v>2.0</c:v>
                </c:pt>
                <c:pt idx="162">
                  <c:v>2.0</c:v>
                </c:pt>
                <c:pt idx="163">
                  <c:v>2.0</c:v>
                </c:pt>
                <c:pt idx="164">
                  <c:v>2.0</c:v>
                </c:pt>
                <c:pt idx="165">
                  <c:v>3.0</c:v>
                </c:pt>
                <c:pt idx="166">
                  <c:v>4.0</c:v>
                </c:pt>
                <c:pt idx="167">
                  <c:v>4.0</c:v>
                </c:pt>
                <c:pt idx="168">
                  <c:v>6.0</c:v>
                </c:pt>
                <c:pt idx="169">
                  <c:v>6.0</c:v>
                </c:pt>
                <c:pt idx="170">
                  <c:v>8.0</c:v>
                </c:pt>
                <c:pt idx="171">
                  <c:v>10.0</c:v>
                </c:pt>
                <c:pt idx="172">
                  <c:v>11.0</c:v>
                </c:pt>
                <c:pt idx="173">
                  <c:v>12.0</c:v>
                </c:pt>
                <c:pt idx="174">
                  <c:v>14.0</c:v>
                </c:pt>
                <c:pt idx="175">
                  <c:v>14.0</c:v>
                </c:pt>
                <c:pt idx="176">
                  <c:v>14.0</c:v>
                </c:pt>
                <c:pt idx="177">
                  <c:v>14.0</c:v>
                </c:pt>
                <c:pt idx="178">
                  <c:v>15.0</c:v>
                </c:pt>
                <c:pt idx="179">
                  <c:v>15.0</c:v>
                </c:pt>
                <c:pt idx="180">
                  <c:v>17.0</c:v>
                </c:pt>
                <c:pt idx="181">
                  <c:v>18.0</c:v>
                </c:pt>
                <c:pt idx="182">
                  <c:v>20.0</c:v>
                </c:pt>
                <c:pt idx="183">
                  <c:v>20.0</c:v>
                </c:pt>
                <c:pt idx="184">
                  <c:v>21.0</c:v>
                </c:pt>
                <c:pt idx="185">
                  <c:v>21.0</c:v>
                </c:pt>
                <c:pt idx="186">
                  <c:v>21.0</c:v>
                </c:pt>
                <c:pt idx="187">
                  <c:v>21.0</c:v>
                </c:pt>
                <c:pt idx="188">
                  <c:v>21.0</c:v>
                </c:pt>
                <c:pt idx="189">
                  <c:v>22.0</c:v>
                </c:pt>
                <c:pt idx="190">
                  <c:v>23.0</c:v>
                </c:pt>
                <c:pt idx="191">
                  <c:v>24.0</c:v>
                </c:pt>
                <c:pt idx="192">
                  <c:v>24.0</c:v>
                </c:pt>
                <c:pt idx="193">
                  <c:v>25.0</c:v>
                </c:pt>
                <c:pt idx="194">
                  <c:v>26.0</c:v>
                </c:pt>
                <c:pt idx="195">
                  <c:v>26.0</c:v>
                </c:pt>
                <c:pt idx="196">
                  <c:v>26.0</c:v>
                </c:pt>
                <c:pt idx="197">
                  <c:v>27.0</c:v>
                </c:pt>
                <c:pt idx="198">
                  <c:v>27.0</c:v>
                </c:pt>
                <c:pt idx="199">
                  <c:v>27.0</c:v>
                </c:pt>
                <c:pt idx="200">
                  <c:v>29.0</c:v>
                </c:pt>
                <c:pt idx="201">
                  <c:v>29.0</c:v>
                </c:pt>
                <c:pt idx="202">
                  <c:v>29.0</c:v>
                </c:pt>
                <c:pt idx="203">
                  <c:v>30.0</c:v>
                </c:pt>
                <c:pt idx="204">
                  <c:v>31.0</c:v>
                </c:pt>
                <c:pt idx="205">
                  <c:v>31.0</c:v>
                </c:pt>
                <c:pt idx="206">
                  <c:v>31.0</c:v>
                </c:pt>
                <c:pt idx="207">
                  <c:v>31.0</c:v>
                </c:pt>
                <c:pt idx="208">
                  <c:v>31.0</c:v>
                </c:pt>
                <c:pt idx="209">
                  <c:v>31.0</c:v>
                </c:pt>
              </c:numCache>
            </c:numRef>
          </c:val>
          <c:smooth val="0"/>
        </c:ser>
        <c:ser>
          <c:idx val="7"/>
          <c:order val="7"/>
          <c:tx>
            <c:strRef>
              <c:f>'no reallocation data'!$I$1</c:f>
              <c:strCache>
                <c:ptCount val="1"/>
                <c:pt idx="0">
                  <c:v>2007</c:v>
                </c:pt>
              </c:strCache>
            </c:strRef>
          </c:tx>
          <c:spPr>
            <a:ln w="25400">
              <a:solidFill>
                <a:srgbClr val="DD0806"/>
              </a:solidFill>
              <a:prstDash val="solid"/>
            </a:ln>
          </c:spPr>
          <c:marker>
            <c:symbol val="none"/>
          </c:marker>
          <c:cat>
            <c:strRef>
              <c:f>'q=1.33p+0.33 data'!$A$2:$A$213</c:f>
              <c:strCache>
                <c:ptCount val="212"/>
                <c:pt idx="0">
                  <c:v>20-Jan</c:v>
                </c:pt>
                <c:pt idx="1">
                  <c:v>21-Jan</c:v>
                </c:pt>
                <c:pt idx="2">
                  <c:v>22-Jan</c:v>
                </c:pt>
                <c:pt idx="3">
                  <c:v>23-Jan</c:v>
                </c:pt>
                <c:pt idx="4">
                  <c:v>24-Jan</c:v>
                </c:pt>
                <c:pt idx="5">
                  <c:v>25-Jan</c:v>
                </c:pt>
                <c:pt idx="6">
                  <c:v>26-Jan</c:v>
                </c:pt>
                <c:pt idx="7">
                  <c:v>27-Jan</c:v>
                </c:pt>
                <c:pt idx="8">
                  <c:v>28-Jan</c:v>
                </c:pt>
                <c:pt idx="9">
                  <c:v>29-Jan</c:v>
                </c:pt>
                <c:pt idx="10">
                  <c:v>30-Jan</c:v>
                </c:pt>
                <c:pt idx="11">
                  <c:v>31-Jan</c:v>
                </c:pt>
                <c:pt idx="12">
                  <c:v>1-Feb</c:v>
                </c:pt>
                <c:pt idx="13">
                  <c:v>2-Feb</c:v>
                </c:pt>
                <c:pt idx="14">
                  <c:v>3-Feb</c:v>
                </c:pt>
                <c:pt idx="15">
                  <c:v>4-Feb</c:v>
                </c:pt>
                <c:pt idx="16">
                  <c:v>5-Feb</c:v>
                </c:pt>
                <c:pt idx="17">
                  <c:v>6-Feb</c:v>
                </c:pt>
                <c:pt idx="18">
                  <c:v>7-Feb</c:v>
                </c:pt>
                <c:pt idx="19">
                  <c:v>8-Feb</c:v>
                </c:pt>
                <c:pt idx="20">
                  <c:v>9-Feb</c:v>
                </c:pt>
                <c:pt idx="21">
                  <c:v>10-Feb</c:v>
                </c:pt>
                <c:pt idx="22">
                  <c:v>11-Feb</c:v>
                </c:pt>
                <c:pt idx="23">
                  <c:v>12-Feb</c:v>
                </c:pt>
                <c:pt idx="24">
                  <c:v>13-Feb</c:v>
                </c:pt>
                <c:pt idx="25">
                  <c:v>14-Feb</c:v>
                </c:pt>
                <c:pt idx="26">
                  <c:v>15-Feb</c:v>
                </c:pt>
                <c:pt idx="27">
                  <c:v>16-Feb</c:v>
                </c:pt>
                <c:pt idx="28">
                  <c:v>17-Feb</c:v>
                </c:pt>
                <c:pt idx="29">
                  <c:v>18-Feb</c:v>
                </c:pt>
                <c:pt idx="30">
                  <c:v>19-Feb</c:v>
                </c:pt>
                <c:pt idx="31">
                  <c:v>20-Feb</c:v>
                </c:pt>
                <c:pt idx="32">
                  <c:v>21-Feb</c:v>
                </c:pt>
                <c:pt idx="33">
                  <c:v>22-Feb</c:v>
                </c:pt>
                <c:pt idx="34">
                  <c:v>23-Feb</c:v>
                </c:pt>
                <c:pt idx="35">
                  <c:v>24-Feb</c:v>
                </c:pt>
                <c:pt idx="36">
                  <c:v>25-Feb</c:v>
                </c:pt>
                <c:pt idx="37">
                  <c:v>26-Feb</c:v>
                </c:pt>
                <c:pt idx="38">
                  <c:v>27-Feb</c:v>
                </c:pt>
                <c:pt idx="39">
                  <c:v>28-Feb</c:v>
                </c:pt>
                <c:pt idx="40">
                  <c:v>29-Feb</c:v>
                </c:pt>
                <c:pt idx="41">
                  <c:v>1-Mar</c:v>
                </c:pt>
                <c:pt idx="42">
                  <c:v>2-Mar</c:v>
                </c:pt>
                <c:pt idx="43">
                  <c:v>3-Mar</c:v>
                </c:pt>
                <c:pt idx="44">
                  <c:v>4-Mar</c:v>
                </c:pt>
                <c:pt idx="45">
                  <c:v>5-Mar</c:v>
                </c:pt>
                <c:pt idx="46">
                  <c:v>6-Mar</c:v>
                </c:pt>
                <c:pt idx="47">
                  <c:v>7-Mar</c:v>
                </c:pt>
                <c:pt idx="48">
                  <c:v>8-Mar</c:v>
                </c:pt>
                <c:pt idx="49">
                  <c:v>9-Mar</c:v>
                </c:pt>
                <c:pt idx="50">
                  <c:v>10-Mar</c:v>
                </c:pt>
                <c:pt idx="51">
                  <c:v>11-Mar</c:v>
                </c:pt>
                <c:pt idx="52">
                  <c:v>12-Mar</c:v>
                </c:pt>
                <c:pt idx="53">
                  <c:v>13-Mar</c:v>
                </c:pt>
                <c:pt idx="54">
                  <c:v>14-Mar</c:v>
                </c:pt>
                <c:pt idx="55">
                  <c:v>15-Mar</c:v>
                </c:pt>
                <c:pt idx="56">
                  <c:v>16-Mar</c:v>
                </c:pt>
                <c:pt idx="57">
                  <c:v>17-Mar</c:v>
                </c:pt>
                <c:pt idx="58">
                  <c:v>18-Mar</c:v>
                </c:pt>
                <c:pt idx="59">
                  <c:v>19-Mar</c:v>
                </c:pt>
                <c:pt idx="60">
                  <c:v>20-Mar</c:v>
                </c:pt>
                <c:pt idx="61">
                  <c:v>21-Mar</c:v>
                </c:pt>
                <c:pt idx="62">
                  <c:v>22-Mar</c:v>
                </c:pt>
                <c:pt idx="63">
                  <c:v>23-Mar</c:v>
                </c:pt>
                <c:pt idx="64">
                  <c:v>24-Mar</c:v>
                </c:pt>
                <c:pt idx="65">
                  <c:v>25-Mar</c:v>
                </c:pt>
                <c:pt idx="67">
                  <c:v>11-Jun</c:v>
                </c:pt>
                <c:pt idx="68">
                  <c:v>12-Jun</c:v>
                </c:pt>
                <c:pt idx="69">
                  <c:v>13-Jun</c:v>
                </c:pt>
                <c:pt idx="70">
                  <c:v>14-Jun</c:v>
                </c:pt>
                <c:pt idx="71">
                  <c:v>15-Jun</c:v>
                </c:pt>
                <c:pt idx="72">
                  <c:v>16-Jun</c:v>
                </c:pt>
                <c:pt idx="73">
                  <c:v>17-Jun</c:v>
                </c:pt>
                <c:pt idx="74">
                  <c:v>18-Jun</c:v>
                </c:pt>
                <c:pt idx="75">
                  <c:v>19-Jun</c:v>
                </c:pt>
                <c:pt idx="76">
                  <c:v>20-Jun</c:v>
                </c:pt>
                <c:pt idx="77">
                  <c:v>21-Jun</c:v>
                </c:pt>
                <c:pt idx="78">
                  <c:v>22-Jun</c:v>
                </c:pt>
                <c:pt idx="79">
                  <c:v>23-Jun</c:v>
                </c:pt>
                <c:pt idx="80">
                  <c:v>24-Jun</c:v>
                </c:pt>
                <c:pt idx="81">
                  <c:v>25-Jun</c:v>
                </c:pt>
                <c:pt idx="82">
                  <c:v>26-Jun</c:v>
                </c:pt>
                <c:pt idx="83">
                  <c:v>27-Jun</c:v>
                </c:pt>
                <c:pt idx="84">
                  <c:v>28-Jun</c:v>
                </c:pt>
                <c:pt idx="85">
                  <c:v>29-Jun</c:v>
                </c:pt>
                <c:pt idx="86">
                  <c:v>30-Jun</c:v>
                </c:pt>
                <c:pt idx="87">
                  <c:v>1-Jul</c:v>
                </c:pt>
                <c:pt idx="88">
                  <c:v>2-Jul</c:v>
                </c:pt>
                <c:pt idx="89">
                  <c:v>3-Jul</c:v>
                </c:pt>
                <c:pt idx="90">
                  <c:v>4-Jul</c:v>
                </c:pt>
                <c:pt idx="91">
                  <c:v>5-Jul</c:v>
                </c:pt>
                <c:pt idx="92">
                  <c:v>6-Jul</c:v>
                </c:pt>
                <c:pt idx="93">
                  <c:v>7-Jul</c:v>
                </c:pt>
                <c:pt idx="94">
                  <c:v>8-Jul</c:v>
                </c:pt>
                <c:pt idx="95">
                  <c:v>9-Jul</c:v>
                </c:pt>
                <c:pt idx="96">
                  <c:v>10-Jul</c:v>
                </c:pt>
                <c:pt idx="97">
                  <c:v>11-Jul</c:v>
                </c:pt>
                <c:pt idx="98">
                  <c:v>12-Jul</c:v>
                </c:pt>
                <c:pt idx="99">
                  <c:v>13-Jul</c:v>
                </c:pt>
                <c:pt idx="100">
                  <c:v>14-Jul</c:v>
                </c:pt>
                <c:pt idx="101">
                  <c:v>15-Jul</c:v>
                </c:pt>
                <c:pt idx="102">
                  <c:v>16-Jul</c:v>
                </c:pt>
                <c:pt idx="103">
                  <c:v>17-Jul</c:v>
                </c:pt>
                <c:pt idx="104">
                  <c:v>18-Jul</c:v>
                </c:pt>
                <c:pt idx="105">
                  <c:v>19-Jul</c:v>
                </c:pt>
                <c:pt idx="106">
                  <c:v>20-Jul</c:v>
                </c:pt>
                <c:pt idx="107">
                  <c:v>21-Jul</c:v>
                </c:pt>
                <c:pt idx="108">
                  <c:v>22-Jul</c:v>
                </c:pt>
                <c:pt idx="109">
                  <c:v>23-Jul</c:v>
                </c:pt>
                <c:pt idx="110">
                  <c:v>24-Jul</c:v>
                </c:pt>
                <c:pt idx="111">
                  <c:v>25-Jul</c:v>
                </c:pt>
                <c:pt idx="112">
                  <c:v>26-Jul</c:v>
                </c:pt>
                <c:pt idx="113">
                  <c:v>27-Jul</c:v>
                </c:pt>
                <c:pt idx="114">
                  <c:v>28-Jul</c:v>
                </c:pt>
                <c:pt idx="115">
                  <c:v>29-Jul</c:v>
                </c:pt>
                <c:pt idx="116">
                  <c:v>30-Jul</c:v>
                </c:pt>
                <c:pt idx="117">
                  <c:v>31-Jul</c:v>
                </c:pt>
                <c:pt idx="118">
                  <c:v>1-Aug</c:v>
                </c:pt>
                <c:pt idx="119">
                  <c:v>2-Aug</c:v>
                </c:pt>
                <c:pt idx="120">
                  <c:v>3-Aug</c:v>
                </c:pt>
                <c:pt idx="121">
                  <c:v>4-Aug</c:v>
                </c:pt>
                <c:pt idx="122">
                  <c:v>5-Aug</c:v>
                </c:pt>
                <c:pt idx="123">
                  <c:v>6-Aug</c:v>
                </c:pt>
                <c:pt idx="124">
                  <c:v>7-Aug</c:v>
                </c:pt>
                <c:pt idx="125">
                  <c:v>8-Aug</c:v>
                </c:pt>
                <c:pt idx="126">
                  <c:v>9-Aug</c:v>
                </c:pt>
                <c:pt idx="127">
                  <c:v>10-Aug</c:v>
                </c:pt>
                <c:pt idx="128">
                  <c:v>11-Aug</c:v>
                </c:pt>
                <c:pt idx="129">
                  <c:v>12-Aug</c:v>
                </c:pt>
                <c:pt idx="130">
                  <c:v>13-Aug</c:v>
                </c:pt>
                <c:pt idx="131">
                  <c:v>14-Aug</c:v>
                </c:pt>
                <c:pt idx="132">
                  <c:v>15-Aug</c:v>
                </c:pt>
                <c:pt idx="133">
                  <c:v>16-Aug</c:v>
                </c:pt>
                <c:pt idx="134">
                  <c:v>17-Aug</c:v>
                </c:pt>
                <c:pt idx="135">
                  <c:v>18-Aug</c:v>
                </c:pt>
                <c:pt idx="136">
                  <c:v>19-Aug</c:v>
                </c:pt>
                <c:pt idx="137">
                  <c:v>20-Aug</c:v>
                </c:pt>
                <c:pt idx="138">
                  <c:v>21-Aug</c:v>
                </c:pt>
                <c:pt idx="139">
                  <c:v>22-Aug</c:v>
                </c:pt>
                <c:pt idx="140">
                  <c:v>23-Aug</c:v>
                </c:pt>
                <c:pt idx="141">
                  <c:v>24-Aug</c:v>
                </c:pt>
                <c:pt idx="142">
                  <c:v>25-Aug</c:v>
                </c:pt>
                <c:pt idx="143">
                  <c:v>26-Aug</c:v>
                </c:pt>
                <c:pt idx="144">
                  <c:v>27-Aug</c:v>
                </c:pt>
                <c:pt idx="145">
                  <c:v>28-Aug</c:v>
                </c:pt>
                <c:pt idx="146">
                  <c:v>29-Aug</c:v>
                </c:pt>
                <c:pt idx="147">
                  <c:v>30-Aug</c:v>
                </c:pt>
                <c:pt idx="148">
                  <c:v>31-Aug</c:v>
                </c:pt>
                <c:pt idx="149">
                  <c:v>1-Sep</c:v>
                </c:pt>
                <c:pt idx="150">
                  <c:v>2-Sep</c:v>
                </c:pt>
                <c:pt idx="151">
                  <c:v>3-Sep</c:v>
                </c:pt>
                <c:pt idx="152">
                  <c:v>4-Sep</c:v>
                </c:pt>
                <c:pt idx="153">
                  <c:v>5-Sep</c:v>
                </c:pt>
                <c:pt idx="154">
                  <c:v>6-Sep</c:v>
                </c:pt>
                <c:pt idx="155">
                  <c:v>7-Sep</c:v>
                </c:pt>
                <c:pt idx="156">
                  <c:v>8-Sep</c:v>
                </c:pt>
                <c:pt idx="157">
                  <c:v>9-Sep</c:v>
                </c:pt>
                <c:pt idx="158">
                  <c:v>10-Sep</c:v>
                </c:pt>
                <c:pt idx="159">
                  <c:v>11-Sep</c:v>
                </c:pt>
                <c:pt idx="160">
                  <c:v>12-Sep</c:v>
                </c:pt>
                <c:pt idx="161">
                  <c:v>13-Sep</c:v>
                </c:pt>
                <c:pt idx="162">
                  <c:v>14-Sep</c:v>
                </c:pt>
                <c:pt idx="163">
                  <c:v>15-Sep</c:v>
                </c:pt>
                <c:pt idx="164">
                  <c:v>16-Sep</c:v>
                </c:pt>
                <c:pt idx="165">
                  <c:v>17-Sep</c:v>
                </c:pt>
                <c:pt idx="166">
                  <c:v>18-Sep</c:v>
                </c:pt>
                <c:pt idx="167">
                  <c:v>19-Sep</c:v>
                </c:pt>
                <c:pt idx="168">
                  <c:v>20-Sep</c:v>
                </c:pt>
                <c:pt idx="169">
                  <c:v>21-Sep</c:v>
                </c:pt>
                <c:pt idx="170">
                  <c:v>22-Sep</c:v>
                </c:pt>
                <c:pt idx="171">
                  <c:v>23-Sep</c:v>
                </c:pt>
                <c:pt idx="172">
                  <c:v>24-Sep</c:v>
                </c:pt>
                <c:pt idx="173">
                  <c:v>25-Sep</c:v>
                </c:pt>
                <c:pt idx="174">
                  <c:v>26-Sep</c:v>
                </c:pt>
                <c:pt idx="175">
                  <c:v>27-Sep</c:v>
                </c:pt>
                <c:pt idx="176">
                  <c:v>28-Sep</c:v>
                </c:pt>
                <c:pt idx="177">
                  <c:v>29-Sep</c:v>
                </c:pt>
                <c:pt idx="178">
                  <c:v>30-Sep</c:v>
                </c:pt>
                <c:pt idx="179">
                  <c:v>1-Oct</c:v>
                </c:pt>
                <c:pt idx="180">
                  <c:v>2-Oct</c:v>
                </c:pt>
                <c:pt idx="181">
                  <c:v>3-Oct</c:v>
                </c:pt>
                <c:pt idx="182">
                  <c:v>4-Oct</c:v>
                </c:pt>
                <c:pt idx="183">
                  <c:v>5-Oct</c:v>
                </c:pt>
                <c:pt idx="184">
                  <c:v>6-Oct</c:v>
                </c:pt>
                <c:pt idx="185">
                  <c:v>7-Oct</c:v>
                </c:pt>
                <c:pt idx="186">
                  <c:v>8-Oct</c:v>
                </c:pt>
                <c:pt idx="187">
                  <c:v>9-Oct</c:v>
                </c:pt>
                <c:pt idx="188">
                  <c:v>10-Oct</c:v>
                </c:pt>
                <c:pt idx="189">
                  <c:v>11-Oct</c:v>
                </c:pt>
                <c:pt idx="190">
                  <c:v>12-Oct</c:v>
                </c:pt>
                <c:pt idx="191">
                  <c:v>13-Oct</c:v>
                </c:pt>
                <c:pt idx="192">
                  <c:v>14-Oct</c:v>
                </c:pt>
                <c:pt idx="193">
                  <c:v>15-Oct</c:v>
                </c:pt>
                <c:pt idx="194">
                  <c:v>16-Oct</c:v>
                </c:pt>
                <c:pt idx="195">
                  <c:v>17-Oct</c:v>
                </c:pt>
                <c:pt idx="196">
                  <c:v>18-Oct</c:v>
                </c:pt>
                <c:pt idx="197">
                  <c:v>19-Oct</c:v>
                </c:pt>
                <c:pt idx="198">
                  <c:v>20-Oct</c:v>
                </c:pt>
                <c:pt idx="199">
                  <c:v>21-Oct</c:v>
                </c:pt>
                <c:pt idx="200">
                  <c:v>22-Oct</c:v>
                </c:pt>
                <c:pt idx="201">
                  <c:v>23-Oct</c:v>
                </c:pt>
                <c:pt idx="202">
                  <c:v>24-Oct</c:v>
                </c:pt>
                <c:pt idx="203">
                  <c:v>25-Oct</c:v>
                </c:pt>
                <c:pt idx="204">
                  <c:v>26-Oct</c:v>
                </c:pt>
                <c:pt idx="205">
                  <c:v>27-Oct</c:v>
                </c:pt>
                <c:pt idx="206">
                  <c:v>28-Oct</c:v>
                </c:pt>
                <c:pt idx="207">
                  <c:v>29-Oct</c:v>
                </c:pt>
                <c:pt idx="208">
                  <c:v>30-Oct</c:v>
                </c:pt>
                <c:pt idx="209">
                  <c:v>31-Oct</c:v>
                </c:pt>
                <c:pt idx="210">
                  <c:v>1-Nov</c:v>
                </c:pt>
                <c:pt idx="211">
                  <c:v>2-Nov</c:v>
                </c:pt>
              </c:strCache>
            </c:strRef>
          </c:cat>
          <c:val>
            <c:numRef>
              <c:f>'no reallocation data'!$I$2:$I$211</c:f>
              <c:numCache>
                <c:formatCode>General</c:formatCode>
                <c:ptCount val="210"/>
                <c:pt idx="0">
                  <c:v>0.0</c:v>
                </c:pt>
                <c:pt idx="1">
                  <c:v>0.0</c:v>
                </c:pt>
                <c:pt idx="2">
                  <c:v>0.0</c:v>
                </c:pt>
                <c:pt idx="3">
                  <c:v>0.0</c:v>
                </c:pt>
                <c:pt idx="4">
                  <c:v>0.0</c:v>
                </c:pt>
                <c:pt idx="5">
                  <c:v>0.0</c:v>
                </c:pt>
                <c:pt idx="6">
                  <c:v>0.0</c:v>
                </c:pt>
                <c:pt idx="7">
                  <c:v>0.0</c:v>
                </c:pt>
                <c:pt idx="8">
                  <c:v>3.0</c:v>
                </c:pt>
                <c:pt idx="9">
                  <c:v>12.0</c:v>
                </c:pt>
                <c:pt idx="10">
                  <c:v>21.0</c:v>
                </c:pt>
                <c:pt idx="11">
                  <c:v>23.0</c:v>
                </c:pt>
                <c:pt idx="12">
                  <c:v>23.0</c:v>
                </c:pt>
                <c:pt idx="13">
                  <c:v>23.0</c:v>
                </c:pt>
                <c:pt idx="14">
                  <c:v>23.0</c:v>
                </c:pt>
                <c:pt idx="15">
                  <c:v>24.0</c:v>
                </c:pt>
                <c:pt idx="16">
                  <c:v>25.0</c:v>
                </c:pt>
                <c:pt idx="17">
                  <c:v>25.0</c:v>
                </c:pt>
                <c:pt idx="18">
                  <c:v>25.0</c:v>
                </c:pt>
                <c:pt idx="19">
                  <c:v>25.0</c:v>
                </c:pt>
                <c:pt idx="20">
                  <c:v>25.0</c:v>
                </c:pt>
                <c:pt idx="21">
                  <c:v>27.0</c:v>
                </c:pt>
                <c:pt idx="22">
                  <c:v>27.0</c:v>
                </c:pt>
                <c:pt idx="23">
                  <c:v>27.0</c:v>
                </c:pt>
                <c:pt idx="24">
                  <c:v>28.0</c:v>
                </c:pt>
                <c:pt idx="25">
                  <c:v>29.0</c:v>
                </c:pt>
                <c:pt idx="26">
                  <c:v>32.0</c:v>
                </c:pt>
                <c:pt idx="27">
                  <c:v>32.0</c:v>
                </c:pt>
                <c:pt idx="28">
                  <c:v>33.0</c:v>
                </c:pt>
                <c:pt idx="29">
                  <c:v>35.0</c:v>
                </c:pt>
                <c:pt idx="30">
                  <c:v>36.0</c:v>
                </c:pt>
                <c:pt idx="31">
                  <c:v>37.0</c:v>
                </c:pt>
                <c:pt idx="32">
                  <c:v>37.0</c:v>
                </c:pt>
                <c:pt idx="33">
                  <c:v>38.0</c:v>
                </c:pt>
                <c:pt idx="34">
                  <c:v>38.0</c:v>
                </c:pt>
                <c:pt idx="35">
                  <c:v>38.0</c:v>
                </c:pt>
                <c:pt idx="36">
                  <c:v>38.0</c:v>
                </c:pt>
                <c:pt idx="37">
                  <c:v>38.0</c:v>
                </c:pt>
                <c:pt idx="38">
                  <c:v>39.0</c:v>
                </c:pt>
                <c:pt idx="39">
                  <c:v>39.0</c:v>
                </c:pt>
                <c:pt idx="41">
                  <c:v>39.0</c:v>
                </c:pt>
                <c:pt idx="42">
                  <c:v>40.0</c:v>
                </c:pt>
                <c:pt idx="43">
                  <c:v>40.0</c:v>
                </c:pt>
                <c:pt idx="44">
                  <c:v>40.0</c:v>
                </c:pt>
                <c:pt idx="45">
                  <c:v>40.0</c:v>
                </c:pt>
                <c:pt idx="46">
                  <c:v>41.0</c:v>
                </c:pt>
                <c:pt idx="47">
                  <c:v>41.0</c:v>
                </c:pt>
                <c:pt idx="48">
                  <c:v>41.0</c:v>
                </c:pt>
                <c:pt idx="49">
                  <c:v>41.0</c:v>
                </c:pt>
                <c:pt idx="50">
                  <c:v>41.0</c:v>
                </c:pt>
                <c:pt idx="51">
                  <c:v>41.0</c:v>
                </c:pt>
                <c:pt idx="52">
                  <c:v>42.0</c:v>
                </c:pt>
                <c:pt idx="53">
                  <c:v>43.0</c:v>
                </c:pt>
                <c:pt idx="54">
                  <c:v>43.0</c:v>
                </c:pt>
                <c:pt idx="55">
                  <c:v>43.0</c:v>
                </c:pt>
                <c:pt idx="56">
                  <c:v>43.0</c:v>
                </c:pt>
                <c:pt idx="57">
                  <c:v>43.0</c:v>
                </c:pt>
                <c:pt idx="58">
                  <c:v>43.0</c:v>
                </c:pt>
                <c:pt idx="59">
                  <c:v>43.0</c:v>
                </c:pt>
                <c:pt idx="60">
                  <c:v>44.0</c:v>
                </c:pt>
                <c:pt idx="61">
                  <c:v>45.0</c:v>
                </c:pt>
                <c:pt idx="62">
                  <c:v>45.0</c:v>
                </c:pt>
                <c:pt idx="63">
                  <c:v>46.0</c:v>
                </c:pt>
                <c:pt idx="65">
                  <c:v>0.0</c:v>
                </c:pt>
                <c:pt idx="66">
                  <c:v>0.0</c:v>
                </c:pt>
                <c:pt idx="67">
                  <c:v>0.0</c:v>
                </c:pt>
                <c:pt idx="68">
                  <c:v>0.0</c:v>
                </c:pt>
                <c:pt idx="69">
                  <c:v>0.0</c:v>
                </c:pt>
                <c:pt idx="70">
                  <c:v>0.0</c:v>
                </c:pt>
                <c:pt idx="71">
                  <c:v>0.0</c:v>
                </c:pt>
                <c:pt idx="72">
                  <c:v>0.0</c:v>
                </c:pt>
                <c:pt idx="73">
                  <c:v>0.0</c:v>
                </c:pt>
                <c:pt idx="74">
                  <c:v>0.0</c:v>
                </c:pt>
                <c:pt idx="75">
                  <c:v>0.0</c:v>
                </c:pt>
                <c:pt idx="76">
                  <c:v>0.0</c:v>
                </c:pt>
                <c:pt idx="77">
                  <c:v>0.0</c:v>
                </c:pt>
                <c:pt idx="78">
                  <c:v>0.0</c:v>
                </c:pt>
                <c:pt idx="79">
                  <c:v>0.0</c:v>
                </c:pt>
                <c:pt idx="80">
                  <c:v>0.0</c:v>
                </c:pt>
                <c:pt idx="81">
                  <c:v>0.0</c:v>
                </c:pt>
                <c:pt idx="82">
                  <c:v>0.0</c:v>
                </c:pt>
                <c:pt idx="83">
                  <c:v>0.0</c:v>
                </c:pt>
                <c:pt idx="84">
                  <c:v>0.0</c:v>
                </c:pt>
                <c:pt idx="85">
                  <c:v>0.0</c:v>
                </c:pt>
                <c:pt idx="86">
                  <c:v>0.0</c:v>
                </c:pt>
                <c:pt idx="87">
                  <c:v>0.0</c:v>
                </c:pt>
                <c:pt idx="88">
                  <c:v>0.0</c:v>
                </c:pt>
                <c:pt idx="89">
                  <c:v>0.0</c:v>
                </c:pt>
                <c:pt idx="90">
                  <c:v>0.0</c:v>
                </c:pt>
                <c:pt idx="91">
                  <c:v>0.0</c:v>
                </c:pt>
                <c:pt idx="92">
                  <c:v>0.0</c:v>
                </c:pt>
                <c:pt idx="93">
                  <c:v>0.0</c:v>
                </c:pt>
                <c:pt idx="94">
                  <c:v>0.0</c:v>
                </c:pt>
                <c:pt idx="95">
                  <c:v>0.0</c:v>
                </c:pt>
                <c:pt idx="96">
                  <c:v>0.0</c:v>
                </c:pt>
                <c:pt idx="97">
                  <c:v>0.0</c:v>
                </c:pt>
                <c:pt idx="98">
                  <c:v>0.0</c:v>
                </c:pt>
                <c:pt idx="99">
                  <c:v>0.0</c:v>
                </c:pt>
                <c:pt idx="100">
                  <c:v>0.0</c:v>
                </c:pt>
                <c:pt idx="101">
                  <c:v>0.0</c:v>
                </c:pt>
                <c:pt idx="102">
                  <c:v>0.0</c:v>
                </c:pt>
                <c:pt idx="103">
                  <c:v>0.0</c:v>
                </c:pt>
                <c:pt idx="104">
                  <c:v>0.0</c:v>
                </c:pt>
                <c:pt idx="105">
                  <c:v>0.0</c:v>
                </c:pt>
                <c:pt idx="106">
                  <c:v>0.0</c:v>
                </c:pt>
                <c:pt idx="107">
                  <c:v>0.0</c:v>
                </c:pt>
                <c:pt idx="108">
                  <c:v>0.0</c:v>
                </c:pt>
                <c:pt idx="109">
                  <c:v>0.0</c:v>
                </c:pt>
                <c:pt idx="110">
                  <c:v>0.0</c:v>
                </c:pt>
                <c:pt idx="111">
                  <c:v>0.0</c:v>
                </c:pt>
                <c:pt idx="112">
                  <c:v>0.0</c:v>
                </c:pt>
                <c:pt idx="113">
                  <c:v>0.0</c:v>
                </c:pt>
                <c:pt idx="114">
                  <c:v>0.0</c:v>
                </c:pt>
                <c:pt idx="115">
                  <c:v>0.0</c:v>
                </c:pt>
                <c:pt idx="116">
                  <c:v>0.0</c:v>
                </c:pt>
                <c:pt idx="117">
                  <c:v>0.0</c:v>
                </c:pt>
                <c:pt idx="118">
                  <c:v>0.0</c:v>
                </c:pt>
                <c:pt idx="119">
                  <c:v>0.0</c:v>
                </c:pt>
                <c:pt idx="120">
                  <c:v>0.0</c:v>
                </c:pt>
                <c:pt idx="121">
                  <c:v>0.0</c:v>
                </c:pt>
                <c:pt idx="122">
                  <c:v>0.0</c:v>
                </c:pt>
                <c:pt idx="123">
                  <c:v>0.0</c:v>
                </c:pt>
                <c:pt idx="124">
                  <c:v>0.0</c:v>
                </c:pt>
                <c:pt idx="125">
                  <c:v>0.0</c:v>
                </c:pt>
                <c:pt idx="126">
                  <c:v>0.0</c:v>
                </c:pt>
                <c:pt idx="127">
                  <c:v>0.0</c:v>
                </c:pt>
                <c:pt idx="128">
                  <c:v>0.0</c:v>
                </c:pt>
                <c:pt idx="129">
                  <c:v>0.0</c:v>
                </c:pt>
                <c:pt idx="130">
                  <c:v>0.0</c:v>
                </c:pt>
                <c:pt idx="131">
                  <c:v>0.0</c:v>
                </c:pt>
                <c:pt idx="132">
                  <c:v>0.0</c:v>
                </c:pt>
                <c:pt idx="133">
                  <c:v>0.0</c:v>
                </c:pt>
                <c:pt idx="134">
                  <c:v>0.0</c:v>
                </c:pt>
                <c:pt idx="135">
                  <c:v>0.0</c:v>
                </c:pt>
                <c:pt idx="136">
                  <c:v>0.0</c:v>
                </c:pt>
                <c:pt idx="137">
                  <c:v>0.0</c:v>
                </c:pt>
                <c:pt idx="138">
                  <c:v>0.0</c:v>
                </c:pt>
                <c:pt idx="139">
                  <c:v>0.0</c:v>
                </c:pt>
                <c:pt idx="140">
                  <c:v>0.0</c:v>
                </c:pt>
                <c:pt idx="141">
                  <c:v>0.0</c:v>
                </c:pt>
                <c:pt idx="142">
                  <c:v>0.0</c:v>
                </c:pt>
                <c:pt idx="143">
                  <c:v>0.0</c:v>
                </c:pt>
                <c:pt idx="144">
                  <c:v>0.0</c:v>
                </c:pt>
                <c:pt idx="145">
                  <c:v>0.0</c:v>
                </c:pt>
                <c:pt idx="146">
                  <c:v>0.0</c:v>
                </c:pt>
                <c:pt idx="147">
                  <c:v>0.0</c:v>
                </c:pt>
                <c:pt idx="148">
                  <c:v>0.0</c:v>
                </c:pt>
                <c:pt idx="149">
                  <c:v>0.0</c:v>
                </c:pt>
                <c:pt idx="150">
                  <c:v>0.0</c:v>
                </c:pt>
                <c:pt idx="151">
                  <c:v>0.0</c:v>
                </c:pt>
                <c:pt idx="152">
                  <c:v>0.0</c:v>
                </c:pt>
                <c:pt idx="153">
                  <c:v>0.0</c:v>
                </c:pt>
                <c:pt idx="154">
                  <c:v>0.0</c:v>
                </c:pt>
                <c:pt idx="155">
                  <c:v>0.0</c:v>
                </c:pt>
                <c:pt idx="156">
                  <c:v>0.0</c:v>
                </c:pt>
                <c:pt idx="157">
                  <c:v>0.0</c:v>
                </c:pt>
                <c:pt idx="158">
                  <c:v>0.0</c:v>
                </c:pt>
                <c:pt idx="159">
                  <c:v>0.0</c:v>
                </c:pt>
                <c:pt idx="160">
                  <c:v>0.0</c:v>
                </c:pt>
                <c:pt idx="161">
                  <c:v>1.0</c:v>
                </c:pt>
                <c:pt idx="162">
                  <c:v>2.0</c:v>
                </c:pt>
                <c:pt idx="163">
                  <c:v>3.0</c:v>
                </c:pt>
                <c:pt idx="164">
                  <c:v>4.0</c:v>
                </c:pt>
                <c:pt idx="165">
                  <c:v>4.0</c:v>
                </c:pt>
                <c:pt idx="166">
                  <c:v>4.0</c:v>
                </c:pt>
                <c:pt idx="167">
                  <c:v>4.0</c:v>
                </c:pt>
                <c:pt idx="168">
                  <c:v>6.0</c:v>
                </c:pt>
                <c:pt idx="169">
                  <c:v>7.0</c:v>
                </c:pt>
                <c:pt idx="170">
                  <c:v>8.0</c:v>
                </c:pt>
                <c:pt idx="171">
                  <c:v>8.0</c:v>
                </c:pt>
                <c:pt idx="172">
                  <c:v>8.0</c:v>
                </c:pt>
                <c:pt idx="173">
                  <c:v>8.0</c:v>
                </c:pt>
                <c:pt idx="174">
                  <c:v>11.0</c:v>
                </c:pt>
                <c:pt idx="175">
                  <c:v>11.0</c:v>
                </c:pt>
                <c:pt idx="176">
                  <c:v>11.0</c:v>
                </c:pt>
                <c:pt idx="177">
                  <c:v>11.0</c:v>
                </c:pt>
                <c:pt idx="178">
                  <c:v>11.0</c:v>
                </c:pt>
                <c:pt idx="179">
                  <c:v>11.0</c:v>
                </c:pt>
                <c:pt idx="180">
                  <c:v>13.0</c:v>
                </c:pt>
                <c:pt idx="181">
                  <c:v>13.0</c:v>
                </c:pt>
                <c:pt idx="182">
                  <c:v>13.0</c:v>
                </c:pt>
                <c:pt idx="183">
                  <c:v>13.0</c:v>
                </c:pt>
                <c:pt idx="184">
                  <c:v>15.0</c:v>
                </c:pt>
                <c:pt idx="185">
                  <c:v>18.0</c:v>
                </c:pt>
                <c:pt idx="186">
                  <c:v>22.0</c:v>
                </c:pt>
                <c:pt idx="187">
                  <c:v>23.0</c:v>
                </c:pt>
                <c:pt idx="188">
                  <c:v>26.0</c:v>
                </c:pt>
                <c:pt idx="189">
                  <c:v>26.0</c:v>
                </c:pt>
                <c:pt idx="190">
                  <c:v>27.0</c:v>
                </c:pt>
                <c:pt idx="191">
                  <c:v>29.0</c:v>
                </c:pt>
                <c:pt idx="192">
                  <c:v>29.0</c:v>
                </c:pt>
                <c:pt idx="193">
                  <c:v>29.0</c:v>
                </c:pt>
                <c:pt idx="194">
                  <c:v>29.0</c:v>
                </c:pt>
                <c:pt idx="195">
                  <c:v>30.0</c:v>
                </c:pt>
                <c:pt idx="196">
                  <c:v>30.0</c:v>
                </c:pt>
                <c:pt idx="197">
                  <c:v>30.0</c:v>
                </c:pt>
                <c:pt idx="198">
                  <c:v>31.0</c:v>
                </c:pt>
                <c:pt idx="199">
                  <c:v>32.0</c:v>
                </c:pt>
                <c:pt idx="200">
                  <c:v>32.0</c:v>
                </c:pt>
                <c:pt idx="201">
                  <c:v>33.0</c:v>
                </c:pt>
                <c:pt idx="202">
                  <c:v>34.0</c:v>
                </c:pt>
                <c:pt idx="203">
                  <c:v>34.0</c:v>
                </c:pt>
                <c:pt idx="204">
                  <c:v>35.0</c:v>
                </c:pt>
                <c:pt idx="205">
                  <c:v>36.0</c:v>
                </c:pt>
                <c:pt idx="206">
                  <c:v>37.0</c:v>
                </c:pt>
                <c:pt idx="207">
                  <c:v>38.0</c:v>
                </c:pt>
                <c:pt idx="208">
                  <c:v>41.0</c:v>
                </c:pt>
                <c:pt idx="209">
                  <c:v>42.0</c:v>
                </c:pt>
              </c:numCache>
            </c:numRef>
          </c:val>
          <c:smooth val="0"/>
        </c:ser>
        <c:dLbls>
          <c:showLegendKey val="0"/>
          <c:showVal val="0"/>
          <c:showCatName val="0"/>
          <c:showSerName val="0"/>
          <c:showPercent val="0"/>
          <c:showBubbleSize val="0"/>
        </c:dLbls>
        <c:marker val="1"/>
        <c:smooth val="0"/>
        <c:axId val="2065578840"/>
        <c:axId val="2063709528"/>
      </c:lineChart>
      <c:catAx>
        <c:axId val="2065578840"/>
        <c:scaling>
          <c:orientation val="minMax"/>
        </c:scaling>
        <c:delete val="0"/>
        <c:axPos val="b"/>
        <c:numFmt formatCode="@" sourceLinked="1"/>
        <c:majorTickMark val="out"/>
        <c:minorTickMark val="none"/>
        <c:tickLblPos val="nextTo"/>
        <c:spPr>
          <a:ln w="3175">
            <a:solidFill>
              <a:srgbClr val="000000"/>
            </a:solidFill>
            <a:prstDash val="solid"/>
          </a:ln>
        </c:spPr>
        <c:txPr>
          <a:bodyPr rot="-5400000" vert="horz"/>
          <a:lstStyle/>
          <a:p>
            <a:pPr>
              <a:defRPr sz="900" b="0" i="0" u="none" strike="noStrike" baseline="0">
                <a:solidFill>
                  <a:srgbClr val="000000"/>
                </a:solidFill>
                <a:latin typeface="Arial"/>
                <a:ea typeface="Verdana"/>
                <a:cs typeface="Arial"/>
              </a:defRPr>
            </a:pPr>
            <a:endParaRPr lang="en-US"/>
          </a:p>
        </c:txPr>
        <c:crossAx val="2063709528"/>
        <c:crosses val="autoZero"/>
        <c:auto val="1"/>
        <c:lblAlgn val="ctr"/>
        <c:lblOffset val="100"/>
        <c:tickLblSkip val="7"/>
        <c:tickMarkSkip val="1"/>
        <c:noMultiLvlLbl val="0"/>
      </c:catAx>
      <c:valAx>
        <c:axId val="2063709528"/>
        <c:scaling>
          <c:orientation val="minMax"/>
        </c:scaling>
        <c:delete val="0"/>
        <c:axPos val="l"/>
        <c:majorGridlines>
          <c:spPr>
            <a:ln w="3175">
              <a:solidFill>
                <a:srgbClr val="000000"/>
              </a:solidFill>
              <a:prstDash val="solid"/>
            </a:ln>
          </c:spPr>
        </c:majorGridlines>
        <c:title>
          <c:tx>
            <c:rich>
              <a:bodyPr/>
              <a:lstStyle/>
              <a:p>
                <a:pPr>
                  <a:defRPr sz="900" b="1" i="0" u="none" strike="noStrike" baseline="0">
                    <a:solidFill>
                      <a:srgbClr val="000000"/>
                    </a:solidFill>
                    <a:latin typeface="Arial"/>
                    <a:ea typeface="Verdana"/>
                    <a:cs typeface="Arial"/>
                  </a:defRPr>
                </a:pPr>
                <a:r>
                  <a:rPr lang="en-US" sz="900">
                    <a:latin typeface="Arial"/>
                    <a:cs typeface="Arial"/>
                  </a:rPr>
                  <a:t>number of vessels</a:t>
                </a:r>
              </a:p>
            </c:rich>
          </c:tx>
          <c:layout>
            <c:manualLayout>
              <c:xMode val="edge"/>
              <c:yMode val="edge"/>
              <c:x val="0.0133333333333333"/>
              <c:y val="0.363834422657952"/>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Arial"/>
                <a:ea typeface="Verdana"/>
                <a:cs typeface="Arial"/>
              </a:defRPr>
            </a:pPr>
            <a:endParaRPr lang="en-US"/>
          </a:p>
        </c:txPr>
        <c:crossAx val="2065578840"/>
        <c:crosses val="autoZero"/>
        <c:crossBetween val="between"/>
      </c:valAx>
      <c:spPr>
        <a:solidFill>
          <a:srgbClr val="FFFFFF"/>
        </a:solidFill>
        <a:ln w="12700">
          <a:solidFill>
            <a:srgbClr val="000000"/>
          </a:solidFill>
          <a:prstDash val="solid"/>
        </a:ln>
      </c:spPr>
    </c:plotArea>
    <c:legend>
      <c:legendPos val="r"/>
      <c:layout>
        <c:manualLayout>
          <c:xMode val="edge"/>
          <c:yMode val="edge"/>
          <c:x val="0.733240740740741"/>
          <c:y val="0.16883873345619"/>
          <c:w val="0.123425925925926"/>
          <c:h val="0.281045751633987"/>
        </c:manualLayout>
      </c:layout>
      <c:overlay val="0"/>
      <c:spPr>
        <a:solidFill>
          <a:srgbClr val="FFFFFF"/>
        </a:solidFill>
        <a:ln w="12700">
          <a:solidFill>
            <a:schemeClr val="tx1"/>
          </a:solidFill>
        </a:ln>
      </c:spPr>
      <c:txPr>
        <a:bodyPr/>
        <a:lstStyle/>
        <a:p>
          <a:pPr>
            <a:defRPr sz="900" b="0" i="0" u="none" strike="noStrike" baseline="0">
              <a:solidFill>
                <a:srgbClr val="000000"/>
              </a:solidFill>
              <a:latin typeface="Arial"/>
              <a:ea typeface="Verdana"/>
              <a:cs typeface="Arial"/>
            </a:defRPr>
          </a:pPr>
          <a:endParaRPr lang="en-US"/>
        </a:p>
      </c:txPr>
    </c:legend>
    <c:plotVisOnly val="1"/>
    <c:dispBlanksAs val="gap"/>
    <c:showDLblsOverMax val="0"/>
  </c:chart>
  <c:spPr>
    <a:noFill/>
    <a:ln w="9525">
      <a:noFill/>
    </a:ln>
  </c:spPr>
  <c:txPr>
    <a:bodyPr/>
    <a:lstStyle/>
    <a:p>
      <a:pPr>
        <a:defRPr sz="10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5873731145053"/>
          <c:y val="0.0339462517680339"/>
          <c:w val="0.821090029408975"/>
          <c:h val="0.857270119716048"/>
        </c:manualLayout>
      </c:layout>
      <c:scatterChart>
        <c:scatterStyle val="smoothMarker"/>
        <c:varyColors val="0"/>
        <c:ser>
          <c:idx val="0"/>
          <c:order val="0"/>
          <c:spPr>
            <a:ln w="25400">
              <a:solidFill>
                <a:srgbClr val="0000D4"/>
              </a:solidFill>
              <a:prstDash val="solid"/>
            </a:ln>
          </c:spPr>
          <c:marker>
            <c:symbol val="none"/>
          </c:marker>
          <c:xVal>
            <c:numRef>
              <c:f>linear!$B$5:$B$45</c:f>
              <c:numCache>
                <c:formatCode>General</c:formatCode>
                <c:ptCount val="41"/>
                <c:pt idx="0">
                  <c:v>-2.0</c:v>
                </c:pt>
                <c:pt idx="1">
                  <c:v>-1.9</c:v>
                </c:pt>
                <c:pt idx="2">
                  <c:v>-1.8</c:v>
                </c:pt>
                <c:pt idx="3">
                  <c:v>-1.699999999999999</c:v>
                </c:pt>
                <c:pt idx="4">
                  <c:v>-1.599999999999999</c:v>
                </c:pt>
                <c:pt idx="5">
                  <c:v>-1.499999999999999</c:v>
                </c:pt>
                <c:pt idx="6">
                  <c:v>-1.399999999999999</c:v>
                </c:pt>
                <c:pt idx="7">
                  <c:v>-1.299999999999999</c:v>
                </c:pt>
                <c:pt idx="8">
                  <c:v>-1.199999999999999</c:v>
                </c:pt>
                <c:pt idx="9">
                  <c:v>-1.099999999999999</c:v>
                </c:pt>
                <c:pt idx="10">
                  <c:v>-0.999999999999999</c:v>
                </c:pt>
                <c:pt idx="11">
                  <c:v>-0.899999999999999</c:v>
                </c:pt>
                <c:pt idx="12">
                  <c:v>-0.799999999999999</c:v>
                </c:pt>
                <c:pt idx="13">
                  <c:v>-0.7</c:v>
                </c:pt>
                <c:pt idx="14">
                  <c:v>-0.599999999999999</c:v>
                </c:pt>
                <c:pt idx="15">
                  <c:v>-0.5</c:v>
                </c:pt>
                <c:pt idx="16">
                  <c:v>-0.4</c:v>
                </c:pt>
                <c:pt idx="17">
                  <c:v>-0.3</c:v>
                </c:pt>
                <c:pt idx="18">
                  <c:v>-0.199999999999999</c:v>
                </c:pt>
                <c:pt idx="19">
                  <c:v>-0.0999999999999994</c:v>
                </c:pt>
                <c:pt idx="20">
                  <c:v>0.0</c:v>
                </c:pt>
                <c:pt idx="21">
                  <c:v>0.1</c:v>
                </c:pt>
                <c:pt idx="22">
                  <c:v>0.2</c:v>
                </c:pt>
                <c:pt idx="23">
                  <c:v>0.3</c:v>
                </c:pt>
                <c:pt idx="24">
                  <c:v>0.4</c:v>
                </c:pt>
                <c:pt idx="25">
                  <c:v>0.5</c:v>
                </c:pt>
                <c:pt idx="26">
                  <c:v>0.6</c:v>
                </c:pt>
                <c:pt idx="27">
                  <c:v>0.7</c:v>
                </c:pt>
                <c:pt idx="28">
                  <c:v>0.8</c:v>
                </c:pt>
                <c:pt idx="29">
                  <c:v>0.9</c:v>
                </c:pt>
                <c:pt idx="30">
                  <c:v>1.0</c:v>
                </c:pt>
                <c:pt idx="31">
                  <c:v>1.099999999999999</c:v>
                </c:pt>
                <c:pt idx="32">
                  <c:v>1.2</c:v>
                </c:pt>
                <c:pt idx="33">
                  <c:v>1.3</c:v>
                </c:pt>
                <c:pt idx="34">
                  <c:v>1.4</c:v>
                </c:pt>
                <c:pt idx="35">
                  <c:v>1.5</c:v>
                </c:pt>
                <c:pt idx="36">
                  <c:v>1.6</c:v>
                </c:pt>
                <c:pt idx="37">
                  <c:v>1.700000000000001</c:v>
                </c:pt>
                <c:pt idx="38">
                  <c:v>1.8</c:v>
                </c:pt>
                <c:pt idx="39">
                  <c:v>1.900000000000001</c:v>
                </c:pt>
                <c:pt idx="40">
                  <c:v>2.0</c:v>
                </c:pt>
              </c:numCache>
            </c:numRef>
          </c:xVal>
          <c:yVal>
            <c:numRef>
              <c:f>linear!$C$5:$C$45</c:f>
              <c:numCache>
                <c:formatCode>0.00000</c:formatCode>
                <c:ptCount val="41"/>
                <c:pt idx="0">
                  <c:v>0.0</c:v>
                </c:pt>
                <c:pt idx="1">
                  <c:v>0.025</c:v>
                </c:pt>
                <c:pt idx="2">
                  <c:v>0.0500000000000001</c:v>
                </c:pt>
                <c:pt idx="3">
                  <c:v>0.0750000000000001</c:v>
                </c:pt>
                <c:pt idx="4">
                  <c:v>0.1</c:v>
                </c:pt>
                <c:pt idx="5">
                  <c:v>0.125</c:v>
                </c:pt>
                <c:pt idx="6">
                  <c:v>0.15</c:v>
                </c:pt>
                <c:pt idx="7">
                  <c:v>0.175</c:v>
                </c:pt>
                <c:pt idx="8">
                  <c:v>0.2</c:v>
                </c:pt>
                <c:pt idx="9">
                  <c:v>0.225</c:v>
                </c:pt>
                <c:pt idx="10">
                  <c:v>0.25</c:v>
                </c:pt>
                <c:pt idx="11">
                  <c:v>0.275</c:v>
                </c:pt>
                <c:pt idx="12">
                  <c:v>0.3</c:v>
                </c:pt>
                <c:pt idx="13">
                  <c:v>0.325</c:v>
                </c:pt>
                <c:pt idx="14">
                  <c:v>0.35</c:v>
                </c:pt>
                <c:pt idx="15">
                  <c:v>0.375</c:v>
                </c:pt>
                <c:pt idx="16">
                  <c:v>0.4</c:v>
                </c:pt>
                <c:pt idx="17">
                  <c:v>0.425</c:v>
                </c:pt>
                <c:pt idx="18">
                  <c:v>0.45</c:v>
                </c:pt>
                <c:pt idx="19">
                  <c:v>0.475</c:v>
                </c:pt>
                <c:pt idx="20">
                  <c:v>0.5</c:v>
                </c:pt>
                <c:pt idx="21">
                  <c:v>0.525</c:v>
                </c:pt>
                <c:pt idx="22">
                  <c:v>0.55</c:v>
                </c:pt>
                <c:pt idx="23">
                  <c:v>0.575</c:v>
                </c:pt>
                <c:pt idx="24">
                  <c:v>0.6</c:v>
                </c:pt>
                <c:pt idx="25">
                  <c:v>0.625</c:v>
                </c:pt>
                <c:pt idx="26">
                  <c:v>0.65</c:v>
                </c:pt>
                <c:pt idx="27">
                  <c:v>0.675</c:v>
                </c:pt>
                <c:pt idx="28">
                  <c:v>0.7</c:v>
                </c:pt>
                <c:pt idx="29">
                  <c:v>0.725</c:v>
                </c:pt>
                <c:pt idx="30">
                  <c:v>0.75</c:v>
                </c:pt>
                <c:pt idx="31">
                  <c:v>0.775</c:v>
                </c:pt>
                <c:pt idx="32">
                  <c:v>0.8</c:v>
                </c:pt>
                <c:pt idx="33">
                  <c:v>0.825</c:v>
                </c:pt>
                <c:pt idx="34">
                  <c:v>0.85</c:v>
                </c:pt>
                <c:pt idx="35">
                  <c:v>0.875</c:v>
                </c:pt>
                <c:pt idx="36">
                  <c:v>0.9</c:v>
                </c:pt>
                <c:pt idx="37">
                  <c:v>0.925</c:v>
                </c:pt>
                <c:pt idx="38">
                  <c:v>0.95</c:v>
                </c:pt>
                <c:pt idx="39">
                  <c:v>0.975</c:v>
                </c:pt>
                <c:pt idx="40">
                  <c:v>1.0</c:v>
                </c:pt>
              </c:numCache>
            </c:numRef>
          </c:yVal>
          <c:smooth val="0"/>
        </c:ser>
        <c:dLbls>
          <c:showLegendKey val="0"/>
          <c:showVal val="0"/>
          <c:showCatName val="0"/>
          <c:showSerName val="0"/>
          <c:showPercent val="0"/>
          <c:showBubbleSize val="0"/>
        </c:dLbls>
        <c:axId val="2064933560"/>
        <c:axId val="2064927448"/>
      </c:scatterChart>
      <c:valAx>
        <c:axId val="2064933560"/>
        <c:scaling>
          <c:orientation val="minMax"/>
          <c:max val="3.0"/>
          <c:min val="-3.0"/>
        </c:scaling>
        <c:delete val="0"/>
        <c:axPos val="b"/>
        <c:title>
          <c:tx>
            <c:rich>
              <a:bodyPr/>
              <a:lstStyle/>
              <a:p>
                <a:pPr>
                  <a:defRPr sz="1000" b="1" i="0" u="none" strike="noStrike" baseline="0">
                    <a:solidFill>
                      <a:srgbClr val="000000"/>
                    </a:solidFill>
                    <a:latin typeface="Arial" pitchFamily="34" charset="0"/>
                    <a:ea typeface="Verdana"/>
                    <a:cs typeface="Arial" pitchFamily="34" charset="0"/>
                  </a:defRPr>
                </a:pPr>
                <a:r>
                  <a:rPr lang="en-US" sz="1000">
                    <a:latin typeface="Arial" pitchFamily="34" charset="0"/>
                    <a:cs typeface="Arial" pitchFamily="34" charset="0"/>
                  </a:rPr>
                  <a:t>z-score</a:t>
                </a:r>
              </a:p>
            </c:rich>
          </c:tx>
          <c:layout>
            <c:manualLayout>
              <c:xMode val="edge"/>
              <c:yMode val="edge"/>
              <c:x val="0.512042146618408"/>
              <c:y val="0.951909476661953"/>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2064927448"/>
        <c:crosses val="autoZero"/>
        <c:crossBetween val="midCat"/>
      </c:valAx>
      <c:valAx>
        <c:axId val="2064927448"/>
        <c:scaling>
          <c:orientation val="minMax"/>
          <c:max val="1.0"/>
        </c:scaling>
        <c:delete val="0"/>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pitchFamily="34" charset="0"/>
                    <a:ea typeface="Verdana"/>
                    <a:cs typeface="Arial" pitchFamily="34" charset="0"/>
                  </a:defRPr>
                </a:pPr>
                <a:r>
                  <a:rPr lang="en-US" sz="1000">
                    <a:latin typeface="Arial" pitchFamily="34" charset="0"/>
                    <a:cs typeface="Arial" pitchFamily="34" charset="0"/>
                  </a:rPr>
                  <a:t>p</a:t>
                </a:r>
              </a:p>
              <a:p>
                <a:pPr>
                  <a:defRPr sz="1000" b="1" i="0" u="none" strike="noStrike" baseline="0">
                    <a:solidFill>
                      <a:srgbClr val="000000"/>
                    </a:solidFill>
                    <a:latin typeface="Arial" pitchFamily="34" charset="0"/>
                    <a:ea typeface="Verdana"/>
                    <a:cs typeface="Arial" pitchFamily="34" charset="0"/>
                  </a:defRPr>
                </a:pPr>
                <a:endParaRPr lang="en-US" sz="1000">
                  <a:latin typeface="Arial" pitchFamily="34" charset="0"/>
                  <a:cs typeface="Arial" pitchFamily="34" charset="0"/>
                </a:endParaRPr>
              </a:p>
            </c:rich>
          </c:tx>
          <c:layout>
            <c:manualLayout>
              <c:xMode val="edge"/>
              <c:yMode val="edge"/>
              <c:x val="0.016753935267678"/>
              <c:y val="0.434229137199435"/>
            </c:manualLayout>
          </c:layout>
          <c:overlay val="0"/>
          <c:spPr>
            <a:noFill/>
            <a:ln w="25400">
              <a:noFill/>
            </a:ln>
          </c:spPr>
        </c:title>
        <c:numFmt formatCode="0.00000"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2064933560"/>
        <c:crossesAt val="-3.0"/>
        <c:crossBetween val="midCat"/>
      </c:valAx>
      <c:spPr>
        <a:solidFill>
          <a:srgbClr val="FFFFFF"/>
        </a:solidFill>
        <a:ln w="12700">
          <a:solidFill>
            <a:srgbClr val="000000"/>
          </a:solidFill>
          <a:prstDash val="solid"/>
        </a:ln>
      </c:spPr>
    </c:plotArea>
    <c:plotVisOnly val="1"/>
    <c:dispBlanksAs val="gap"/>
    <c:showDLblsOverMax val="0"/>
  </c:chart>
  <c:spPr>
    <a:solidFill>
      <a:srgbClr val="FFFFFF"/>
    </a:solidFill>
    <a:ln w="3175">
      <a:noFill/>
      <a:prstDash val="solid"/>
    </a:ln>
  </c:spPr>
  <c:txPr>
    <a:bodyPr/>
    <a:lstStyle/>
    <a:p>
      <a:pPr>
        <a:defRPr sz="875" b="0" i="0" u="none" strike="noStrike" baseline="0">
          <a:solidFill>
            <a:srgbClr val="000000"/>
          </a:solidFill>
          <a:latin typeface="Verdana"/>
          <a:ea typeface="Verdana"/>
          <a:cs typeface="Verdana"/>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5873797025372"/>
          <c:y val="0.0372592400708418"/>
          <c:w val="0.821090029408975"/>
          <c:h val="0.857270119716048"/>
        </c:manualLayout>
      </c:layout>
      <c:scatterChart>
        <c:scatterStyle val="smoothMarker"/>
        <c:varyColors val="0"/>
        <c:ser>
          <c:idx val="0"/>
          <c:order val="0"/>
          <c:spPr>
            <a:ln w="25400">
              <a:solidFill>
                <a:srgbClr val="0000D4"/>
              </a:solidFill>
              <a:prstDash val="solid"/>
            </a:ln>
          </c:spPr>
          <c:marker>
            <c:symbol val="none"/>
          </c:marker>
          <c:xVal>
            <c:numRef>
              <c:f>normalized!$B$5:$B$64</c:f>
              <c:numCache>
                <c:formatCode>General</c:formatCode>
                <c:ptCount val="60"/>
                <c:pt idx="0">
                  <c:v>-2.9</c:v>
                </c:pt>
                <c:pt idx="1">
                  <c:v>-2.8</c:v>
                </c:pt>
                <c:pt idx="2">
                  <c:v>-2.7</c:v>
                </c:pt>
                <c:pt idx="3">
                  <c:v>-2.599999999999999</c:v>
                </c:pt>
                <c:pt idx="4">
                  <c:v>-2.499999999999999</c:v>
                </c:pt>
                <c:pt idx="5">
                  <c:v>-2.399999999999999</c:v>
                </c:pt>
                <c:pt idx="6">
                  <c:v>-2.299999999999999</c:v>
                </c:pt>
                <c:pt idx="7">
                  <c:v>-2.199999999999999</c:v>
                </c:pt>
                <c:pt idx="8">
                  <c:v>-2.099999999999999</c:v>
                </c:pt>
                <c:pt idx="9">
                  <c:v>-1.999999999999998</c:v>
                </c:pt>
                <c:pt idx="10">
                  <c:v>-1.899999999999999</c:v>
                </c:pt>
                <c:pt idx="11">
                  <c:v>-1.799999999999998</c:v>
                </c:pt>
                <c:pt idx="12">
                  <c:v>-1.699999999999998</c:v>
                </c:pt>
                <c:pt idx="13">
                  <c:v>-1.599999999999998</c:v>
                </c:pt>
                <c:pt idx="14">
                  <c:v>-1.499999999999998</c:v>
                </c:pt>
                <c:pt idx="15">
                  <c:v>-1.399999999999998</c:v>
                </c:pt>
                <c:pt idx="16">
                  <c:v>-1.299999999999998</c:v>
                </c:pt>
                <c:pt idx="17">
                  <c:v>-1.199999999999998</c:v>
                </c:pt>
                <c:pt idx="18">
                  <c:v>-1.099999999999998</c:v>
                </c:pt>
                <c:pt idx="19">
                  <c:v>-0.999999999999998</c:v>
                </c:pt>
                <c:pt idx="20">
                  <c:v>-0.899999999999999</c:v>
                </c:pt>
                <c:pt idx="21">
                  <c:v>-0.799999999999999</c:v>
                </c:pt>
                <c:pt idx="22">
                  <c:v>-0.699999999999999</c:v>
                </c:pt>
                <c:pt idx="23">
                  <c:v>-0.599999999999999</c:v>
                </c:pt>
                <c:pt idx="24">
                  <c:v>-0.499999999999999</c:v>
                </c:pt>
                <c:pt idx="25">
                  <c:v>-0.399999999999999</c:v>
                </c:pt>
                <c:pt idx="26">
                  <c:v>-0.299999999999999</c:v>
                </c:pt>
                <c:pt idx="27">
                  <c:v>-0.199999999999999</c:v>
                </c:pt>
                <c:pt idx="28">
                  <c:v>-0.0999999999999985</c:v>
                </c:pt>
                <c:pt idx="29">
                  <c:v>0.0</c:v>
                </c:pt>
                <c:pt idx="30">
                  <c:v>0.1</c:v>
                </c:pt>
                <c:pt idx="31">
                  <c:v>0.2</c:v>
                </c:pt>
                <c:pt idx="32">
                  <c:v>0.3</c:v>
                </c:pt>
                <c:pt idx="33">
                  <c:v>0.4</c:v>
                </c:pt>
                <c:pt idx="34">
                  <c:v>0.5</c:v>
                </c:pt>
                <c:pt idx="35">
                  <c:v>0.6</c:v>
                </c:pt>
                <c:pt idx="36">
                  <c:v>0.7</c:v>
                </c:pt>
                <c:pt idx="37">
                  <c:v>0.8</c:v>
                </c:pt>
                <c:pt idx="38">
                  <c:v>0.9</c:v>
                </c:pt>
                <c:pt idx="39">
                  <c:v>1.0</c:v>
                </c:pt>
                <c:pt idx="40">
                  <c:v>1.099999999999999</c:v>
                </c:pt>
                <c:pt idx="41">
                  <c:v>1.2</c:v>
                </c:pt>
                <c:pt idx="42">
                  <c:v>1.3</c:v>
                </c:pt>
                <c:pt idx="43">
                  <c:v>1.4</c:v>
                </c:pt>
                <c:pt idx="44">
                  <c:v>1.5</c:v>
                </c:pt>
                <c:pt idx="45">
                  <c:v>1.6</c:v>
                </c:pt>
                <c:pt idx="46">
                  <c:v>1.700000000000001</c:v>
                </c:pt>
                <c:pt idx="47">
                  <c:v>1.8</c:v>
                </c:pt>
                <c:pt idx="48">
                  <c:v>1.900000000000001</c:v>
                </c:pt>
                <c:pt idx="49">
                  <c:v>2.0</c:v>
                </c:pt>
                <c:pt idx="50">
                  <c:v>2.100000000000001</c:v>
                </c:pt>
                <c:pt idx="51">
                  <c:v>2.200000000000001</c:v>
                </c:pt>
                <c:pt idx="52">
                  <c:v>2.300000000000001</c:v>
                </c:pt>
                <c:pt idx="53">
                  <c:v>2.400000000000001</c:v>
                </c:pt>
                <c:pt idx="54">
                  <c:v>2.500000000000001</c:v>
                </c:pt>
                <c:pt idx="55">
                  <c:v>2.600000000000001</c:v>
                </c:pt>
                <c:pt idx="56">
                  <c:v>2.700000000000001</c:v>
                </c:pt>
                <c:pt idx="57">
                  <c:v>2.800000000000001</c:v>
                </c:pt>
                <c:pt idx="58">
                  <c:v>2.900000000000001</c:v>
                </c:pt>
                <c:pt idx="59">
                  <c:v>3.000000000000001</c:v>
                </c:pt>
              </c:numCache>
            </c:numRef>
          </c:xVal>
          <c:yVal>
            <c:numRef>
              <c:f>normalized!$C$5:$C$64</c:f>
              <c:numCache>
                <c:formatCode>0.00000</c:formatCode>
                <c:ptCount val="60"/>
                <c:pt idx="0">
                  <c:v>0.00186581330038371</c:v>
                </c:pt>
                <c:pt idx="1">
                  <c:v>0.00255513033042787</c:v>
                </c:pt>
                <c:pt idx="2">
                  <c:v>0.0034669738030404</c:v>
                </c:pt>
                <c:pt idx="3">
                  <c:v>0.00466118802371884</c:v>
                </c:pt>
                <c:pt idx="4">
                  <c:v>0.00620966532577627</c:v>
                </c:pt>
                <c:pt idx="5">
                  <c:v>0.00819753592459605</c:v>
                </c:pt>
                <c:pt idx="6">
                  <c:v>0.0107241100216759</c:v>
                </c:pt>
                <c:pt idx="7">
                  <c:v>0.0139034475134987</c:v>
                </c:pt>
                <c:pt idx="8">
                  <c:v>0.0178644205628167</c:v>
                </c:pt>
                <c:pt idx="9">
                  <c:v>0.0227501319481793</c:v>
                </c:pt>
                <c:pt idx="10">
                  <c:v>0.028716559816002</c:v>
                </c:pt>
                <c:pt idx="11">
                  <c:v>0.0359303191129259</c:v>
                </c:pt>
                <c:pt idx="12">
                  <c:v>0.0445654627585433</c:v>
                </c:pt>
                <c:pt idx="13">
                  <c:v>0.0547992916995581</c:v>
                </c:pt>
                <c:pt idx="14">
                  <c:v>0.0668072012688583</c:v>
                </c:pt>
                <c:pt idx="15">
                  <c:v>0.0807566592337714</c:v>
                </c:pt>
                <c:pt idx="16">
                  <c:v>0.0968004845856107</c:v>
                </c:pt>
                <c:pt idx="17">
                  <c:v>0.115069670221709</c:v>
                </c:pt>
                <c:pt idx="18">
                  <c:v>0.135666060946383</c:v>
                </c:pt>
                <c:pt idx="19">
                  <c:v>0.158655253931458</c:v>
                </c:pt>
                <c:pt idx="20">
                  <c:v>0.18406012534676</c:v>
                </c:pt>
                <c:pt idx="21">
                  <c:v>0.211855398583397</c:v>
                </c:pt>
                <c:pt idx="22">
                  <c:v>0.241963652223073</c:v>
                </c:pt>
                <c:pt idx="23">
                  <c:v>0.274253117750074</c:v>
                </c:pt>
                <c:pt idx="24">
                  <c:v>0.308537538725987</c:v>
                </c:pt>
                <c:pt idx="25">
                  <c:v>0.344578258389677</c:v>
                </c:pt>
                <c:pt idx="26">
                  <c:v>0.382088577811048</c:v>
                </c:pt>
                <c:pt idx="27">
                  <c:v>0.420740290560898</c:v>
                </c:pt>
                <c:pt idx="28">
                  <c:v>0.460172162722972</c:v>
                </c:pt>
                <c:pt idx="29">
                  <c:v>0.5</c:v>
                </c:pt>
                <c:pt idx="30">
                  <c:v>0.539827837277029</c:v>
                </c:pt>
                <c:pt idx="31">
                  <c:v>0.579259709439103</c:v>
                </c:pt>
                <c:pt idx="32">
                  <c:v>0.617911422188953</c:v>
                </c:pt>
                <c:pt idx="33">
                  <c:v>0.655421741610324</c:v>
                </c:pt>
                <c:pt idx="34">
                  <c:v>0.691462461274013</c:v>
                </c:pt>
                <c:pt idx="35">
                  <c:v>0.725746882249926</c:v>
                </c:pt>
                <c:pt idx="36">
                  <c:v>0.758036347776927</c:v>
                </c:pt>
                <c:pt idx="37">
                  <c:v>0.788144601416603</c:v>
                </c:pt>
                <c:pt idx="38">
                  <c:v>0.815939874653241</c:v>
                </c:pt>
                <c:pt idx="39">
                  <c:v>0.841344746068543</c:v>
                </c:pt>
                <c:pt idx="40">
                  <c:v>0.864333939053617</c:v>
                </c:pt>
                <c:pt idx="41">
                  <c:v>0.884930329778292</c:v>
                </c:pt>
                <c:pt idx="42">
                  <c:v>0.90319951541439</c:v>
                </c:pt>
                <c:pt idx="43">
                  <c:v>0.919243340766228</c:v>
                </c:pt>
                <c:pt idx="44">
                  <c:v>0.933192798731142</c:v>
                </c:pt>
                <c:pt idx="45">
                  <c:v>0.945200708300442</c:v>
                </c:pt>
                <c:pt idx="46">
                  <c:v>0.955434537241457</c:v>
                </c:pt>
                <c:pt idx="47">
                  <c:v>0.964069680887074</c:v>
                </c:pt>
                <c:pt idx="48">
                  <c:v>0.971283440183998</c:v>
                </c:pt>
                <c:pt idx="49">
                  <c:v>0.977249868051821</c:v>
                </c:pt>
                <c:pt idx="50">
                  <c:v>0.982135579437184</c:v>
                </c:pt>
                <c:pt idx="51">
                  <c:v>0.986096552486501</c:v>
                </c:pt>
                <c:pt idx="52">
                  <c:v>0.989275889978324</c:v>
                </c:pt>
                <c:pt idx="53">
                  <c:v>0.991802464075404</c:v>
                </c:pt>
                <c:pt idx="54">
                  <c:v>0.993790334674224</c:v>
                </c:pt>
                <c:pt idx="55">
                  <c:v>0.995338811976281</c:v>
                </c:pt>
                <c:pt idx="56">
                  <c:v>0.996533026196959</c:v>
                </c:pt>
                <c:pt idx="57">
                  <c:v>0.997444869669572</c:v>
                </c:pt>
                <c:pt idx="58">
                  <c:v>0.998134186699616</c:v>
                </c:pt>
                <c:pt idx="59">
                  <c:v>0.99865010196837</c:v>
                </c:pt>
              </c:numCache>
            </c:numRef>
          </c:yVal>
          <c:smooth val="0"/>
        </c:ser>
        <c:dLbls>
          <c:showLegendKey val="0"/>
          <c:showVal val="0"/>
          <c:showCatName val="0"/>
          <c:showSerName val="0"/>
          <c:showPercent val="0"/>
          <c:showBubbleSize val="0"/>
        </c:dLbls>
        <c:axId val="2064895704"/>
        <c:axId val="2064889560"/>
      </c:scatterChart>
      <c:valAx>
        <c:axId val="2064895704"/>
        <c:scaling>
          <c:orientation val="minMax"/>
          <c:max val="3.0"/>
          <c:min val="-3.0"/>
        </c:scaling>
        <c:delete val="0"/>
        <c:axPos val="b"/>
        <c:title>
          <c:tx>
            <c:rich>
              <a:bodyPr/>
              <a:lstStyle/>
              <a:p>
                <a:pPr>
                  <a:defRPr sz="1000" b="1" i="0" u="none" strike="noStrike" baseline="0">
                    <a:solidFill>
                      <a:srgbClr val="000000"/>
                    </a:solidFill>
                    <a:latin typeface="Arial" pitchFamily="34" charset="0"/>
                    <a:ea typeface="Verdana"/>
                    <a:cs typeface="Arial" pitchFamily="34" charset="0"/>
                  </a:defRPr>
                </a:pPr>
                <a:r>
                  <a:rPr lang="en-US" sz="1000">
                    <a:latin typeface="Arial" pitchFamily="34" charset="0"/>
                    <a:cs typeface="Arial" pitchFamily="34" charset="0"/>
                  </a:rPr>
                  <a:t>z-score</a:t>
                </a:r>
              </a:p>
            </c:rich>
          </c:tx>
          <c:layout>
            <c:manualLayout>
              <c:xMode val="edge"/>
              <c:yMode val="edge"/>
              <c:x val="0.512042146618408"/>
              <c:y val="0.951909476661953"/>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2064889560"/>
        <c:crosses val="autoZero"/>
        <c:crossBetween val="midCat"/>
      </c:valAx>
      <c:valAx>
        <c:axId val="2064889560"/>
        <c:scaling>
          <c:orientation val="minMax"/>
          <c:max val="1.0"/>
        </c:scaling>
        <c:delete val="0"/>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pitchFamily="34" charset="0"/>
                    <a:ea typeface="Verdana"/>
                    <a:cs typeface="Arial" pitchFamily="34" charset="0"/>
                  </a:defRPr>
                </a:pPr>
                <a:r>
                  <a:rPr lang="en-US" sz="1000">
                    <a:latin typeface="Arial" pitchFamily="34" charset="0"/>
                    <a:cs typeface="Arial" pitchFamily="34" charset="0"/>
                  </a:rPr>
                  <a:t>p</a:t>
                </a:r>
              </a:p>
              <a:p>
                <a:pPr>
                  <a:defRPr sz="1000" b="1" i="0" u="none" strike="noStrike" baseline="0">
                    <a:solidFill>
                      <a:srgbClr val="000000"/>
                    </a:solidFill>
                    <a:latin typeface="Arial" pitchFamily="34" charset="0"/>
                    <a:ea typeface="Verdana"/>
                    <a:cs typeface="Arial" pitchFamily="34" charset="0"/>
                  </a:defRPr>
                </a:pPr>
                <a:endParaRPr lang="en-US" sz="1000">
                  <a:latin typeface="Arial" pitchFamily="34" charset="0"/>
                  <a:cs typeface="Arial" pitchFamily="34" charset="0"/>
                </a:endParaRPr>
              </a:p>
            </c:rich>
          </c:tx>
          <c:layout>
            <c:manualLayout>
              <c:xMode val="edge"/>
              <c:yMode val="edge"/>
              <c:x val="0.016753935267678"/>
              <c:y val="0.434229137199435"/>
            </c:manualLayout>
          </c:layout>
          <c:overlay val="0"/>
          <c:spPr>
            <a:noFill/>
            <a:ln w="25400">
              <a:noFill/>
            </a:ln>
          </c:spPr>
        </c:title>
        <c:numFmt formatCode="0.00000"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2064895704"/>
        <c:crossesAt val="-3.0"/>
        <c:crossBetween val="midCat"/>
      </c:valAx>
      <c:spPr>
        <a:solidFill>
          <a:srgbClr val="FFFFFF"/>
        </a:solidFill>
        <a:ln w="12700">
          <a:solidFill>
            <a:srgbClr val="000000"/>
          </a:solidFill>
          <a:prstDash val="solid"/>
        </a:ln>
      </c:spPr>
    </c:plotArea>
    <c:plotVisOnly val="1"/>
    <c:dispBlanksAs val="gap"/>
    <c:showDLblsOverMax val="0"/>
  </c:chart>
  <c:spPr>
    <a:solidFill>
      <a:srgbClr val="FFFFFF"/>
    </a:solidFill>
    <a:ln w="3175">
      <a:noFill/>
      <a:prstDash val="solid"/>
    </a:ln>
  </c:spPr>
  <c:txPr>
    <a:bodyPr/>
    <a:lstStyle/>
    <a:p>
      <a:pPr>
        <a:defRPr sz="875" b="0" i="0" u="none" strike="noStrike" baseline="0">
          <a:solidFill>
            <a:srgbClr val="000000"/>
          </a:solidFill>
          <a:latin typeface="Verdana"/>
          <a:ea typeface="Verdana"/>
          <a:cs typeface="Verdana"/>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i="0" u="none" strike="noStrike" baseline="0">
                <a:solidFill>
                  <a:srgbClr val="000000"/>
                </a:solidFill>
                <a:latin typeface="Arial"/>
                <a:ea typeface="Arial"/>
                <a:cs typeface="Arial"/>
              </a:defRPr>
            </a:pPr>
            <a:r>
              <a:rPr lang="en-US"/>
              <a:t>Estimated bycatch</a:t>
            </a:r>
            <a:r>
              <a:rPr lang="en-US" baseline="0"/>
              <a:t> rate standard deviation from</a:t>
            </a:r>
          </a:p>
          <a:p>
            <a:pPr>
              <a:defRPr sz="1200" b="1" i="0" u="none" strike="noStrike" baseline="0">
                <a:solidFill>
                  <a:srgbClr val="000000"/>
                </a:solidFill>
                <a:latin typeface="Arial"/>
                <a:ea typeface="Arial"/>
                <a:cs typeface="Arial"/>
              </a:defRPr>
            </a:pPr>
            <a:r>
              <a:rPr lang="en-US" baseline="0"/>
              <a:t>sector bycatch rate</a:t>
            </a:r>
            <a:endParaRPr lang="en-US"/>
          </a:p>
        </c:rich>
      </c:tx>
      <c:layout>
        <c:manualLayout>
          <c:xMode val="edge"/>
          <c:yMode val="edge"/>
          <c:x val="0.195572061347448"/>
          <c:y val="0.00152466857533576"/>
        </c:manualLayout>
      </c:layout>
      <c:overlay val="0"/>
      <c:spPr>
        <a:noFill/>
        <a:ln w="25400">
          <a:noFill/>
        </a:ln>
      </c:spPr>
    </c:title>
    <c:autoTitleDeleted val="0"/>
    <c:plotArea>
      <c:layout>
        <c:manualLayout>
          <c:layoutTarget val="inner"/>
          <c:xMode val="edge"/>
          <c:yMode val="edge"/>
          <c:x val="0.122699875169417"/>
          <c:y val="0.107677097815126"/>
          <c:w val="0.83391007397559"/>
          <c:h val="0.77846562429351"/>
        </c:manualLayout>
      </c:layout>
      <c:scatterChart>
        <c:scatterStyle val="lineMarker"/>
        <c:varyColors val="0"/>
        <c:ser>
          <c:idx val="0"/>
          <c:order val="0"/>
          <c:tx>
            <c:v>historical data</c:v>
          </c:tx>
          <c:spPr>
            <a:ln w="28575">
              <a:noFill/>
            </a:ln>
          </c:spPr>
          <c:marker>
            <c:symbol val="diamond"/>
            <c:size val="5"/>
            <c:spPr>
              <a:solidFill>
                <a:srgbClr val="000080"/>
              </a:solidFill>
              <a:ln>
                <a:solidFill>
                  <a:srgbClr val="000080"/>
                </a:solidFill>
                <a:prstDash val="solid"/>
              </a:ln>
            </c:spPr>
          </c:marker>
          <c:xVal>
            <c:numRef>
              <c:f>'sector-year rates and stdevs'!$D$2:$D$28</c:f>
              <c:numCache>
                <c:formatCode>General</c:formatCode>
                <c:ptCount val="27"/>
                <c:pt idx="0">
                  <c:v>0.00309040410468382</c:v>
                </c:pt>
                <c:pt idx="1">
                  <c:v>0.0138835043778733</c:v>
                </c:pt>
                <c:pt idx="2">
                  <c:v>0.0325899525291928</c:v>
                </c:pt>
                <c:pt idx="3">
                  <c:v>0.0326511533810722</c:v>
                </c:pt>
                <c:pt idx="4">
                  <c:v>0.0537212575898597</c:v>
                </c:pt>
                <c:pt idx="5">
                  <c:v>0.0757991033894038</c:v>
                </c:pt>
                <c:pt idx="6">
                  <c:v>0.0886740593686967</c:v>
                </c:pt>
                <c:pt idx="7">
                  <c:v>0.1341993491141</c:v>
                </c:pt>
                <c:pt idx="8">
                  <c:v>0.0257596928621468</c:v>
                </c:pt>
                <c:pt idx="9">
                  <c:v>0.00685109787020583</c:v>
                </c:pt>
                <c:pt idx="10">
                  <c:v>0.029835264748839</c:v>
                </c:pt>
                <c:pt idx="11">
                  <c:v>0.0170184146170831</c:v>
                </c:pt>
                <c:pt idx="12">
                  <c:v>0.0282677452728913</c:v>
                </c:pt>
                <c:pt idx="13">
                  <c:v>0.0212221825434329</c:v>
                </c:pt>
                <c:pt idx="14">
                  <c:v>0.024427046279881</c:v>
                </c:pt>
                <c:pt idx="15">
                  <c:v>0.0283382204062824</c:v>
                </c:pt>
                <c:pt idx="16">
                  <c:v>0.0574915419566095</c:v>
                </c:pt>
                <c:pt idx="17">
                  <c:v>0.0112062771311363</c:v>
                </c:pt>
                <c:pt idx="18">
                  <c:v>0.00244726810139233</c:v>
                </c:pt>
                <c:pt idx="19">
                  <c:v>0.0205146914063658</c:v>
                </c:pt>
                <c:pt idx="20">
                  <c:v>0.0253830369004088</c:v>
                </c:pt>
                <c:pt idx="21">
                  <c:v>0.0316575605180756</c:v>
                </c:pt>
                <c:pt idx="22">
                  <c:v>0.0275924038794934</c:v>
                </c:pt>
                <c:pt idx="23">
                  <c:v>0.0203754757611017</c:v>
                </c:pt>
                <c:pt idx="24">
                  <c:v>0.0376428356105133</c:v>
                </c:pt>
                <c:pt idx="25">
                  <c:v>0.0666045039246086</c:v>
                </c:pt>
                <c:pt idx="26">
                  <c:v>0.0159078894418973</c:v>
                </c:pt>
              </c:numCache>
            </c:numRef>
          </c:xVal>
          <c:yVal>
            <c:numRef>
              <c:f>'sector-year rates and stdevs'!$E$2:$E$28</c:f>
              <c:numCache>
                <c:formatCode>General</c:formatCode>
                <c:ptCount val="27"/>
                <c:pt idx="0">
                  <c:v>0.00306021154784426</c:v>
                </c:pt>
                <c:pt idx="1">
                  <c:v>0.00949950673878664</c:v>
                </c:pt>
                <c:pt idx="2">
                  <c:v>0.0196823646507137</c:v>
                </c:pt>
                <c:pt idx="3">
                  <c:v>0.0159935483877475</c:v>
                </c:pt>
                <c:pt idx="4">
                  <c:v>0.0608935020694062</c:v>
                </c:pt>
                <c:pt idx="5">
                  <c:v>0.0710780288571902</c:v>
                </c:pt>
                <c:pt idx="6">
                  <c:v>0.0866733380853449</c:v>
                </c:pt>
                <c:pt idx="7">
                  <c:v>0.0695354269544501</c:v>
                </c:pt>
                <c:pt idx="8">
                  <c:v>0.0195615382383577</c:v>
                </c:pt>
                <c:pt idx="9">
                  <c:v>0.00353650857980777</c:v>
                </c:pt>
                <c:pt idx="10">
                  <c:v>0.0208537601948837</c:v>
                </c:pt>
                <c:pt idx="11">
                  <c:v>0.0118691133878664</c:v>
                </c:pt>
                <c:pt idx="12">
                  <c:v>0.0108986310301425</c:v>
                </c:pt>
                <c:pt idx="13">
                  <c:v>0.0146574727637021</c:v>
                </c:pt>
                <c:pt idx="14">
                  <c:v>0.00991120242673146</c:v>
                </c:pt>
                <c:pt idx="15">
                  <c:v>0.011565330098019</c:v>
                </c:pt>
                <c:pt idx="16">
                  <c:v>0.0170835195622343</c:v>
                </c:pt>
                <c:pt idx="17">
                  <c:v>0.00583916106840557</c:v>
                </c:pt>
                <c:pt idx="18">
                  <c:v>0.00513535830857403</c:v>
                </c:pt>
                <c:pt idx="19">
                  <c:v>0.0202604325789842</c:v>
                </c:pt>
                <c:pt idx="20">
                  <c:v>0.0307625737887408</c:v>
                </c:pt>
                <c:pt idx="21">
                  <c:v>0.0351592889799246</c:v>
                </c:pt>
                <c:pt idx="22">
                  <c:v>0.031425015611525</c:v>
                </c:pt>
                <c:pt idx="23">
                  <c:v>0.00721721554718259</c:v>
                </c:pt>
                <c:pt idx="24">
                  <c:v>0.0230804803653548</c:v>
                </c:pt>
                <c:pt idx="25">
                  <c:v>0.0310611746605964</c:v>
                </c:pt>
                <c:pt idx="26">
                  <c:v>0.0179697114882714</c:v>
                </c:pt>
              </c:numCache>
            </c:numRef>
          </c:yVal>
          <c:smooth val="0"/>
        </c:ser>
        <c:ser>
          <c:idx val="1"/>
          <c:order val="1"/>
          <c:tx>
            <c:v>regression line (y = 0.6855 x)</c:v>
          </c:tx>
          <c:spPr>
            <a:ln w="12700">
              <a:solidFill>
                <a:schemeClr val="tx1"/>
              </a:solidFill>
            </a:ln>
          </c:spPr>
          <c:marker>
            <c:symbol val="none"/>
          </c:marker>
          <c:xVal>
            <c:numRef>
              <c:f>'sector-year rates and stdevs'!$D$2:$D$28</c:f>
              <c:numCache>
                <c:formatCode>General</c:formatCode>
                <c:ptCount val="27"/>
                <c:pt idx="0">
                  <c:v>0.00309040410468382</c:v>
                </c:pt>
                <c:pt idx="1">
                  <c:v>0.0138835043778733</c:v>
                </c:pt>
                <c:pt idx="2">
                  <c:v>0.0325899525291928</c:v>
                </c:pt>
                <c:pt idx="3">
                  <c:v>0.0326511533810722</c:v>
                </c:pt>
                <c:pt idx="4">
                  <c:v>0.0537212575898597</c:v>
                </c:pt>
                <c:pt idx="5">
                  <c:v>0.0757991033894038</c:v>
                </c:pt>
                <c:pt idx="6">
                  <c:v>0.0886740593686967</c:v>
                </c:pt>
                <c:pt idx="7">
                  <c:v>0.1341993491141</c:v>
                </c:pt>
                <c:pt idx="8">
                  <c:v>0.0257596928621468</c:v>
                </c:pt>
                <c:pt idx="9">
                  <c:v>0.00685109787020583</c:v>
                </c:pt>
                <c:pt idx="10">
                  <c:v>0.029835264748839</c:v>
                </c:pt>
                <c:pt idx="11">
                  <c:v>0.0170184146170831</c:v>
                </c:pt>
                <c:pt idx="12">
                  <c:v>0.0282677452728913</c:v>
                </c:pt>
                <c:pt idx="13">
                  <c:v>0.0212221825434329</c:v>
                </c:pt>
                <c:pt idx="14">
                  <c:v>0.024427046279881</c:v>
                </c:pt>
                <c:pt idx="15">
                  <c:v>0.0283382204062824</c:v>
                </c:pt>
                <c:pt idx="16">
                  <c:v>0.0574915419566095</c:v>
                </c:pt>
                <c:pt idx="17">
                  <c:v>0.0112062771311363</c:v>
                </c:pt>
                <c:pt idx="18">
                  <c:v>0.00244726810139233</c:v>
                </c:pt>
                <c:pt idx="19">
                  <c:v>0.0205146914063658</c:v>
                </c:pt>
                <c:pt idx="20">
                  <c:v>0.0253830369004088</c:v>
                </c:pt>
                <c:pt idx="21">
                  <c:v>0.0316575605180756</c:v>
                </c:pt>
                <c:pt idx="22">
                  <c:v>0.0275924038794934</c:v>
                </c:pt>
                <c:pt idx="23">
                  <c:v>0.0203754757611017</c:v>
                </c:pt>
                <c:pt idx="24">
                  <c:v>0.0376428356105133</c:v>
                </c:pt>
                <c:pt idx="25">
                  <c:v>0.0666045039246086</c:v>
                </c:pt>
                <c:pt idx="26">
                  <c:v>0.0159078894418973</c:v>
                </c:pt>
              </c:numCache>
            </c:numRef>
          </c:xVal>
          <c:yVal>
            <c:numRef>
              <c:f>'regress stdev on mean'!$B$25:$B$51</c:f>
              <c:numCache>
                <c:formatCode>General</c:formatCode>
                <c:ptCount val="27"/>
                <c:pt idx="0">
                  <c:v>0.00211861703894729</c:v>
                </c:pt>
                <c:pt idx="1">
                  <c:v>0.00951779377029752</c:v>
                </c:pt>
                <c:pt idx="2">
                  <c:v>0.0223419418263733</c:v>
                </c:pt>
                <c:pt idx="3">
                  <c:v>0.0223838978823444</c:v>
                </c:pt>
                <c:pt idx="4">
                  <c:v>0.0368284430864738</c:v>
                </c:pt>
                <c:pt idx="5">
                  <c:v>0.0519638424419409</c:v>
                </c:pt>
                <c:pt idx="6">
                  <c:v>0.0607902289562757</c:v>
                </c:pt>
                <c:pt idx="7">
                  <c:v>0.0919999514684365</c:v>
                </c:pt>
                <c:pt idx="8">
                  <c:v>0.0176594782970548</c:v>
                </c:pt>
                <c:pt idx="9">
                  <c:v>0.00469674909547099</c:v>
                </c:pt>
                <c:pt idx="10">
                  <c:v>0.0204534740821089</c:v>
                </c:pt>
                <c:pt idx="11">
                  <c:v>0.0116669218530275</c:v>
                </c:pt>
                <c:pt idx="12">
                  <c:v>0.0193788659214508</c:v>
                </c:pt>
                <c:pt idx="13">
                  <c:v>0.014548802039197</c:v>
                </c:pt>
                <c:pt idx="14">
                  <c:v>0.0167458865270322</c:v>
                </c:pt>
                <c:pt idx="15">
                  <c:v>0.0194271799326179</c:v>
                </c:pt>
                <c:pt idx="16">
                  <c:v>0.0394131499502027</c:v>
                </c:pt>
                <c:pt idx="17">
                  <c:v>0.00768242885686293</c:v>
                </c:pt>
                <c:pt idx="18">
                  <c:v>0.00167771712787458</c:v>
                </c:pt>
                <c:pt idx="19">
                  <c:v>0.0140637836638904</c:v>
                </c:pt>
                <c:pt idx="20">
                  <c:v>0.0174012629597305</c:v>
                </c:pt>
                <c:pt idx="21">
                  <c:v>0.0217027433478515</c:v>
                </c:pt>
                <c:pt idx="22">
                  <c:v>0.0189158877041392</c:v>
                </c:pt>
                <c:pt idx="23">
                  <c:v>0.0139683448060084</c:v>
                </c:pt>
                <c:pt idx="24">
                  <c:v>0.0258059302981945</c:v>
                </c:pt>
                <c:pt idx="25">
                  <c:v>0.0456605130285199</c:v>
                </c:pt>
                <c:pt idx="26">
                  <c:v>0.0109056047311785</c:v>
                </c:pt>
              </c:numCache>
            </c:numRef>
          </c:yVal>
          <c:smooth val="0"/>
        </c:ser>
        <c:dLbls>
          <c:showLegendKey val="0"/>
          <c:showVal val="0"/>
          <c:showCatName val="0"/>
          <c:showSerName val="0"/>
          <c:showPercent val="0"/>
          <c:showBubbleSize val="0"/>
        </c:dLbls>
        <c:axId val="2064846376"/>
        <c:axId val="2064839848"/>
      </c:scatterChart>
      <c:valAx>
        <c:axId val="2064846376"/>
        <c:scaling>
          <c:orientation val="minMax"/>
        </c:scaling>
        <c:delete val="0"/>
        <c:axPos val="b"/>
        <c:title>
          <c:tx>
            <c:rich>
              <a:bodyPr/>
              <a:lstStyle/>
              <a:p>
                <a:pPr>
                  <a:defRPr sz="1000" b="1" i="0" u="none" strike="noStrike" baseline="0">
                    <a:solidFill>
                      <a:srgbClr val="000000"/>
                    </a:solidFill>
                    <a:latin typeface="Arial"/>
                    <a:ea typeface="Arial"/>
                    <a:cs typeface="Arial"/>
                  </a:defRPr>
                </a:pPr>
                <a:r>
                  <a:rPr lang="en-US"/>
                  <a:t>sector total bycatch rate (N Chinook</a:t>
                </a:r>
                <a:r>
                  <a:rPr lang="en-US" baseline="0"/>
                  <a:t> / mt Pollock)</a:t>
                </a:r>
                <a:endParaRPr lang="en-US"/>
              </a:p>
            </c:rich>
          </c:tx>
          <c:layout>
            <c:manualLayout>
              <c:xMode val="edge"/>
              <c:yMode val="edge"/>
              <c:x val="0.263600017281773"/>
              <c:y val="0.949100181933206"/>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064839848"/>
        <c:crosses val="autoZero"/>
        <c:crossBetween val="midCat"/>
      </c:valAx>
      <c:valAx>
        <c:axId val="2064839848"/>
        <c:scaling>
          <c:orientation val="minMax"/>
        </c:scaling>
        <c:delete val="0"/>
        <c:axPos val="l"/>
        <c:title>
          <c:tx>
            <c:rich>
              <a:bodyPr/>
              <a:lstStyle/>
              <a:p>
                <a:pPr>
                  <a:defRPr sz="1000" b="1" i="0" u="none" strike="noStrike" baseline="0">
                    <a:solidFill>
                      <a:srgbClr val="000000"/>
                    </a:solidFill>
                    <a:latin typeface="Arial"/>
                    <a:ea typeface="Arial"/>
                    <a:cs typeface="Arial"/>
                  </a:defRPr>
                </a:pPr>
                <a:r>
                  <a:rPr lang="en-US"/>
                  <a:t>standard</a:t>
                </a:r>
                <a:r>
                  <a:rPr lang="en-US" baseline="0"/>
                  <a:t> deviation of bycatch rates</a:t>
                </a:r>
                <a:endParaRPr lang="en-US"/>
              </a:p>
            </c:rich>
          </c:tx>
          <c:layout>
            <c:manualLayout>
              <c:xMode val="edge"/>
              <c:yMode val="edge"/>
              <c:x val="0.0120830172268338"/>
              <c:y val="0.20071342037609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064846376"/>
        <c:crosses val="autoZero"/>
        <c:crossBetween val="midCat"/>
      </c:valAx>
      <c:spPr>
        <a:ln>
          <a:solidFill>
            <a:srgbClr val="808080"/>
          </a:solidFill>
        </a:ln>
      </c:spPr>
    </c:plotArea>
    <c:legend>
      <c:legendPos val="r"/>
      <c:layout>
        <c:manualLayout>
          <c:xMode val="edge"/>
          <c:yMode val="edge"/>
          <c:x val="0.718325417558389"/>
          <c:y val="0.658346000977715"/>
          <c:w val="0.217298912261756"/>
          <c:h val="0.16421820453966"/>
        </c:manualLayout>
      </c:layout>
      <c:overlay val="0"/>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9525">
      <a:noFill/>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1">
                <a:latin typeface="Arial" pitchFamily="34" charset="0"/>
                <a:cs typeface="Arial" pitchFamily="34" charset="0"/>
              </a:defRPr>
            </a:pPr>
            <a:r>
              <a:rPr lang="en-US" b="1">
                <a:latin typeface="Arial" pitchFamily="34" charset="0"/>
                <a:cs typeface="Arial" pitchFamily="34" charset="0"/>
              </a:rPr>
              <a:t>Variation</a:t>
            </a:r>
            <a:r>
              <a:rPr lang="en-US" b="1" baseline="0">
                <a:latin typeface="Arial" pitchFamily="34" charset="0"/>
                <a:cs typeface="Arial" pitchFamily="34" charset="0"/>
              </a:rPr>
              <a:t> in individual vessel bycatch rate </a:t>
            </a:r>
          </a:p>
          <a:p>
            <a:pPr>
              <a:defRPr b="1">
                <a:latin typeface="Arial" pitchFamily="34" charset="0"/>
                <a:cs typeface="Arial" pitchFamily="34" charset="0"/>
              </a:defRPr>
            </a:pPr>
            <a:r>
              <a:rPr lang="en-US" b="1" baseline="0">
                <a:latin typeface="Arial" pitchFamily="34" charset="0"/>
                <a:cs typeface="Arial" pitchFamily="34" charset="0"/>
              </a:rPr>
              <a:t>due to pollock allocation % (proxy for vessel size)</a:t>
            </a:r>
            <a:endParaRPr lang="en-US" b="1">
              <a:latin typeface="Arial" pitchFamily="34" charset="0"/>
              <a:cs typeface="Arial" pitchFamily="34" charset="0"/>
            </a:endParaRPr>
          </a:p>
        </c:rich>
      </c:tx>
      <c:layout>
        <c:manualLayout>
          <c:xMode val="edge"/>
          <c:yMode val="edge"/>
          <c:x val="0.190069486506495"/>
          <c:y val="0.0"/>
        </c:manualLayout>
      </c:layout>
      <c:overlay val="0"/>
    </c:title>
    <c:autoTitleDeleted val="0"/>
    <c:plotArea>
      <c:layout>
        <c:manualLayout>
          <c:layoutTarget val="inner"/>
          <c:xMode val="edge"/>
          <c:yMode val="edge"/>
          <c:x val="0.0999554142270679"/>
          <c:y val="0.109962453258924"/>
          <c:w val="0.836177064405411"/>
          <c:h val="0.761467353317229"/>
        </c:manualLayout>
      </c:layout>
      <c:scatterChart>
        <c:scatterStyle val="lineMarker"/>
        <c:varyColors val="0"/>
        <c:ser>
          <c:idx val="0"/>
          <c:order val="0"/>
          <c:tx>
            <c:v>actual</c:v>
          </c:tx>
          <c:spPr>
            <a:ln w="28575">
              <a:noFill/>
            </a:ln>
          </c:spPr>
          <c:marker>
            <c:symbol val="circle"/>
            <c:size val="4"/>
            <c:spPr>
              <a:solidFill>
                <a:srgbClr val="000000"/>
              </a:solidFill>
              <a:ln>
                <a:solidFill>
                  <a:srgbClr val="000000"/>
                </a:solidFill>
                <a:prstDash val="solid"/>
              </a:ln>
            </c:spPr>
          </c:marker>
          <c:xVal>
            <c:numRef>
              <c:f>fitting!$B$2:$B$73</c:f>
              <c:numCache>
                <c:formatCode>0.00000</c:formatCode>
                <c:ptCount val="72"/>
                <c:pt idx="0">
                  <c:v>0.0662894228276181</c:v>
                </c:pt>
                <c:pt idx="1">
                  <c:v>0.0990666021592177</c:v>
                </c:pt>
                <c:pt idx="2">
                  <c:v>0.123223483562629</c:v>
                </c:pt>
                <c:pt idx="3">
                  <c:v>0.129939297064822</c:v>
                </c:pt>
                <c:pt idx="4">
                  <c:v>0.132111077550606</c:v>
                </c:pt>
                <c:pt idx="5">
                  <c:v>0.225898582528995</c:v>
                </c:pt>
                <c:pt idx="6">
                  <c:v>0.265090867295525</c:v>
                </c:pt>
                <c:pt idx="7">
                  <c:v>0.276584597866444</c:v>
                </c:pt>
                <c:pt idx="8">
                  <c:v>0.308526477011204</c:v>
                </c:pt>
                <c:pt idx="9">
                  <c:v>0.318316195200968</c:v>
                </c:pt>
                <c:pt idx="10">
                  <c:v>0.365460537746213</c:v>
                </c:pt>
                <c:pt idx="11">
                  <c:v>0.36803326232168</c:v>
                </c:pt>
                <c:pt idx="12">
                  <c:v>0.384639030036058</c:v>
                </c:pt>
                <c:pt idx="13">
                  <c:v>0.390051775246781</c:v>
                </c:pt>
                <c:pt idx="14">
                  <c:v>0.404418938460428</c:v>
                </c:pt>
                <c:pt idx="15">
                  <c:v>0.43332032492509</c:v>
                </c:pt>
                <c:pt idx="16">
                  <c:v>0.437363177829396</c:v>
                </c:pt>
                <c:pt idx="17">
                  <c:v>0.440036138427283</c:v>
                </c:pt>
                <c:pt idx="18">
                  <c:v>0.447553840108843</c:v>
                </c:pt>
                <c:pt idx="19">
                  <c:v>0.496636079087558</c:v>
                </c:pt>
                <c:pt idx="20">
                  <c:v>0.500077515857337</c:v>
                </c:pt>
                <c:pt idx="21">
                  <c:v>0.525203345477483</c:v>
                </c:pt>
                <c:pt idx="22">
                  <c:v>0.534792591622407</c:v>
                </c:pt>
                <c:pt idx="23">
                  <c:v>0.551498595359206</c:v>
                </c:pt>
                <c:pt idx="24">
                  <c:v>0.558448292913715</c:v>
                </c:pt>
                <c:pt idx="25">
                  <c:v>0.765836623302336</c:v>
                </c:pt>
                <c:pt idx="26">
                  <c:v>1.105569915293878</c:v>
                </c:pt>
                <c:pt idx="27">
                  <c:v>1.12200862297089</c:v>
                </c:pt>
                <c:pt idx="28">
                  <c:v>1.159229599296476</c:v>
                </c:pt>
                <c:pt idx="29">
                  <c:v>1.16798354525456</c:v>
                </c:pt>
                <c:pt idx="30">
                  <c:v>1.189834998142292</c:v>
                </c:pt>
                <c:pt idx="31">
                  <c:v>1.198288236033114</c:v>
                </c:pt>
                <c:pt idx="32">
                  <c:v>1.21776743639022</c:v>
                </c:pt>
                <c:pt idx="33">
                  <c:v>1.259064677627584</c:v>
                </c:pt>
                <c:pt idx="34">
                  <c:v>1.297087542132542</c:v>
                </c:pt>
                <c:pt idx="35">
                  <c:v>1.350513342082824</c:v>
                </c:pt>
                <c:pt idx="36">
                  <c:v>1.416067700746024</c:v>
                </c:pt>
                <c:pt idx="37">
                  <c:v>1.42051149774001</c:v>
                </c:pt>
                <c:pt idx="38">
                  <c:v>1.433943124744398</c:v>
                </c:pt>
                <c:pt idx="39">
                  <c:v>1.440024110104591</c:v>
                </c:pt>
                <c:pt idx="40">
                  <c:v>1.48178911944659</c:v>
                </c:pt>
                <c:pt idx="41">
                  <c:v>1.552221631200934</c:v>
                </c:pt>
                <c:pt idx="42">
                  <c:v>1.574240144126037</c:v>
                </c:pt>
                <c:pt idx="43">
                  <c:v>1.581223253688016</c:v>
                </c:pt>
                <c:pt idx="44">
                  <c:v>1.58533293060727</c:v>
                </c:pt>
                <c:pt idx="45">
                  <c:v>1.662548079878757</c:v>
                </c:pt>
                <c:pt idx="46">
                  <c:v>1.665722220588746</c:v>
                </c:pt>
                <c:pt idx="47">
                  <c:v>1.68466682882628</c:v>
                </c:pt>
                <c:pt idx="48">
                  <c:v>1.72305722541344</c:v>
                </c:pt>
                <c:pt idx="49">
                  <c:v>1.75713747303651</c:v>
                </c:pt>
                <c:pt idx="50">
                  <c:v>1.805718531903122</c:v>
                </c:pt>
                <c:pt idx="51">
                  <c:v>1.82336007184918</c:v>
                </c:pt>
                <c:pt idx="52">
                  <c:v>1.83041000542611</c:v>
                </c:pt>
                <c:pt idx="53">
                  <c:v>1.844309400535127</c:v>
                </c:pt>
                <c:pt idx="54">
                  <c:v>1.899506036881512</c:v>
                </c:pt>
                <c:pt idx="55">
                  <c:v>1.924665278509128</c:v>
                </c:pt>
                <c:pt idx="56">
                  <c:v>1.951227824450641</c:v>
                </c:pt>
                <c:pt idx="57">
                  <c:v>2.020490915943408</c:v>
                </c:pt>
                <c:pt idx="58">
                  <c:v>2.032753122686218</c:v>
                </c:pt>
                <c:pt idx="59">
                  <c:v>2.091558255839751</c:v>
                </c:pt>
                <c:pt idx="60">
                  <c:v>2.15564248617409</c:v>
                </c:pt>
                <c:pt idx="61">
                  <c:v>2.222700385173622</c:v>
                </c:pt>
                <c:pt idx="62">
                  <c:v>2.23603177615559</c:v>
                </c:pt>
                <c:pt idx="63">
                  <c:v>2.241043577276628</c:v>
                </c:pt>
                <c:pt idx="64">
                  <c:v>2.486254300125362</c:v>
                </c:pt>
                <c:pt idx="65">
                  <c:v>2.673729074059719</c:v>
                </c:pt>
                <c:pt idx="66">
                  <c:v>3.006278784444439</c:v>
                </c:pt>
                <c:pt idx="67">
                  <c:v>3.46031455400316</c:v>
                </c:pt>
                <c:pt idx="68">
                  <c:v>3.57321372725645</c:v>
                </c:pt>
                <c:pt idx="69">
                  <c:v>3.656710333932967</c:v>
                </c:pt>
                <c:pt idx="70">
                  <c:v>4.012949157616466</c:v>
                </c:pt>
                <c:pt idx="71">
                  <c:v>5.456882472595471</c:v>
                </c:pt>
              </c:numCache>
            </c:numRef>
          </c:xVal>
          <c:yVal>
            <c:numRef>
              <c:f>fitting!$I$2:$I$73</c:f>
              <c:numCache>
                <c:formatCode>General</c:formatCode>
                <c:ptCount val="72"/>
                <c:pt idx="0">
                  <c:v>0.302935162660431</c:v>
                </c:pt>
                <c:pt idx="1">
                  <c:v>0.245920550790502</c:v>
                </c:pt>
                <c:pt idx="2">
                  <c:v>0.865156441470267</c:v>
                </c:pt>
                <c:pt idx="3">
                  <c:v>0.687772711854924</c:v>
                </c:pt>
                <c:pt idx="4">
                  <c:v>0.352288101837936</c:v>
                </c:pt>
                <c:pt idx="5">
                  <c:v>0.360796027691181</c:v>
                </c:pt>
                <c:pt idx="6">
                  <c:v>0.496530550716633</c:v>
                </c:pt>
                <c:pt idx="8">
                  <c:v>0.314567049296908</c:v>
                </c:pt>
                <c:pt idx="9">
                  <c:v>0.360087845024649</c:v>
                </c:pt>
                <c:pt idx="10">
                  <c:v>0.218793410082931</c:v>
                </c:pt>
                <c:pt idx="11">
                  <c:v>0.186668422389274</c:v>
                </c:pt>
                <c:pt idx="12">
                  <c:v>0.836760997986914</c:v>
                </c:pt>
                <c:pt idx="13">
                  <c:v>0.417553228029919</c:v>
                </c:pt>
                <c:pt idx="14">
                  <c:v>0.158003837651115</c:v>
                </c:pt>
                <c:pt idx="15">
                  <c:v>0.873489675186415</c:v>
                </c:pt>
                <c:pt idx="16">
                  <c:v>1.16083888893723</c:v>
                </c:pt>
                <c:pt idx="17">
                  <c:v>0.579083119336831</c:v>
                </c:pt>
                <c:pt idx="18">
                  <c:v>0.346795960604898</c:v>
                </c:pt>
                <c:pt idx="19">
                  <c:v>0.36838397230602</c:v>
                </c:pt>
                <c:pt idx="20">
                  <c:v>0.366038950900083</c:v>
                </c:pt>
                <c:pt idx="21">
                  <c:v>0.155473637524152</c:v>
                </c:pt>
                <c:pt idx="22">
                  <c:v>0.360023115193224</c:v>
                </c:pt>
                <c:pt idx="23">
                  <c:v>0.188529689196029</c:v>
                </c:pt>
                <c:pt idx="24">
                  <c:v>0.306936313367546</c:v>
                </c:pt>
                <c:pt idx="25">
                  <c:v>0.443588776392371</c:v>
                </c:pt>
                <c:pt idx="26">
                  <c:v>1.240660621923266</c:v>
                </c:pt>
                <c:pt idx="27">
                  <c:v>0.305023414273669</c:v>
                </c:pt>
                <c:pt idx="28">
                  <c:v>0.710980416474074</c:v>
                </c:pt>
                <c:pt idx="29">
                  <c:v>0.193996220881626</c:v>
                </c:pt>
                <c:pt idx="30">
                  <c:v>0.480310985722416</c:v>
                </c:pt>
                <c:pt idx="31">
                  <c:v>0.635564370442729</c:v>
                </c:pt>
                <c:pt idx="32">
                  <c:v>0.191349268954511</c:v>
                </c:pt>
                <c:pt idx="33">
                  <c:v>0.554300495275198</c:v>
                </c:pt>
                <c:pt idx="34">
                  <c:v>0.808588546665907</c:v>
                </c:pt>
                <c:pt idx="35">
                  <c:v>0.641077646761319</c:v>
                </c:pt>
                <c:pt idx="36">
                  <c:v>0.494222034898946</c:v>
                </c:pt>
                <c:pt idx="37">
                  <c:v>0.180365806745525</c:v>
                </c:pt>
                <c:pt idx="38">
                  <c:v>0.171632310821782</c:v>
                </c:pt>
                <c:pt idx="39">
                  <c:v>0.359355875795706</c:v>
                </c:pt>
                <c:pt idx="40">
                  <c:v>0.533353730879429</c:v>
                </c:pt>
                <c:pt idx="41">
                  <c:v>0.367507394298194</c:v>
                </c:pt>
                <c:pt idx="42">
                  <c:v>0.166848839217817</c:v>
                </c:pt>
                <c:pt idx="43">
                  <c:v>0.365698508093934</c:v>
                </c:pt>
                <c:pt idx="44">
                  <c:v>0.446101215221567</c:v>
                </c:pt>
                <c:pt idx="45">
                  <c:v>0.844362384093824</c:v>
                </c:pt>
                <c:pt idx="46">
                  <c:v>0.648645948746764</c:v>
                </c:pt>
                <c:pt idx="47">
                  <c:v>0.418730017226702</c:v>
                </c:pt>
                <c:pt idx="48">
                  <c:v>0.17112111147533</c:v>
                </c:pt>
                <c:pt idx="49">
                  <c:v>0.613391064348933</c:v>
                </c:pt>
                <c:pt idx="50">
                  <c:v>0.361975141332152</c:v>
                </c:pt>
                <c:pt idx="51">
                  <c:v>0.539720703253601</c:v>
                </c:pt>
                <c:pt idx="52">
                  <c:v>0.595309219337736</c:v>
                </c:pt>
                <c:pt idx="53">
                  <c:v>0.52001679119925</c:v>
                </c:pt>
                <c:pt idx="54">
                  <c:v>0.390506268291508</c:v>
                </c:pt>
                <c:pt idx="55">
                  <c:v>0.239100865795301</c:v>
                </c:pt>
                <c:pt idx="56">
                  <c:v>0.343884534715067</c:v>
                </c:pt>
                <c:pt idx="57">
                  <c:v>0.675050823874349</c:v>
                </c:pt>
                <c:pt idx="58">
                  <c:v>0.107104940561379</c:v>
                </c:pt>
                <c:pt idx="59">
                  <c:v>0.334547973153453</c:v>
                </c:pt>
                <c:pt idx="60">
                  <c:v>0.246716394777131</c:v>
                </c:pt>
                <c:pt idx="61">
                  <c:v>0.480087633723141</c:v>
                </c:pt>
                <c:pt idx="62">
                  <c:v>0.212063207817708</c:v>
                </c:pt>
                <c:pt idx="63">
                  <c:v>0.428990576952309</c:v>
                </c:pt>
                <c:pt idx="64">
                  <c:v>0.537370035979367</c:v>
                </c:pt>
                <c:pt idx="65">
                  <c:v>0.20382291156625</c:v>
                </c:pt>
                <c:pt idx="66">
                  <c:v>0.673173416423695</c:v>
                </c:pt>
                <c:pt idx="67">
                  <c:v>0.210294123615335</c:v>
                </c:pt>
                <c:pt idx="68">
                  <c:v>0.231112258713096</c:v>
                </c:pt>
                <c:pt idx="69">
                  <c:v>0.114908418049141</c:v>
                </c:pt>
                <c:pt idx="70">
                  <c:v>0.271591974399127</c:v>
                </c:pt>
                <c:pt idx="71">
                  <c:v>0.330577856172732</c:v>
                </c:pt>
              </c:numCache>
            </c:numRef>
          </c:yVal>
          <c:smooth val="0"/>
        </c:ser>
        <c:ser>
          <c:idx val="1"/>
          <c:order val="1"/>
          <c:tx>
            <c:v>estimated 1/sqrt(1+x)</c:v>
          </c:tx>
          <c:spPr>
            <a:ln w="25400">
              <a:solidFill>
                <a:srgbClr val="DD0806"/>
              </a:solidFill>
              <a:prstDash val="solid"/>
            </a:ln>
          </c:spPr>
          <c:marker>
            <c:symbol val="none"/>
          </c:marker>
          <c:xVal>
            <c:numRef>
              <c:f>fitting!$B$2:$B$73</c:f>
              <c:numCache>
                <c:formatCode>0.00000</c:formatCode>
                <c:ptCount val="72"/>
                <c:pt idx="0">
                  <c:v>0.0662894228276181</c:v>
                </c:pt>
                <c:pt idx="1">
                  <c:v>0.0990666021592177</c:v>
                </c:pt>
                <c:pt idx="2">
                  <c:v>0.123223483562629</c:v>
                </c:pt>
                <c:pt idx="3">
                  <c:v>0.129939297064822</c:v>
                </c:pt>
                <c:pt idx="4">
                  <c:v>0.132111077550606</c:v>
                </c:pt>
                <c:pt idx="5">
                  <c:v>0.225898582528995</c:v>
                </c:pt>
                <c:pt idx="6">
                  <c:v>0.265090867295525</c:v>
                </c:pt>
                <c:pt idx="7">
                  <c:v>0.276584597866444</c:v>
                </c:pt>
                <c:pt idx="8">
                  <c:v>0.308526477011204</c:v>
                </c:pt>
                <c:pt idx="9">
                  <c:v>0.318316195200968</c:v>
                </c:pt>
                <c:pt idx="10">
                  <c:v>0.365460537746213</c:v>
                </c:pt>
                <c:pt idx="11">
                  <c:v>0.36803326232168</c:v>
                </c:pt>
                <c:pt idx="12">
                  <c:v>0.384639030036058</c:v>
                </c:pt>
                <c:pt idx="13">
                  <c:v>0.390051775246781</c:v>
                </c:pt>
                <c:pt idx="14">
                  <c:v>0.404418938460428</c:v>
                </c:pt>
                <c:pt idx="15">
                  <c:v>0.43332032492509</c:v>
                </c:pt>
                <c:pt idx="16">
                  <c:v>0.437363177829396</c:v>
                </c:pt>
                <c:pt idx="17">
                  <c:v>0.440036138427283</c:v>
                </c:pt>
                <c:pt idx="18">
                  <c:v>0.447553840108843</c:v>
                </c:pt>
                <c:pt idx="19">
                  <c:v>0.496636079087558</c:v>
                </c:pt>
                <c:pt idx="20">
                  <c:v>0.500077515857337</c:v>
                </c:pt>
                <c:pt idx="21">
                  <c:v>0.525203345477483</c:v>
                </c:pt>
                <c:pt idx="22">
                  <c:v>0.534792591622407</c:v>
                </c:pt>
                <c:pt idx="23">
                  <c:v>0.551498595359206</c:v>
                </c:pt>
                <c:pt idx="24">
                  <c:v>0.558448292913715</c:v>
                </c:pt>
                <c:pt idx="25">
                  <c:v>0.765836623302336</c:v>
                </c:pt>
                <c:pt idx="26">
                  <c:v>1.105569915293878</c:v>
                </c:pt>
                <c:pt idx="27">
                  <c:v>1.12200862297089</c:v>
                </c:pt>
                <c:pt idx="28">
                  <c:v>1.159229599296476</c:v>
                </c:pt>
                <c:pt idx="29">
                  <c:v>1.16798354525456</c:v>
                </c:pt>
                <c:pt idx="30">
                  <c:v>1.189834998142292</c:v>
                </c:pt>
                <c:pt idx="31">
                  <c:v>1.198288236033114</c:v>
                </c:pt>
                <c:pt idx="32">
                  <c:v>1.21776743639022</c:v>
                </c:pt>
                <c:pt idx="33">
                  <c:v>1.259064677627584</c:v>
                </c:pt>
                <c:pt idx="34">
                  <c:v>1.297087542132542</c:v>
                </c:pt>
                <c:pt idx="35">
                  <c:v>1.350513342082824</c:v>
                </c:pt>
                <c:pt idx="36">
                  <c:v>1.416067700746024</c:v>
                </c:pt>
                <c:pt idx="37">
                  <c:v>1.42051149774001</c:v>
                </c:pt>
                <c:pt idx="38">
                  <c:v>1.433943124744398</c:v>
                </c:pt>
                <c:pt idx="39">
                  <c:v>1.440024110104591</c:v>
                </c:pt>
                <c:pt idx="40">
                  <c:v>1.48178911944659</c:v>
                </c:pt>
                <c:pt idx="41">
                  <c:v>1.552221631200934</c:v>
                </c:pt>
                <c:pt idx="42">
                  <c:v>1.574240144126037</c:v>
                </c:pt>
                <c:pt idx="43">
                  <c:v>1.581223253688016</c:v>
                </c:pt>
                <c:pt idx="44">
                  <c:v>1.58533293060727</c:v>
                </c:pt>
                <c:pt idx="45">
                  <c:v>1.662548079878757</c:v>
                </c:pt>
                <c:pt idx="46">
                  <c:v>1.665722220588746</c:v>
                </c:pt>
                <c:pt idx="47">
                  <c:v>1.68466682882628</c:v>
                </c:pt>
                <c:pt idx="48">
                  <c:v>1.72305722541344</c:v>
                </c:pt>
                <c:pt idx="49">
                  <c:v>1.75713747303651</c:v>
                </c:pt>
                <c:pt idx="50">
                  <c:v>1.805718531903122</c:v>
                </c:pt>
                <c:pt idx="51">
                  <c:v>1.82336007184918</c:v>
                </c:pt>
                <c:pt idx="52">
                  <c:v>1.83041000542611</c:v>
                </c:pt>
                <c:pt idx="53">
                  <c:v>1.844309400535127</c:v>
                </c:pt>
                <c:pt idx="54">
                  <c:v>1.899506036881512</c:v>
                </c:pt>
                <c:pt idx="55">
                  <c:v>1.924665278509128</c:v>
                </c:pt>
                <c:pt idx="56">
                  <c:v>1.951227824450641</c:v>
                </c:pt>
                <c:pt idx="57">
                  <c:v>2.020490915943408</c:v>
                </c:pt>
                <c:pt idx="58">
                  <c:v>2.032753122686218</c:v>
                </c:pt>
                <c:pt idx="59">
                  <c:v>2.091558255839751</c:v>
                </c:pt>
                <c:pt idx="60">
                  <c:v>2.15564248617409</c:v>
                </c:pt>
                <c:pt idx="61">
                  <c:v>2.222700385173622</c:v>
                </c:pt>
                <c:pt idx="62">
                  <c:v>2.23603177615559</c:v>
                </c:pt>
                <c:pt idx="63">
                  <c:v>2.241043577276628</c:v>
                </c:pt>
                <c:pt idx="64">
                  <c:v>2.486254300125362</c:v>
                </c:pt>
                <c:pt idx="65">
                  <c:v>2.673729074059719</c:v>
                </c:pt>
                <c:pt idx="66">
                  <c:v>3.006278784444439</c:v>
                </c:pt>
                <c:pt idx="67">
                  <c:v>3.46031455400316</c:v>
                </c:pt>
                <c:pt idx="68">
                  <c:v>3.57321372725645</c:v>
                </c:pt>
                <c:pt idx="69">
                  <c:v>3.656710333932967</c:v>
                </c:pt>
                <c:pt idx="70">
                  <c:v>4.012949157616466</c:v>
                </c:pt>
                <c:pt idx="71">
                  <c:v>5.456882472595471</c:v>
                </c:pt>
              </c:numCache>
            </c:numRef>
          </c:xVal>
          <c:yVal>
            <c:numRef>
              <c:f>fitting!$M$2:$M$73</c:f>
              <c:numCache>
                <c:formatCode>General</c:formatCode>
                <c:ptCount val="72"/>
                <c:pt idx="0">
                  <c:v>0.589766013805425</c:v>
                </c:pt>
                <c:pt idx="1">
                  <c:v>0.580905230832559</c:v>
                </c:pt>
                <c:pt idx="2">
                  <c:v>0.574624587811839</c:v>
                </c:pt>
                <c:pt idx="3">
                  <c:v>0.572914397364459</c:v>
                </c:pt>
                <c:pt idx="4">
                  <c:v>0.572364609614541</c:v>
                </c:pt>
                <c:pt idx="5">
                  <c:v>0.550034614546731</c:v>
                </c:pt>
                <c:pt idx="6">
                  <c:v>0.54144759916652</c:v>
                </c:pt>
                <c:pt idx="7">
                  <c:v>0.539004625933226</c:v>
                </c:pt>
                <c:pt idx="8">
                  <c:v>0.53238527534162</c:v>
                </c:pt>
                <c:pt idx="9">
                  <c:v>0.53040486513144</c:v>
                </c:pt>
                <c:pt idx="10">
                  <c:v>0.521167968786619</c:v>
                </c:pt>
                <c:pt idx="11">
                  <c:v>0.520677683696618</c:v>
                </c:pt>
                <c:pt idx="12">
                  <c:v>0.517546061517242</c:v>
                </c:pt>
                <c:pt idx="13">
                  <c:v>0.516537438173557</c:v>
                </c:pt>
                <c:pt idx="14">
                  <c:v>0.513888565110198</c:v>
                </c:pt>
                <c:pt idx="15">
                  <c:v>0.508681171684214</c:v>
                </c:pt>
                <c:pt idx="16">
                  <c:v>0.507965287448978</c:v>
                </c:pt>
                <c:pt idx="17">
                  <c:v>0.507493631976856</c:v>
                </c:pt>
                <c:pt idx="18">
                  <c:v>0.506174112122268</c:v>
                </c:pt>
                <c:pt idx="19">
                  <c:v>0.497804923219269</c:v>
                </c:pt>
                <c:pt idx="20">
                  <c:v>0.497233570122137</c:v>
                </c:pt>
                <c:pt idx="21">
                  <c:v>0.493120909484089</c:v>
                </c:pt>
                <c:pt idx="22">
                  <c:v>0.491578008173679</c:v>
                </c:pt>
                <c:pt idx="23">
                  <c:v>0.488924273678058</c:v>
                </c:pt>
                <c:pt idx="24">
                  <c:v>0.487832908500642</c:v>
                </c:pt>
                <c:pt idx="25">
                  <c:v>0.458291743060581</c:v>
                </c:pt>
                <c:pt idx="26">
                  <c:v>0.419693708879137</c:v>
                </c:pt>
                <c:pt idx="27">
                  <c:v>0.418064913455336</c:v>
                </c:pt>
                <c:pt idx="28">
                  <c:v>0.41444593100413</c:v>
                </c:pt>
                <c:pt idx="29">
                  <c:v>0.41360835383447</c:v>
                </c:pt>
                <c:pt idx="30">
                  <c:v>0.411539567114736</c:v>
                </c:pt>
                <c:pt idx="31">
                  <c:v>0.410747543436519</c:v>
                </c:pt>
                <c:pt idx="32">
                  <c:v>0.408939716360143</c:v>
                </c:pt>
                <c:pt idx="33">
                  <c:v>0.405184627511491</c:v>
                </c:pt>
                <c:pt idx="34">
                  <c:v>0.401817196638536</c:v>
                </c:pt>
                <c:pt idx="35">
                  <c:v>0.39722441332506</c:v>
                </c:pt>
                <c:pt idx="36">
                  <c:v>0.391798476466523</c:v>
                </c:pt>
                <c:pt idx="37">
                  <c:v>0.391438661457733</c:v>
                </c:pt>
                <c:pt idx="38">
                  <c:v>0.390357097210248</c:v>
                </c:pt>
                <c:pt idx="39">
                  <c:v>0.389870373208732</c:v>
                </c:pt>
                <c:pt idx="40">
                  <c:v>0.386575970205103</c:v>
                </c:pt>
                <c:pt idx="41">
                  <c:v>0.381204571390427</c:v>
                </c:pt>
                <c:pt idx="42">
                  <c:v>0.379570772122647</c:v>
                </c:pt>
                <c:pt idx="43">
                  <c:v>0.379056988705745</c:v>
                </c:pt>
                <c:pt idx="44">
                  <c:v>0.378755592064166</c:v>
                </c:pt>
                <c:pt idx="45">
                  <c:v>0.373223140690533</c:v>
                </c:pt>
                <c:pt idx="46">
                  <c:v>0.37300087154008</c:v>
                </c:pt>
                <c:pt idx="47">
                  <c:v>0.371682483427673</c:v>
                </c:pt>
                <c:pt idx="48">
                  <c:v>0.369053143201325</c:v>
                </c:pt>
                <c:pt idx="49">
                  <c:v>0.366765166765594</c:v>
                </c:pt>
                <c:pt idx="50">
                  <c:v>0.363576029285001</c:v>
                </c:pt>
                <c:pt idx="51">
                  <c:v>0.362438361450948</c:v>
                </c:pt>
                <c:pt idx="52">
                  <c:v>0.361986702602209</c:v>
                </c:pt>
                <c:pt idx="53">
                  <c:v>0.361101152308966</c:v>
                </c:pt>
                <c:pt idx="54">
                  <c:v>0.357647574414581</c:v>
                </c:pt>
                <c:pt idx="55">
                  <c:v>0.356105931858938</c:v>
                </c:pt>
                <c:pt idx="56">
                  <c:v>0.354499742639753</c:v>
                </c:pt>
                <c:pt idx="57">
                  <c:v>0.350411641212134</c:v>
                </c:pt>
                <c:pt idx="58">
                  <c:v>0.349702521163854</c:v>
                </c:pt>
                <c:pt idx="59">
                  <c:v>0.346360673419154</c:v>
                </c:pt>
                <c:pt idx="60">
                  <c:v>0.342825718863813</c:v>
                </c:pt>
                <c:pt idx="61">
                  <c:v>0.339240212939885</c:v>
                </c:pt>
                <c:pt idx="62">
                  <c:v>0.338540712487209</c:v>
                </c:pt>
                <c:pt idx="63">
                  <c:v>0.338278859304154</c:v>
                </c:pt>
                <c:pt idx="64">
                  <c:v>0.326165304217855</c:v>
                </c:pt>
                <c:pt idx="65">
                  <c:v>0.317734029113367</c:v>
                </c:pt>
                <c:pt idx="66">
                  <c:v>0.304261294751378</c:v>
                </c:pt>
                <c:pt idx="67">
                  <c:v>0.288359689292072</c:v>
                </c:pt>
                <c:pt idx="68">
                  <c:v>0.284778070673114</c:v>
                </c:pt>
                <c:pt idx="69">
                  <c:v>0.282213432286175</c:v>
                </c:pt>
                <c:pt idx="70">
                  <c:v>0.272001088914072</c:v>
                </c:pt>
                <c:pt idx="71">
                  <c:v>0.239665682283949</c:v>
                </c:pt>
              </c:numCache>
            </c:numRef>
          </c:yVal>
          <c:smooth val="0"/>
        </c:ser>
        <c:dLbls>
          <c:showLegendKey val="0"/>
          <c:showVal val="0"/>
          <c:showCatName val="0"/>
          <c:showSerName val="0"/>
          <c:showPercent val="0"/>
          <c:showBubbleSize val="0"/>
        </c:dLbls>
        <c:axId val="2066246504"/>
        <c:axId val="2066252808"/>
      </c:scatterChart>
      <c:valAx>
        <c:axId val="2066246504"/>
        <c:scaling>
          <c:orientation val="minMax"/>
        </c:scaling>
        <c:delete val="0"/>
        <c:axPos val="b"/>
        <c:title>
          <c:tx>
            <c:rich>
              <a:bodyPr/>
              <a:lstStyle/>
              <a:p>
                <a:pPr>
                  <a:defRPr sz="1000" b="1" i="0" u="none" strike="noStrike" baseline="0">
                    <a:solidFill>
                      <a:srgbClr val="000000"/>
                    </a:solidFill>
                    <a:latin typeface="Arial" pitchFamily="34" charset="0"/>
                    <a:ea typeface="Verdana"/>
                    <a:cs typeface="Arial" pitchFamily="34" charset="0"/>
                  </a:defRPr>
                </a:pPr>
                <a:r>
                  <a:rPr lang="en-US">
                    <a:latin typeface="Arial" pitchFamily="34" charset="0"/>
                    <a:cs typeface="Arial" pitchFamily="34" charset="0"/>
                  </a:rPr>
                  <a:t>% of sector pollock allocation</a:t>
                </a:r>
              </a:p>
            </c:rich>
          </c:tx>
          <c:layout>
            <c:manualLayout>
              <c:xMode val="edge"/>
              <c:yMode val="edge"/>
              <c:x val="0.354435190793459"/>
              <c:y val="0.939689407319553"/>
            </c:manualLayout>
          </c:layout>
          <c:overlay val="0"/>
          <c:spPr>
            <a:noFill/>
            <a:ln w="25400">
              <a:noFill/>
            </a:ln>
          </c:spPr>
        </c:title>
        <c:numFmt formatCode="0.00000"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2066252808"/>
        <c:crosses val="autoZero"/>
        <c:crossBetween val="midCat"/>
      </c:valAx>
      <c:valAx>
        <c:axId val="2066252808"/>
        <c:scaling>
          <c:orientation val="minMax"/>
        </c:scaling>
        <c:delete val="0"/>
        <c:axPos val="l"/>
        <c:title>
          <c:tx>
            <c:rich>
              <a:bodyPr/>
              <a:lstStyle/>
              <a:p>
                <a:pPr>
                  <a:defRPr sz="1000" b="1" i="0" u="none" strike="noStrike" baseline="0">
                    <a:solidFill>
                      <a:srgbClr val="000000"/>
                    </a:solidFill>
                    <a:latin typeface="Arial" pitchFamily="34" charset="0"/>
                    <a:ea typeface="Verdana"/>
                    <a:cs typeface="Arial" pitchFamily="34" charset="0"/>
                  </a:defRPr>
                </a:pPr>
                <a:r>
                  <a:rPr lang="en-US">
                    <a:latin typeface="Arial" pitchFamily="34" charset="0"/>
                    <a:cs typeface="Arial" pitchFamily="34" charset="0"/>
                  </a:rPr>
                  <a:t>individual vessel std. dev. in relative bycatch rate</a:t>
                </a:r>
              </a:p>
            </c:rich>
          </c:tx>
          <c:layout>
            <c:manualLayout>
              <c:xMode val="edge"/>
              <c:yMode val="edge"/>
              <c:x val="0.0133185349611543"/>
              <c:y val="0.163132137030995"/>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2066246504"/>
        <c:crosses val="autoZero"/>
        <c:crossBetween val="midCat"/>
      </c:valAx>
      <c:spPr>
        <a:solidFill>
          <a:srgbClr val="FFFFFF"/>
        </a:solidFill>
        <a:ln w="12700">
          <a:solidFill>
            <a:srgbClr val="000000"/>
          </a:solidFill>
          <a:prstDash val="solid"/>
        </a:ln>
      </c:spPr>
    </c:plotArea>
    <c:legend>
      <c:legendPos val="r"/>
      <c:layout>
        <c:manualLayout>
          <c:xMode val="edge"/>
          <c:yMode val="edge"/>
          <c:x val="0.691566895484218"/>
          <c:y val="0.164162099869426"/>
          <c:w val="0.234939262399892"/>
          <c:h val="0.170017162584576"/>
        </c:manualLayout>
      </c:layout>
      <c:overlay val="0"/>
      <c:spPr>
        <a:ln>
          <a:solidFill>
            <a:schemeClr val="accent1"/>
          </a:solidFill>
        </a:ln>
      </c:spPr>
      <c:txPr>
        <a:bodyPr/>
        <a:lstStyle/>
        <a:p>
          <a:pPr>
            <a:defRPr>
              <a:latin typeface="Arial" pitchFamily="34" charset="0"/>
              <a:cs typeface="Arial" pitchFamily="34" charset="0"/>
            </a:defRPr>
          </a:pPr>
          <a:endParaRPr lang="en-US"/>
        </a:p>
      </c:txPr>
    </c:legend>
    <c:plotVisOnly val="1"/>
    <c:dispBlanksAs val="gap"/>
    <c:showDLblsOverMax val="0"/>
  </c:chart>
  <c:spPr>
    <a:noFill/>
    <a:ln w="9525">
      <a:noFill/>
    </a:ln>
  </c:spPr>
  <c:txPr>
    <a:bodyPr/>
    <a:lstStyle/>
    <a:p>
      <a:pPr>
        <a:defRPr sz="10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0"/>
            </a:pPr>
            <a:r>
              <a:rPr lang="en-US" b="0"/>
              <a:t>Convergence to lower bound</a:t>
            </a:r>
          </a:p>
        </c:rich>
      </c:tx>
      <c:layout>
        <c:manualLayout>
          <c:xMode val="edge"/>
          <c:yMode val="edge"/>
          <c:x val="0.404655127568513"/>
          <c:y val="0.0011037527593819"/>
        </c:manualLayout>
      </c:layout>
      <c:overlay val="0"/>
      <c:spPr>
        <a:noFill/>
        <a:ln w="25400">
          <a:noFill/>
        </a:ln>
      </c:spPr>
    </c:title>
    <c:autoTitleDeleted val="0"/>
    <c:plotArea>
      <c:layout>
        <c:manualLayout>
          <c:layoutTarget val="inner"/>
          <c:xMode val="edge"/>
          <c:yMode val="edge"/>
          <c:x val="0.236487006631402"/>
          <c:y val="0.113687577132328"/>
          <c:w val="0.725226820336299"/>
          <c:h val="0.597130242825607"/>
        </c:manualLayout>
      </c:layout>
      <c:lineChart>
        <c:grouping val="standard"/>
        <c:varyColors val="0"/>
        <c:ser>
          <c:idx val="0"/>
          <c:order val="0"/>
          <c:tx>
            <c:strRef>
              <c:f>Sheet1!$B$7</c:f>
              <c:strCache>
                <c:ptCount val="1"/>
                <c:pt idx="0">
                  <c:v>linear</c:v>
                </c:pt>
              </c:strCache>
            </c:strRef>
          </c:tx>
          <c:spPr>
            <a:ln w="12700">
              <a:solidFill>
                <a:srgbClr val="0000D4"/>
              </a:solidFill>
              <a:prstDash val="solid"/>
            </a:ln>
          </c:spPr>
          <c:marker>
            <c:symbol val="diamond"/>
            <c:size val="3"/>
            <c:spPr>
              <a:solidFill>
                <a:srgbClr val="0000D4"/>
              </a:solidFill>
              <a:ln>
                <a:solidFill>
                  <a:srgbClr val="0000D4"/>
                </a:solidFill>
                <a:prstDash val="solid"/>
              </a:ln>
            </c:spPr>
          </c:marker>
          <c:cat>
            <c:numRef>
              <c:f>Sheet1!$A$10:$A$16</c:f>
              <c:numCache>
                <c:formatCode>General</c:formatCode>
                <c:ptCount val="7"/>
                <c:pt idx="0">
                  <c:v>0.0</c:v>
                </c:pt>
                <c:pt idx="1">
                  <c:v>1.0</c:v>
                </c:pt>
                <c:pt idx="2">
                  <c:v>2.0</c:v>
                </c:pt>
                <c:pt idx="3">
                  <c:v>3.0</c:v>
                </c:pt>
                <c:pt idx="4">
                  <c:v>4.0</c:v>
                </c:pt>
                <c:pt idx="5">
                  <c:v>5.0</c:v>
                </c:pt>
                <c:pt idx="6">
                  <c:v>6.0</c:v>
                </c:pt>
              </c:numCache>
            </c:numRef>
          </c:cat>
          <c:val>
            <c:numRef>
              <c:f>Sheet1!$B$10:$B$16</c:f>
              <c:numCache>
                <c:formatCode>0.000</c:formatCode>
                <c:ptCount val="7"/>
                <c:pt idx="0">
                  <c:v>1.0</c:v>
                </c:pt>
                <c:pt idx="1">
                  <c:v>0.888888888888889</c:v>
                </c:pt>
                <c:pt idx="2">
                  <c:v>0.777777777777778</c:v>
                </c:pt>
                <c:pt idx="3">
                  <c:v>0.666666666666667</c:v>
                </c:pt>
                <c:pt idx="4">
                  <c:v>0.666666666666667</c:v>
                </c:pt>
                <c:pt idx="5">
                  <c:v>0.666666666666667</c:v>
                </c:pt>
                <c:pt idx="6">
                  <c:v>0.666666666666667</c:v>
                </c:pt>
              </c:numCache>
            </c:numRef>
          </c:val>
          <c:smooth val="0"/>
        </c:ser>
        <c:ser>
          <c:idx val="1"/>
          <c:order val="1"/>
          <c:tx>
            <c:strRef>
              <c:f>Sheet1!$D$7</c:f>
              <c:strCache>
                <c:ptCount val="1"/>
                <c:pt idx="0">
                  <c:v>1/3,1/3,1/3</c:v>
                </c:pt>
              </c:strCache>
            </c:strRef>
          </c:tx>
          <c:spPr>
            <a:ln w="12700">
              <a:solidFill>
                <a:srgbClr val="DD0806"/>
              </a:solidFill>
              <a:prstDash val="solid"/>
            </a:ln>
          </c:spPr>
          <c:marker>
            <c:symbol val="square"/>
            <c:size val="3"/>
            <c:spPr>
              <a:solidFill>
                <a:srgbClr val="DD2D32"/>
              </a:solidFill>
              <a:ln>
                <a:solidFill>
                  <a:srgbClr val="DD2D32"/>
                </a:solidFill>
                <a:prstDash val="solid"/>
              </a:ln>
            </c:spPr>
          </c:marker>
          <c:cat>
            <c:numRef>
              <c:f>Sheet1!$A$10:$A$16</c:f>
              <c:numCache>
                <c:formatCode>General</c:formatCode>
                <c:ptCount val="7"/>
                <c:pt idx="0">
                  <c:v>0.0</c:v>
                </c:pt>
                <c:pt idx="1">
                  <c:v>1.0</c:v>
                </c:pt>
                <c:pt idx="2">
                  <c:v>2.0</c:v>
                </c:pt>
                <c:pt idx="3">
                  <c:v>3.0</c:v>
                </c:pt>
                <c:pt idx="4">
                  <c:v>4.0</c:v>
                </c:pt>
                <c:pt idx="5">
                  <c:v>5.0</c:v>
                </c:pt>
                <c:pt idx="6">
                  <c:v>6.0</c:v>
                </c:pt>
              </c:numCache>
            </c:numRef>
          </c:cat>
          <c:val>
            <c:numRef>
              <c:f>Sheet1!$D$10:$D$16</c:f>
              <c:numCache>
                <c:formatCode>0.000</c:formatCode>
                <c:ptCount val="7"/>
                <c:pt idx="0">
                  <c:v>1.0</c:v>
                </c:pt>
                <c:pt idx="1">
                  <c:v>0.777777777777778</c:v>
                </c:pt>
                <c:pt idx="2">
                  <c:v>0.703703703703704</c:v>
                </c:pt>
                <c:pt idx="3">
                  <c:v>0.679012345679012</c:v>
                </c:pt>
                <c:pt idx="4">
                  <c:v>0.670781893004116</c:v>
                </c:pt>
                <c:pt idx="5">
                  <c:v>0.66803840877915</c:v>
                </c:pt>
                <c:pt idx="6">
                  <c:v>0.667123914037495</c:v>
                </c:pt>
              </c:numCache>
            </c:numRef>
          </c:val>
          <c:smooth val="0"/>
        </c:ser>
        <c:ser>
          <c:idx val="2"/>
          <c:order val="2"/>
          <c:tx>
            <c:strRef>
              <c:f>Sheet1!$F$7</c:f>
              <c:strCache>
                <c:ptCount val="1"/>
                <c:pt idx="0">
                  <c:v>1/4,1/2,1/4</c:v>
                </c:pt>
              </c:strCache>
            </c:strRef>
          </c:tx>
          <c:spPr>
            <a:ln w="12700">
              <a:solidFill>
                <a:schemeClr val="accent1"/>
              </a:solidFill>
            </a:ln>
          </c:spPr>
          <c:marker>
            <c:symbol val="triangle"/>
            <c:size val="3"/>
          </c:marker>
          <c:val>
            <c:numRef>
              <c:f>Sheet1!$F$10:$F$16</c:f>
              <c:numCache>
                <c:formatCode>0.000</c:formatCode>
                <c:ptCount val="7"/>
                <c:pt idx="0">
                  <c:v>1.0</c:v>
                </c:pt>
                <c:pt idx="1">
                  <c:v>0.833333333333334</c:v>
                </c:pt>
                <c:pt idx="2">
                  <c:v>0.75</c:v>
                </c:pt>
                <c:pt idx="3">
                  <c:v>0.708333333333334</c:v>
                </c:pt>
                <c:pt idx="4">
                  <c:v>0.6875</c:v>
                </c:pt>
                <c:pt idx="5">
                  <c:v>0.677083333333334</c:v>
                </c:pt>
                <c:pt idx="6">
                  <c:v>0.671875000000001</c:v>
                </c:pt>
              </c:numCache>
            </c:numRef>
          </c:val>
          <c:smooth val="0"/>
        </c:ser>
        <c:dLbls>
          <c:showLegendKey val="0"/>
          <c:showVal val="0"/>
          <c:showCatName val="0"/>
          <c:showSerName val="0"/>
          <c:showPercent val="0"/>
          <c:showBubbleSize val="0"/>
        </c:dLbls>
        <c:marker val="1"/>
        <c:smooth val="0"/>
        <c:axId val="2064802264"/>
        <c:axId val="2064798936"/>
      </c:lineChart>
      <c:catAx>
        <c:axId val="206480226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a:pPr>
            <a:endParaRPr lang="en-US"/>
          </a:p>
        </c:txPr>
        <c:crossAx val="2064798936"/>
        <c:crosses val="autoZero"/>
        <c:auto val="1"/>
        <c:lblAlgn val="ctr"/>
        <c:lblOffset val="100"/>
        <c:tickMarkSkip val="1"/>
        <c:noMultiLvlLbl val="0"/>
      </c:catAx>
      <c:valAx>
        <c:axId val="2064798936"/>
        <c:scaling>
          <c:orientation val="minMax"/>
          <c:max val="1.4"/>
          <c:min val="0.600000000000001"/>
        </c:scaling>
        <c:delete val="0"/>
        <c:axPos val="l"/>
        <c:numFmt formatCode="0.000" sourceLinked="1"/>
        <c:majorTickMark val="out"/>
        <c:minorTickMark val="none"/>
        <c:tickLblPos val="nextTo"/>
        <c:spPr>
          <a:ln w="3175">
            <a:solidFill>
              <a:srgbClr val="000000"/>
            </a:solidFill>
            <a:prstDash val="solid"/>
          </a:ln>
        </c:spPr>
        <c:txPr>
          <a:bodyPr rot="0" vert="horz"/>
          <a:lstStyle/>
          <a:p>
            <a:pPr>
              <a:defRPr/>
            </a:pPr>
            <a:endParaRPr lang="en-US"/>
          </a:p>
        </c:txPr>
        <c:crossAx val="2064802264"/>
        <c:crosses val="autoZero"/>
        <c:crossBetween val="between"/>
        <c:majorUnit val="0.2"/>
      </c:valAx>
      <c:dTable>
        <c:showHorzBorder val="1"/>
        <c:showVertBorder val="1"/>
        <c:showOutline val="1"/>
        <c:showKeys val="1"/>
        <c:spPr>
          <a:ln w="3175">
            <a:solidFill>
              <a:srgbClr val="000000"/>
            </a:solidFill>
            <a:prstDash val="solid"/>
          </a:ln>
        </c:spPr>
      </c:dTable>
      <c:spPr>
        <a:solidFill>
          <a:srgbClr val="FFFFFF"/>
        </a:solidFill>
        <a:ln w="12700">
          <a:solidFill>
            <a:srgbClr val="000000"/>
          </a:solidFill>
          <a:prstDash val="solid"/>
        </a:ln>
      </c:spPr>
    </c:plotArea>
    <c:legend>
      <c:legendPos val="r"/>
      <c:layout>
        <c:manualLayout>
          <c:xMode val="edge"/>
          <c:yMode val="edge"/>
          <c:x val="0.710211628951787"/>
          <c:y val="0.112582781456954"/>
          <c:w val="0.259039039039039"/>
          <c:h val="0.199512958231214"/>
        </c:manualLayout>
      </c:layout>
      <c:overlay val="0"/>
      <c:spPr>
        <a:solidFill>
          <a:srgbClr val="FFFFFF"/>
        </a:solidFill>
        <a:ln w="12700">
          <a:solidFill>
            <a:srgbClr val="000000"/>
          </a:solidFill>
          <a:prstDash val="solid"/>
        </a:ln>
      </c:spPr>
    </c:legend>
    <c:plotVisOnly val="1"/>
    <c:dispBlanksAs val="gap"/>
    <c:showDLblsOverMax val="0"/>
  </c:chart>
  <c:spPr>
    <a:solidFill>
      <a:srgbClr val="FFFFFF"/>
    </a:solidFill>
    <a:ln w="3175">
      <a:noFill/>
      <a:prstDash val="solid"/>
    </a:ln>
  </c:spPr>
  <c:txPr>
    <a:bodyPr/>
    <a:lstStyle/>
    <a:p>
      <a:pPr>
        <a:defRPr sz="1000" b="0" i="0" u="none" strike="noStrike" baseline="0">
          <a:solidFill>
            <a:srgbClr val="000000"/>
          </a:solidFill>
          <a:latin typeface="Arial" pitchFamily="34" charset="0"/>
          <a:ea typeface="Verdana"/>
          <a:cs typeface="Arial" pitchFamily="34" charset="0"/>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0" i="0" u="none" strike="noStrike" baseline="0">
                <a:solidFill>
                  <a:srgbClr val="000000"/>
                </a:solidFill>
                <a:latin typeface="Arial"/>
                <a:ea typeface="Arial"/>
                <a:cs typeface="Arial"/>
              </a:defRPr>
            </a:pPr>
            <a:r>
              <a:rPr lang="en-US" sz="1200" b="0"/>
              <a:t>Convergence to upper bound</a:t>
            </a:r>
          </a:p>
        </c:rich>
      </c:tx>
      <c:layout>
        <c:manualLayout>
          <c:xMode val="edge"/>
          <c:yMode val="edge"/>
          <c:x val="0.388889361802748"/>
          <c:y val="0.0222868653046276"/>
        </c:manualLayout>
      </c:layout>
      <c:overlay val="0"/>
      <c:spPr>
        <a:noFill/>
        <a:ln w="25400">
          <a:noFill/>
        </a:ln>
      </c:spPr>
    </c:title>
    <c:autoTitleDeleted val="0"/>
    <c:plotArea>
      <c:layout>
        <c:manualLayout>
          <c:layoutTarget val="inner"/>
          <c:xMode val="edge"/>
          <c:yMode val="edge"/>
          <c:x val="0.236487006631402"/>
          <c:y val="0.108250189656525"/>
          <c:w val="0.713590125558629"/>
          <c:h val="0.587708861973649"/>
        </c:manualLayout>
      </c:layout>
      <c:lineChart>
        <c:grouping val="standard"/>
        <c:varyColors val="0"/>
        <c:ser>
          <c:idx val="0"/>
          <c:order val="0"/>
          <c:tx>
            <c:strRef>
              <c:f>Sheet1!$B$7</c:f>
              <c:strCache>
                <c:ptCount val="1"/>
                <c:pt idx="0">
                  <c:v>linear</c:v>
                </c:pt>
              </c:strCache>
            </c:strRef>
          </c:tx>
          <c:spPr>
            <a:ln w="12700">
              <a:solidFill>
                <a:srgbClr val="0000D4"/>
              </a:solidFill>
              <a:prstDash val="solid"/>
            </a:ln>
          </c:spPr>
          <c:marker>
            <c:symbol val="diamond"/>
            <c:size val="3"/>
            <c:spPr>
              <a:solidFill>
                <a:srgbClr val="0000D4"/>
              </a:solidFill>
              <a:ln>
                <a:solidFill>
                  <a:srgbClr val="0000D4"/>
                </a:solidFill>
                <a:prstDash val="solid"/>
              </a:ln>
            </c:spPr>
          </c:marker>
          <c:cat>
            <c:numRef>
              <c:f>Sheet1!$A$10:$A$16</c:f>
              <c:numCache>
                <c:formatCode>General</c:formatCode>
                <c:ptCount val="7"/>
                <c:pt idx="0">
                  <c:v>0.0</c:v>
                </c:pt>
                <c:pt idx="1">
                  <c:v>1.0</c:v>
                </c:pt>
                <c:pt idx="2">
                  <c:v>2.0</c:v>
                </c:pt>
                <c:pt idx="3">
                  <c:v>3.0</c:v>
                </c:pt>
                <c:pt idx="4">
                  <c:v>4.0</c:v>
                </c:pt>
                <c:pt idx="5">
                  <c:v>5.0</c:v>
                </c:pt>
                <c:pt idx="6">
                  <c:v>6.0</c:v>
                </c:pt>
              </c:numCache>
            </c:numRef>
          </c:cat>
          <c:val>
            <c:numRef>
              <c:f>Sheet1!$B$23:$B$29</c:f>
              <c:numCache>
                <c:formatCode>0.000</c:formatCode>
                <c:ptCount val="7"/>
                <c:pt idx="0">
                  <c:v>1.0</c:v>
                </c:pt>
                <c:pt idx="1">
                  <c:v>1.111111111111112</c:v>
                </c:pt>
                <c:pt idx="2">
                  <c:v>1.222222222222222</c:v>
                </c:pt>
                <c:pt idx="3">
                  <c:v>1.333333333333333</c:v>
                </c:pt>
                <c:pt idx="4">
                  <c:v>1.333333333333333</c:v>
                </c:pt>
                <c:pt idx="5">
                  <c:v>1.333333333333333</c:v>
                </c:pt>
                <c:pt idx="6">
                  <c:v>1.333333333333333</c:v>
                </c:pt>
              </c:numCache>
            </c:numRef>
          </c:val>
          <c:smooth val="0"/>
        </c:ser>
        <c:ser>
          <c:idx val="1"/>
          <c:order val="1"/>
          <c:tx>
            <c:strRef>
              <c:f>Sheet1!$D$20</c:f>
              <c:strCache>
                <c:ptCount val="1"/>
                <c:pt idx="0">
                  <c:v>1/3,1/3,1/3</c:v>
                </c:pt>
              </c:strCache>
            </c:strRef>
          </c:tx>
          <c:spPr>
            <a:ln w="12700">
              <a:solidFill>
                <a:srgbClr val="DD2D32"/>
              </a:solidFill>
              <a:prstDash val="solid"/>
            </a:ln>
          </c:spPr>
          <c:marker>
            <c:symbol val="square"/>
            <c:size val="3"/>
            <c:spPr>
              <a:solidFill>
                <a:srgbClr val="DD2D32"/>
              </a:solidFill>
              <a:ln>
                <a:solidFill>
                  <a:srgbClr val="DD2D32"/>
                </a:solidFill>
                <a:prstDash val="solid"/>
              </a:ln>
            </c:spPr>
          </c:marker>
          <c:val>
            <c:numRef>
              <c:f>Sheet1!$D$23:$D$29</c:f>
              <c:numCache>
                <c:formatCode>0.000</c:formatCode>
                <c:ptCount val="7"/>
                <c:pt idx="0">
                  <c:v>1.0</c:v>
                </c:pt>
                <c:pt idx="1">
                  <c:v>1.222222222222222</c:v>
                </c:pt>
                <c:pt idx="2">
                  <c:v>1.296296296296296</c:v>
                </c:pt>
                <c:pt idx="3">
                  <c:v>1.320987654320987</c:v>
                </c:pt>
                <c:pt idx="4">
                  <c:v>1.329218106995885</c:v>
                </c:pt>
                <c:pt idx="5">
                  <c:v>1.33196159122085</c:v>
                </c:pt>
                <c:pt idx="6">
                  <c:v>1.332876085962505</c:v>
                </c:pt>
              </c:numCache>
            </c:numRef>
          </c:val>
          <c:smooth val="0"/>
        </c:ser>
        <c:ser>
          <c:idx val="2"/>
          <c:order val="2"/>
          <c:tx>
            <c:strRef>
              <c:f>Sheet1!$F$20</c:f>
              <c:strCache>
                <c:ptCount val="1"/>
                <c:pt idx="0">
                  <c:v>1/4,1/2,1/4</c:v>
                </c:pt>
              </c:strCache>
            </c:strRef>
          </c:tx>
          <c:val>
            <c:numRef>
              <c:f>Sheet1!$F$23:$F$29</c:f>
              <c:numCache>
                <c:formatCode>0.000</c:formatCode>
                <c:ptCount val="7"/>
                <c:pt idx="0">
                  <c:v>1.0</c:v>
                </c:pt>
                <c:pt idx="1">
                  <c:v>1.166666666666666</c:v>
                </c:pt>
                <c:pt idx="2">
                  <c:v>1.25</c:v>
                </c:pt>
                <c:pt idx="3">
                  <c:v>1.291666666666666</c:v>
                </c:pt>
                <c:pt idx="4">
                  <c:v>1.3125</c:v>
                </c:pt>
                <c:pt idx="5">
                  <c:v>1.322916666666666</c:v>
                </c:pt>
                <c:pt idx="6">
                  <c:v>1.328125</c:v>
                </c:pt>
              </c:numCache>
            </c:numRef>
          </c:val>
          <c:smooth val="0"/>
        </c:ser>
        <c:dLbls>
          <c:showLegendKey val="0"/>
          <c:showVal val="0"/>
          <c:showCatName val="0"/>
          <c:showSerName val="0"/>
          <c:showPercent val="0"/>
          <c:showBubbleSize val="0"/>
        </c:dLbls>
        <c:marker val="1"/>
        <c:smooth val="0"/>
        <c:axId val="2064778440"/>
        <c:axId val="2064775000"/>
      </c:lineChart>
      <c:catAx>
        <c:axId val="2064778440"/>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175" b="0" i="0" u="none" strike="noStrike" baseline="0">
                <a:solidFill>
                  <a:srgbClr val="000000"/>
                </a:solidFill>
                <a:latin typeface="Verdana"/>
                <a:ea typeface="Verdana"/>
                <a:cs typeface="Verdana"/>
              </a:defRPr>
            </a:pPr>
            <a:endParaRPr lang="en-US"/>
          </a:p>
        </c:txPr>
        <c:crossAx val="2064775000"/>
        <c:crosses val="autoZero"/>
        <c:auto val="1"/>
        <c:lblAlgn val="ctr"/>
        <c:lblOffset val="100"/>
        <c:tickMarkSkip val="1"/>
        <c:noMultiLvlLbl val="0"/>
      </c:catAx>
      <c:valAx>
        <c:axId val="2064775000"/>
        <c:scaling>
          <c:orientation val="minMax"/>
          <c:max val="1.4"/>
          <c:min val="0.600000000000001"/>
        </c:scaling>
        <c:delete val="0"/>
        <c:axPos val="l"/>
        <c:numFmt formatCode="0.000"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064778440"/>
        <c:crosses val="autoZero"/>
        <c:crossBetween val="between"/>
        <c:majorUnit val="0.2"/>
      </c:valAx>
      <c:dTable>
        <c:showHorzBorder val="1"/>
        <c:showVertBorder val="1"/>
        <c:showOutline val="1"/>
        <c:showKeys val="1"/>
        <c:spPr>
          <a:ln w="3175">
            <a:solidFill>
              <a:srgbClr val="000000"/>
            </a:solidFill>
            <a:prstDash val="solid"/>
          </a:ln>
        </c:spPr>
        <c:txPr>
          <a:bodyPr/>
          <a:lstStyle/>
          <a:p>
            <a:pPr rtl="0">
              <a:defRPr sz="1000" b="0" i="0" u="none" strike="noStrike" baseline="0">
                <a:solidFill>
                  <a:srgbClr val="000000"/>
                </a:solidFill>
                <a:latin typeface="Arial"/>
                <a:ea typeface="Arial"/>
                <a:cs typeface="Arial"/>
              </a:defRPr>
            </a:pPr>
            <a:endParaRPr lang="en-US"/>
          </a:p>
        </c:txPr>
      </c:dTable>
      <c:spPr>
        <a:solidFill>
          <a:srgbClr val="FFFFFF"/>
        </a:solidFill>
        <a:ln w="12700">
          <a:solidFill>
            <a:srgbClr val="000000"/>
          </a:solidFill>
          <a:prstDash val="solid"/>
        </a:ln>
      </c:spPr>
    </c:plotArea>
    <c:legend>
      <c:legendPos val="r"/>
      <c:layout>
        <c:manualLayout>
          <c:xMode val="edge"/>
          <c:yMode val="edge"/>
          <c:x val="0.722974391714549"/>
          <c:y val="0.504402996137111"/>
          <c:w val="0.244639757868104"/>
          <c:h val="0.182457076586357"/>
        </c:manualLayout>
      </c:layout>
      <c:overlay val="0"/>
      <c:spPr>
        <a:solidFill>
          <a:srgbClr val="FFFFFF"/>
        </a:solidFill>
        <a:ln w="12700">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noFill/>
      <a:prstDash val="solid"/>
    </a:ln>
  </c:spPr>
  <c:txPr>
    <a:bodyPr/>
    <a:lstStyle/>
    <a:p>
      <a:pPr>
        <a:defRPr sz="1025" b="0" i="0" u="none" strike="noStrike" baseline="0">
          <a:solidFill>
            <a:srgbClr val="000000"/>
          </a:solidFill>
          <a:latin typeface="Verdana"/>
          <a:ea typeface="Verdana"/>
          <a:cs typeface="Verdana"/>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i="0" u="none" strike="noStrike" baseline="0">
                <a:solidFill>
                  <a:srgbClr val="000000"/>
                </a:solidFill>
                <a:latin typeface="Arial" pitchFamily="34" charset="0"/>
                <a:ea typeface="Verdana"/>
                <a:cs typeface="Arial" pitchFamily="34" charset="0"/>
              </a:defRPr>
            </a:pPr>
            <a:r>
              <a:rPr lang="en-US">
                <a:latin typeface="Arial" pitchFamily="34" charset="0"/>
                <a:cs typeface="Arial" pitchFamily="34" charset="0"/>
              </a:rPr>
              <a:t>Comparing a Fixed Transfer Tax with 
Dynamic Salmon Savings</a:t>
            </a:r>
          </a:p>
        </c:rich>
      </c:tx>
      <c:layout>
        <c:manualLayout>
          <c:xMode val="edge"/>
          <c:yMode val="edge"/>
          <c:x val="0.269730634632209"/>
          <c:y val="0.00134940128401496"/>
        </c:manualLayout>
      </c:layout>
      <c:overlay val="0"/>
      <c:spPr>
        <a:noFill/>
        <a:ln w="25400">
          <a:noFill/>
        </a:ln>
      </c:spPr>
    </c:title>
    <c:autoTitleDeleted val="0"/>
    <c:plotArea>
      <c:layout>
        <c:manualLayout>
          <c:layoutTarget val="inner"/>
          <c:xMode val="edge"/>
          <c:yMode val="edge"/>
          <c:x val="0.14862935807483"/>
          <c:y val="0.108074252997173"/>
          <c:w val="0.79798092247943"/>
          <c:h val="0.757275905139534"/>
        </c:manualLayout>
      </c:layout>
      <c:scatterChart>
        <c:scatterStyle val="lineMarker"/>
        <c:varyColors val="0"/>
        <c:ser>
          <c:idx val="0"/>
          <c:order val="0"/>
          <c:tx>
            <c:strRef>
              <c:f>Sheet1!$E$34</c:f>
              <c:strCache>
                <c:ptCount val="1"/>
                <c:pt idx="0">
                  <c:v>Fixed Transfer Tax</c:v>
                </c:pt>
              </c:strCache>
            </c:strRef>
          </c:tx>
          <c:spPr>
            <a:ln w="28575">
              <a:noFill/>
            </a:ln>
          </c:spPr>
          <c:marker>
            <c:symbol val="diamond"/>
            <c:size val="5"/>
            <c:spPr>
              <a:solidFill>
                <a:srgbClr val="DD0806"/>
              </a:solidFill>
              <a:ln>
                <a:solidFill>
                  <a:srgbClr val="DD0806"/>
                </a:solidFill>
                <a:prstDash val="solid"/>
              </a:ln>
            </c:spPr>
          </c:marker>
          <c:xVal>
            <c:numRef>
              <c:f>Sheet1!$D$35:$D$42</c:f>
              <c:numCache>
                <c:formatCode>General</c:formatCode>
                <c:ptCount val="8"/>
                <c:pt idx="0">
                  <c:v>1454.0</c:v>
                </c:pt>
                <c:pt idx="1">
                  <c:v>8866.0</c:v>
                </c:pt>
                <c:pt idx="2">
                  <c:v>19923.0</c:v>
                </c:pt>
                <c:pt idx="3">
                  <c:v>20471.0</c:v>
                </c:pt>
                <c:pt idx="4">
                  <c:v>31136.0</c:v>
                </c:pt>
                <c:pt idx="5">
                  <c:v>46354.0</c:v>
                </c:pt>
                <c:pt idx="6">
                  <c:v>55782.0</c:v>
                </c:pt>
                <c:pt idx="7">
                  <c:v>70148.0</c:v>
                </c:pt>
              </c:numCache>
            </c:numRef>
          </c:xVal>
          <c:yVal>
            <c:numRef>
              <c:f>Sheet1!$E$35:$E$42</c:f>
              <c:numCache>
                <c:formatCode>General</c:formatCode>
                <c:ptCount val="8"/>
                <c:pt idx="0">
                  <c:v>0.0</c:v>
                </c:pt>
                <c:pt idx="1">
                  <c:v>116.0</c:v>
                </c:pt>
                <c:pt idx="2">
                  <c:v>546.0</c:v>
                </c:pt>
                <c:pt idx="3">
                  <c:v>554.0</c:v>
                </c:pt>
                <c:pt idx="4">
                  <c:v>2058.0</c:v>
                </c:pt>
                <c:pt idx="5">
                  <c:v>2073.0</c:v>
                </c:pt>
                <c:pt idx="6">
                  <c:v>1281.0</c:v>
                </c:pt>
                <c:pt idx="7">
                  <c:v>968.0</c:v>
                </c:pt>
              </c:numCache>
            </c:numRef>
          </c:yVal>
          <c:smooth val="0"/>
        </c:ser>
        <c:ser>
          <c:idx val="1"/>
          <c:order val="1"/>
          <c:tx>
            <c:strRef>
              <c:f>Sheet1!$F$34</c:f>
              <c:strCache>
                <c:ptCount val="1"/>
                <c:pt idx="0">
                  <c:v>Dynamic Salmon Savings</c:v>
                </c:pt>
              </c:strCache>
            </c:strRef>
          </c:tx>
          <c:spPr>
            <a:ln w="28575">
              <a:noFill/>
            </a:ln>
          </c:spPr>
          <c:marker>
            <c:symbol val="square"/>
            <c:size val="5"/>
            <c:spPr>
              <a:solidFill>
                <a:srgbClr val="0000D4"/>
              </a:solidFill>
              <a:ln>
                <a:solidFill>
                  <a:srgbClr val="0000D4"/>
                </a:solidFill>
                <a:prstDash val="solid"/>
              </a:ln>
            </c:spPr>
          </c:marker>
          <c:xVal>
            <c:numRef>
              <c:f>Sheet1!$D$35:$D$42</c:f>
              <c:numCache>
                <c:formatCode>General</c:formatCode>
                <c:ptCount val="8"/>
                <c:pt idx="0">
                  <c:v>1454.0</c:v>
                </c:pt>
                <c:pt idx="1">
                  <c:v>8866.0</c:v>
                </c:pt>
                <c:pt idx="2">
                  <c:v>19923.0</c:v>
                </c:pt>
                <c:pt idx="3">
                  <c:v>20471.0</c:v>
                </c:pt>
                <c:pt idx="4">
                  <c:v>31136.0</c:v>
                </c:pt>
                <c:pt idx="5">
                  <c:v>46354.0</c:v>
                </c:pt>
                <c:pt idx="6">
                  <c:v>55782.0</c:v>
                </c:pt>
                <c:pt idx="7">
                  <c:v>70148.0</c:v>
                </c:pt>
              </c:numCache>
            </c:numRef>
          </c:xVal>
          <c:yVal>
            <c:numRef>
              <c:f>Sheet1!$F$35:$F$42</c:f>
              <c:numCache>
                <c:formatCode>General</c:formatCode>
                <c:ptCount val="8"/>
                <c:pt idx="0">
                  <c:v>13177.0</c:v>
                </c:pt>
                <c:pt idx="1">
                  <c:v>10208.0</c:v>
                </c:pt>
                <c:pt idx="2">
                  <c:v>2507.0</c:v>
                </c:pt>
                <c:pt idx="3">
                  <c:v>6513.0</c:v>
                </c:pt>
                <c:pt idx="4">
                  <c:v>706.0</c:v>
                </c:pt>
                <c:pt idx="5">
                  <c:v>0.0</c:v>
                </c:pt>
                <c:pt idx="6">
                  <c:v>0.0</c:v>
                </c:pt>
                <c:pt idx="7">
                  <c:v>0.0</c:v>
                </c:pt>
              </c:numCache>
            </c:numRef>
          </c:yVal>
          <c:smooth val="0"/>
        </c:ser>
        <c:dLbls>
          <c:showLegendKey val="0"/>
          <c:showVal val="0"/>
          <c:showCatName val="0"/>
          <c:showSerName val="0"/>
          <c:showPercent val="0"/>
          <c:showBubbleSize val="0"/>
        </c:dLbls>
        <c:axId val="2066309032"/>
        <c:axId val="2066317352"/>
      </c:scatterChart>
      <c:valAx>
        <c:axId val="2066309032"/>
        <c:scaling>
          <c:orientation val="minMax"/>
        </c:scaling>
        <c:delete val="0"/>
        <c:axPos val="b"/>
        <c:title>
          <c:tx>
            <c:rich>
              <a:bodyPr/>
              <a:lstStyle/>
              <a:p>
                <a:pPr>
                  <a:defRPr sz="1000" b="1" i="0" u="none" strike="noStrike" baseline="0">
                    <a:solidFill>
                      <a:srgbClr val="000000"/>
                    </a:solidFill>
                    <a:latin typeface="Arial" pitchFamily="34" charset="0"/>
                    <a:ea typeface="Verdana"/>
                    <a:cs typeface="Arial" pitchFamily="34" charset="0"/>
                  </a:defRPr>
                </a:pPr>
                <a:r>
                  <a:rPr lang="en-US" sz="1000">
                    <a:latin typeface="Arial" pitchFamily="34" charset="0"/>
                    <a:cs typeface="Arial" pitchFamily="34" charset="0"/>
                  </a:rPr>
                  <a:t>Yearly Bycatch</a:t>
                </a:r>
              </a:p>
            </c:rich>
          </c:tx>
          <c:layout>
            <c:manualLayout>
              <c:xMode val="edge"/>
              <c:yMode val="edge"/>
              <c:x val="0.460318157345717"/>
              <c:y val="0.932550464894776"/>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2066317352"/>
        <c:crosses val="autoZero"/>
        <c:crossBetween val="midCat"/>
      </c:valAx>
      <c:valAx>
        <c:axId val="2066317352"/>
        <c:scaling>
          <c:orientation val="minMax"/>
        </c:scaling>
        <c:delete val="0"/>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pitchFamily="34" charset="0"/>
                    <a:ea typeface="Verdana"/>
                    <a:cs typeface="Arial" pitchFamily="34" charset="0"/>
                  </a:defRPr>
                </a:pPr>
                <a:r>
                  <a:rPr lang="en-US" sz="1000">
                    <a:latin typeface="Arial" pitchFamily="34" charset="0"/>
                    <a:cs typeface="Arial" pitchFamily="34" charset="0"/>
                  </a:rPr>
                  <a:t>ITEC Recovered (Salmon Savings)</a:t>
                </a:r>
              </a:p>
            </c:rich>
          </c:tx>
          <c:layout>
            <c:manualLayout>
              <c:xMode val="edge"/>
              <c:yMode val="edge"/>
              <c:x val="0.0181763577629719"/>
              <c:y val="0.20183177511894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2066309032"/>
        <c:crosses val="autoZero"/>
        <c:crossBetween val="midCat"/>
      </c:valAx>
      <c:spPr>
        <a:solidFill>
          <a:srgbClr val="FFFFFF"/>
        </a:solidFill>
        <a:ln w="12700">
          <a:solidFill>
            <a:srgbClr val="000000"/>
          </a:solidFill>
          <a:prstDash val="solid"/>
        </a:ln>
      </c:spPr>
    </c:plotArea>
    <c:legend>
      <c:legendPos val="r"/>
      <c:layout>
        <c:manualLayout>
          <c:xMode val="edge"/>
          <c:yMode val="edge"/>
          <c:x val="0.531506472455816"/>
          <c:y val="0.169359664871335"/>
          <c:w val="0.409331935491066"/>
          <c:h val="0.138240574506284"/>
        </c:manualLayout>
      </c:layout>
      <c:overlay val="0"/>
      <c:spPr>
        <a:solidFill>
          <a:srgbClr val="FFFFFF"/>
        </a:solidFill>
        <a:ln w="12700">
          <a:solidFill>
            <a:srgbClr val="000000"/>
          </a:solidFill>
          <a:prstDash val="solid"/>
        </a:ln>
      </c:spPr>
      <c:txPr>
        <a:bodyPr/>
        <a:lstStyle/>
        <a:p>
          <a:pPr>
            <a:defRPr sz="1000" b="0" i="0" u="none" strike="noStrike" baseline="0">
              <a:solidFill>
                <a:srgbClr val="000000"/>
              </a:solidFill>
              <a:latin typeface="Arial" pitchFamily="34" charset="0"/>
              <a:ea typeface="Verdana"/>
              <a:cs typeface="Arial" pitchFamily="34" charset="0"/>
            </a:defRPr>
          </a:pPr>
          <a:endParaRPr lang="en-US"/>
        </a:p>
      </c:txPr>
    </c:legend>
    <c:plotVisOnly val="1"/>
    <c:dispBlanksAs val="gap"/>
    <c:showDLblsOverMax val="0"/>
  </c:chart>
  <c:spPr>
    <a:solidFill>
      <a:srgbClr val="FFFFFF"/>
    </a:solidFill>
    <a:ln w="3175">
      <a:noFill/>
      <a:prstDash val="solid"/>
    </a:ln>
  </c:spPr>
  <c:txPr>
    <a:bodyPr/>
    <a:lstStyle/>
    <a:p>
      <a:pPr>
        <a:defRPr sz="1125" b="0" i="0" u="none" strike="noStrike" baseline="0">
          <a:solidFill>
            <a:srgbClr val="000000"/>
          </a:solidFill>
          <a:latin typeface="Verdana"/>
          <a:ea typeface="Verdana"/>
          <a:cs typeface="Verdana"/>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1">
                <a:latin typeface="Arial" pitchFamily="34" charset="0"/>
                <a:cs typeface="Arial" pitchFamily="34" charset="0"/>
              </a:defRPr>
            </a:pPr>
            <a:r>
              <a:rPr lang="en-US" b="1">
                <a:latin typeface="Arial" pitchFamily="34" charset="0"/>
                <a:cs typeface="Arial" pitchFamily="34" charset="0"/>
              </a:rPr>
              <a:t>Variation</a:t>
            </a:r>
            <a:r>
              <a:rPr lang="en-US" b="1" baseline="0">
                <a:latin typeface="Arial" pitchFamily="34" charset="0"/>
                <a:cs typeface="Arial" pitchFamily="34" charset="0"/>
              </a:rPr>
              <a:t> in individual vessel bycatch rate </a:t>
            </a:r>
          </a:p>
          <a:p>
            <a:pPr>
              <a:defRPr b="1">
                <a:latin typeface="Arial" pitchFamily="34" charset="0"/>
                <a:cs typeface="Arial" pitchFamily="34" charset="0"/>
              </a:defRPr>
            </a:pPr>
            <a:r>
              <a:rPr lang="en-US" b="1" baseline="0">
                <a:latin typeface="Arial" pitchFamily="34" charset="0"/>
                <a:cs typeface="Arial" pitchFamily="34" charset="0"/>
              </a:rPr>
              <a:t>due to pollock allocation % (proxy for vessel size)</a:t>
            </a:r>
            <a:endParaRPr lang="en-US" b="1">
              <a:latin typeface="Arial" pitchFamily="34" charset="0"/>
              <a:cs typeface="Arial" pitchFamily="34" charset="0"/>
            </a:endParaRPr>
          </a:p>
        </c:rich>
      </c:tx>
      <c:layout>
        <c:manualLayout>
          <c:xMode val="edge"/>
          <c:yMode val="edge"/>
          <c:x val="0.190069486506495"/>
          <c:y val="0.0"/>
        </c:manualLayout>
      </c:layout>
      <c:overlay val="0"/>
    </c:title>
    <c:autoTitleDeleted val="0"/>
    <c:plotArea>
      <c:layout>
        <c:manualLayout>
          <c:layoutTarget val="inner"/>
          <c:xMode val="edge"/>
          <c:yMode val="edge"/>
          <c:x val="0.109089202391368"/>
          <c:y val="0.109962404942043"/>
          <c:w val="0.836177064405411"/>
          <c:h val="0.761467353317229"/>
        </c:manualLayout>
      </c:layout>
      <c:scatterChart>
        <c:scatterStyle val="lineMarker"/>
        <c:varyColors val="0"/>
        <c:ser>
          <c:idx val="0"/>
          <c:order val="0"/>
          <c:tx>
            <c:v>actual</c:v>
          </c:tx>
          <c:spPr>
            <a:ln w="28575">
              <a:noFill/>
            </a:ln>
          </c:spPr>
          <c:marker>
            <c:symbol val="circle"/>
            <c:size val="4"/>
            <c:spPr>
              <a:solidFill>
                <a:srgbClr val="000000"/>
              </a:solidFill>
              <a:ln>
                <a:solidFill>
                  <a:srgbClr val="000000"/>
                </a:solidFill>
                <a:prstDash val="solid"/>
              </a:ln>
            </c:spPr>
          </c:marker>
          <c:xVal>
            <c:numRef>
              <c:f>fitting!$B$2:$B$73</c:f>
              <c:numCache>
                <c:formatCode>0.00000</c:formatCode>
                <c:ptCount val="72"/>
                <c:pt idx="0">
                  <c:v>0.0662894228276181</c:v>
                </c:pt>
                <c:pt idx="1">
                  <c:v>0.0990666021592177</c:v>
                </c:pt>
                <c:pt idx="2">
                  <c:v>0.123223483562629</c:v>
                </c:pt>
                <c:pt idx="3">
                  <c:v>0.129939297064822</c:v>
                </c:pt>
                <c:pt idx="4">
                  <c:v>0.132111077550606</c:v>
                </c:pt>
                <c:pt idx="5">
                  <c:v>0.225898582528995</c:v>
                </c:pt>
                <c:pt idx="6">
                  <c:v>0.265090867295525</c:v>
                </c:pt>
                <c:pt idx="7">
                  <c:v>0.276584597866444</c:v>
                </c:pt>
                <c:pt idx="8">
                  <c:v>0.308526477011204</c:v>
                </c:pt>
                <c:pt idx="9">
                  <c:v>0.318316195200968</c:v>
                </c:pt>
                <c:pt idx="10">
                  <c:v>0.365460537746213</c:v>
                </c:pt>
                <c:pt idx="11">
                  <c:v>0.36803326232168</c:v>
                </c:pt>
                <c:pt idx="12">
                  <c:v>0.384639030036058</c:v>
                </c:pt>
                <c:pt idx="13">
                  <c:v>0.390051775246781</c:v>
                </c:pt>
                <c:pt idx="14">
                  <c:v>0.404418938460428</c:v>
                </c:pt>
                <c:pt idx="15">
                  <c:v>0.43332032492509</c:v>
                </c:pt>
                <c:pt idx="16">
                  <c:v>0.437363177829396</c:v>
                </c:pt>
                <c:pt idx="17">
                  <c:v>0.440036138427283</c:v>
                </c:pt>
                <c:pt idx="18">
                  <c:v>0.447553840108843</c:v>
                </c:pt>
                <c:pt idx="19">
                  <c:v>0.496636079087558</c:v>
                </c:pt>
                <c:pt idx="20">
                  <c:v>0.500077515857337</c:v>
                </c:pt>
                <c:pt idx="21">
                  <c:v>0.525203345477483</c:v>
                </c:pt>
                <c:pt idx="22">
                  <c:v>0.534792591622407</c:v>
                </c:pt>
                <c:pt idx="23">
                  <c:v>0.551498595359206</c:v>
                </c:pt>
                <c:pt idx="24">
                  <c:v>0.558448292913715</c:v>
                </c:pt>
                <c:pt idx="25">
                  <c:v>0.765836623302336</c:v>
                </c:pt>
                <c:pt idx="26">
                  <c:v>1.105569915293878</c:v>
                </c:pt>
                <c:pt idx="27">
                  <c:v>1.12200862297089</c:v>
                </c:pt>
                <c:pt idx="28">
                  <c:v>1.159229599296476</c:v>
                </c:pt>
                <c:pt idx="29">
                  <c:v>1.16798354525456</c:v>
                </c:pt>
                <c:pt idx="30">
                  <c:v>1.189834998142292</c:v>
                </c:pt>
                <c:pt idx="31">
                  <c:v>1.198288236033114</c:v>
                </c:pt>
                <c:pt idx="32">
                  <c:v>1.21776743639022</c:v>
                </c:pt>
                <c:pt idx="33">
                  <c:v>1.259064677627584</c:v>
                </c:pt>
                <c:pt idx="34">
                  <c:v>1.297087542132542</c:v>
                </c:pt>
                <c:pt idx="35">
                  <c:v>1.350513342082824</c:v>
                </c:pt>
                <c:pt idx="36">
                  <c:v>1.416067700746024</c:v>
                </c:pt>
                <c:pt idx="37">
                  <c:v>1.42051149774001</c:v>
                </c:pt>
                <c:pt idx="38">
                  <c:v>1.433943124744398</c:v>
                </c:pt>
                <c:pt idx="39">
                  <c:v>1.440024110104591</c:v>
                </c:pt>
                <c:pt idx="40">
                  <c:v>1.48178911944659</c:v>
                </c:pt>
                <c:pt idx="41">
                  <c:v>1.552221631200934</c:v>
                </c:pt>
                <c:pt idx="42">
                  <c:v>1.574240144126037</c:v>
                </c:pt>
                <c:pt idx="43">
                  <c:v>1.581223253688016</c:v>
                </c:pt>
                <c:pt idx="44">
                  <c:v>1.58533293060727</c:v>
                </c:pt>
                <c:pt idx="45">
                  <c:v>1.662548079878757</c:v>
                </c:pt>
                <c:pt idx="46">
                  <c:v>1.665722220588746</c:v>
                </c:pt>
                <c:pt idx="47">
                  <c:v>1.68466682882628</c:v>
                </c:pt>
                <c:pt idx="48">
                  <c:v>1.72305722541344</c:v>
                </c:pt>
                <c:pt idx="49">
                  <c:v>1.75713747303651</c:v>
                </c:pt>
                <c:pt idx="50">
                  <c:v>1.805718531903122</c:v>
                </c:pt>
                <c:pt idx="51">
                  <c:v>1.82336007184918</c:v>
                </c:pt>
                <c:pt idx="52">
                  <c:v>1.83041000542611</c:v>
                </c:pt>
                <c:pt idx="53">
                  <c:v>1.844309400535127</c:v>
                </c:pt>
                <c:pt idx="54">
                  <c:v>1.899506036881512</c:v>
                </c:pt>
                <c:pt idx="55">
                  <c:v>1.924665278509128</c:v>
                </c:pt>
                <c:pt idx="56">
                  <c:v>1.951227824450641</c:v>
                </c:pt>
                <c:pt idx="57">
                  <c:v>2.020490915943408</c:v>
                </c:pt>
                <c:pt idx="58">
                  <c:v>2.032753122686218</c:v>
                </c:pt>
                <c:pt idx="59">
                  <c:v>2.091558255839751</c:v>
                </c:pt>
                <c:pt idx="60">
                  <c:v>2.155642486174088</c:v>
                </c:pt>
                <c:pt idx="61">
                  <c:v>2.222700385173622</c:v>
                </c:pt>
                <c:pt idx="62">
                  <c:v>2.23603177615559</c:v>
                </c:pt>
                <c:pt idx="63">
                  <c:v>2.241043577276628</c:v>
                </c:pt>
                <c:pt idx="64">
                  <c:v>2.486254300125362</c:v>
                </c:pt>
                <c:pt idx="65">
                  <c:v>2.673729074059719</c:v>
                </c:pt>
                <c:pt idx="66">
                  <c:v>3.006278784444439</c:v>
                </c:pt>
                <c:pt idx="67">
                  <c:v>3.46031455400316</c:v>
                </c:pt>
                <c:pt idx="68">
                  <c:v>3.57321372725645</c:v>
                </c:pt>
                <c:pt idx="69">
                  <c:v>3.656710333932967</c:v>
                </c:pt>
                <c:pt idx="70">
                  <c:v>4.012949157616466</c:v>
                </c:pt>
                <c:pt idx="71">
                  <c:v>5.456882472595471</c:v>
                </c:pt>
              </c:numCache>
            </c:numRef>
          </c:xVal>
          <c:yVal>
            <c:numRef>
              <c:f>fitting!$I$2:$I$73</c:f>
              <c:numCache>
                <c:formatCode>General</c:formatCode>
                <c:ptCount val="72"/>
                <c:pt idx="0">
                  <c:v>0.302935162660431</c:v>
                </c:pt>
                <c:pt idx="1">
                  <c:v>0.245920550790502</c:v>
                </c:pt>
                <c:pt idx="2">
                  <c:v>0.865156441470267</c:v>
                </c:pt>
                <c:pt idx="3">
                  <c:v>0.687772711854924</c:v>
                </c:pt>
                <c:pt idx="4">
                  <c:v>0.352288101837936</c:v>
                </c:pt>
                <c:pt idx="5">
                  <c:v>0.360796027691181</c:v>
                </c:pt>
                <c:pt idx="6">
                  <c:v>0.496530550716633</c:v>
                </c:pt>
                <c:pt idx="8">
                  <c:v>0.314567049296908</c:v>
                </c:pt>
                <c:pt idx="9">
                  <c:v>0.360087845024649</c:v>
                </c:pt>
                <c:pt idx="10">
                  <c:v>0.218793410082931</c:v>
                </c:pt>
                <c:pt idx="11">
                  <c:v>0.186668422389274</c:v>
                </c:pt>
                <c:pt idx="12">
                  <c:v>0.836760997986914</c:v>
                </c:pt>
                <c:pt idx="13">
                  <c:v>0.417553228029919</c:v>
                </c:pt>
                <c:pt idx="14">
                  <c:v>0.158003837651115</c:v>
                </c:pt>
                <c:pt idx="15">
                  <c:v>0.873489675186415</c:v>
                </c:pt>
                <c:pt idx="16">
                  <c:v>1.16083888893723</c:v>
                </c:pt>
                <c:pt idx="17">
                  <c:v>0.579083119336831</c:v>
                </c:pt>
                <c:pt idx="18">
                  <c:v>0.346795960604898</c:v>
                </c:pt>
                <c:pt idx="19">
                  <c:v>0.36838397230602</c:v>
                </c:pt>
                <c:pt idx="20">
                  <c:v>0.366038950900083</c:v>
                </c:pt>
                <c:pt idx="21">
                  <c:v>0.155473637524152</c:v>
                </c:pt>
                <c:pt idx="22">
                  <c:v>0.360023115193224</c:v>
                </c:pt>
                <c:pt idx="23">
                  <c:v>0.188529689196029</c:v>
                </c:pt>
                <c:pt idx="24">
                  <c:v>0.306936313367546</c:v>
                </c:pt>
                <c:pt idx="25">
                  <c:v>0.443588776392371</c:v>
                </c:pt>
                <c:pt idx="26">
                  <c:v>1.240660621923266</c:v>
                </c:pt>
                <c:pt idx="27">
                  <c:v>0.305023414273669</c:v>
                </c:pt>
                <c:pt idx="28">
                  <c:v>0.710980416474074</c:v>
                </c:pt>
                <c:pt idx="29">
                  <c:v>0.193996220881626</c:v>
                </c:pt>
                <c:pt idx="30">
                  <c:v>0.480310985722416</c:v>
                </c:pt>
                <c:pt idx="31">
                  <c:v>0.635564370442729</c:v>
                </c:pt>
                <c:pt idx="32">
                  <c:v>0.191349268954511</c:v>
                </c:pt>
                <c:pt idx="33">
                  <c:v>0.554300495275198</c:v>
                </c:pt>
                <c:pt idx="34">
                  <c:v>0.808588546665907</c:v>
                </c:pt>
                <c:pt idx="35">
                  <c:v>0.641077646761319</c:v>
                </c:pt>
                <c:pt idx="36">
                  <c:v>0.494222034898946</c:v>
                </c:pt>
                <c:pt idx="37">
                  <c:v>0.180365806745525</c:v>
                </c:pt>
                <c:pt idx="38">
                  <c:v>0.171632310821782</c:v>
                </c:pt>
                <c:pt idx="39">
                  <c:v>0.359355875795706</c:v>
                </c:pt>
                <c:pt idx="40">
                  <c:v>0.533353730879429</c:v>
                </c:pt>
                <c:pt idx="41">
                  <c:v>0.367507394298194</c:v>
                </c:pt>
                <c:pt idx="42">
                  <c:v>0.166848839217817</c:v>
                </c:pt>
                <c:pt idx="43">
                  <c:v>0.365698508093934</c:v>
                </c:pt>
                <c:pt idx="44">
                  <c:v>0.446101215221567</c:v>
                </c:pt>
                <c:pt idx="45">
                  <c:v>0.844362384093824</c:v>
                </c:pt>
                <c:pt idx="46">
                  <c:v>0.648645948746764</c:v>
                </c:pt>
                <c:pt idx="47">
                  <c:v>0.418730017226702</c:v>
                </c:pt>
                <c:pt idx="48">
                  <c:v>0.17112111147533</c:v>
                </c:pt>
                <c:pt idx="49">
                  <c:v>0.613391064348933</c:v>
                </c:pt>
                <c:pt idx="50">
                  <c:v>0.361975141332152</c:v>
                </c:pt>
                <c:pt idx="51">
                  <c:v>0.539720703253601</c:v>
                </c:pt>
                <c:pt idx="52">
                  <c:v>0.595309219337736</c:v>
                </c:pt>
                <c:pt idx="53">
                  <c:v>0.52001679119925</c:v>
                </c:pt>
                <c:pt idx="54">
                  <c:v>0.390506268291508</c:v>
                </c:pt>
                <c:pt idx="55">
                  <c:v>0.239100865795301</c:v>
                </c:pt>
                <c:pt idx="56">
                  <c:v>0.343884534715067</c:v>
                </c:pt>
                <c:pt idx="57">
                  <c:v>0.675050823874349</c:v>
                </c:pt>
                <c:pt idx="58">
                  <c:v>0.107104940561379</c:v>
                </c:pt>
                <c:pt idx="59">
                  <c:v>0.334547973153453</c:v>
                </c:pt>
                <c:pt idx="60">
                  <c:v>0.246716394777131</c:v>
                </c:pt>
                <c:pt idx="61">
                  <c:v>0.480087633723141</c:v>
                </c:pt>
                <c:pt idx="62">
                  <c:v>0.212063207817708</c:v>
                </c:pt>
                <c:pt idx="63">
                  <c:v>0.428990576952309</c:v>
                </c:pt>
                <c:pt idx="64">
                  <c:v>0.537370035979367</c:v>
                </c:pt>
                <c:pt idx="65">
                  <c:v>0.20382291156625</c:v>
                </c:pt>
                <c:pt idx="66">
                  <c:v>0.673173416423695</c:v>
                </c:pt>
                <c:pt idx="67">
                  <c:v>0.210294123615335</c:v>
                </c:pt>
                <c:pt idx="68">
                  <c:v>0.231112258713096</c:v>
                </c:pt>
                <c:pt idx="69">
                  <c:v>0.114908418049141</c:v>
                </c:pt>
                <c:pt idx="70">
                  <c:v>0.271591974399127</c:v>
                </c:pt>
                <c:pt idx="71">
                  <c:v>0.330577856172732</c:v>
                </c:pt>
              </c:numCache>
            </c:numRef>
          </c:yVal>
          <c:smooth val="0"/>
        </c:ser>
        <c:ser>
          <c:idx val="1"/>
          <c:order val="1"/>
          <c:tx>
            <c:v>estimated 1/sqrt(1+x)</c:v>
          </c:tx>
          <c:spPr>
            <a:ln w="25400">
              <a:solidFill>
                <a:srgbClr val="DD0806"/>
              </a:solidFill>
              <a:prstDash val="solid"/>
            </a:ln>
          </c:spPr>
          <c:marker>
            <c:symbol val="none"/>
          </c:marker>
          <c:xVal>
            <c:numRef>
              <c:f>fitting!$B$2:$B$73</c:f>
              <c:numCache>
                <c:formatCode>0.00000</c:formatCode>
                <c:ptCount val="72"/>
                <c:pt idx="0">
                  <c:v>0.0662894228276181</c:v>
                </c:pt>
                <c:pt idx="1">
                  <c:v>0.0990666021592177</c:v>
                </c:pt>
                <c:pt idx="2">
                  <c:v>0.123223483562629</c:v>
                </c:pt>
                <c:pt idx="3">
                  <c:v>0.129939297064822</c:v>
                </c:pt>
                <c:pt idx="4">
                  <c:v>0.132111077550606</c:v>
                </c:pt>
                <c:pt idx="5">
                  <c:v>0.225898582528995</c:v>
                </c:pt>
                <c:pt idx="6">
                  <c:v>0.265090867295525</c:v>
                </c:pt>
                <c:pt idx="7">
                  <c:v>0.276584597866444</c:v>
                </c:pt>
                <c:pt idx="8">
                  <c:v>0.308526477011204</c:v>
                </c:pt>
                <c:pt idx="9">
                  <c:v>0.318316195200968</c:v>
                </c:pt>
                <c:pt idx="10">
                  <c:v>0.365460537746213</c:v>
                </c:pt>
                <c:pt idx="11">
                  <c:v>0.36803326232168</c:v>
                </c:pt>
                <c:pt idx="12">
                  <c:v>0.384639030036058</c:v>
                </c:pt>
                <c:pt idx="13">
                  <c:v>0.390051775246781</c:v>
                </c:pt>
                <c:pt idx="14">
                  <c:v>0.404418938460428</c:v>
                </c:pt>
                <c:pt idx="15">
                  <c:v>0.43332032492509</c:v>
                </c:pt>
                <c:pt idx="16">
                  <c:v>0.437363177829396</c:v>
                </c:pt>
                <c:pt idx="17">
                  <c:v>0.440036138427283</c:v>
                </c:pt>
                <c:pt idx="18">
                  <c:v>0.447553840108843</c:v>
                </c:pt>
                <c:pt idx="19">
                  <c:v>0.496636079087558</c:v>
                </c:pt>
                <c:pt idx="20">
                  <c:v>0.500077515857337</c:v>
                </c:pt>
                <c:pt idx="21">
                  <c:v>0.525203345477483</c:v>
                </c:pt>
                <c:pt idx="22">
                  <c:v>0.534792591622407</c:v>
                </c:pt>
                <c:pt idx="23">
                  <c:v>0.551498595359206</c:v>
                </c:pt>
                <c:pt idx="24">
                  <c:v>0.558448292913715</c:v>
                </c:pt>
                <c:pt idx="25">
                  <c:v>0.765836623302336</c:v>
                </c:pt>
                <c:pt idx="26">
                  <c:v>1.105569915293878</c:v>
                </c:pt>
                <c:pt idx="27">
                  <c:v>1.12200862297089</c:v>
                </c:pt>
                <c:pt idx="28">
                  <c:v>1.159229599296476</c:v>
                </c:pt>
                <c:pt idx="29">
                  <c:v>1.16798354525456</c:v>
                </c:pt>
                <c:pt idx="30">
                  <c:v>1.189834998142292</c:v>
                </c:pt>
                <c:pt idx="31">
                  <c:v>1.198288236033114</c:v>
                </c:pt>
                <c:pt idx="32">
                  <c:v>1.21776743639022</c:v>
                </c:pt>
                <c:pt idx="33">
                  <c:v>1.259064677627584</c:v>
                </c:pt>
                <c:pt idx="34">
                  <c:v>1.297087542132542</c:v>
                </c:pt>
                <c:pt idx="35">
                  <c:v>1.350513342082824</c:v>
                </c:pt>
                <c:pt idx="36">
                  <c:v>1.416067700746024</c:v>
                </c:pt>
                <c:pt idx="37">
                  <c:v>1.42051149774001</c:v>
                </c:pt>
                <c:pt idx="38">
                  <c:v>1.433943124744398</c:v>
                </c:pt>
                <c:pt idx="39">
                  <c:v>1.440024110104591</c:v>
                </c:pt>
                <c:pt idx="40">
                  <c:v>1.48178911944659</c:v>
                </c:pt>
                <c:pt idx="41">
                  <c:v>1.552221631200934</c:v>
                </c:pt>
                <c:pt idx="42">
                  <c:v>1.574240144126037</c:v>
                </c:pt>
                <c:pt idx="43">
                  <c:v>1.581223253688016</c:v>
                </c:pt>
                <c:pt idx="44">
                  <c:v>1.58533293060727</c:v>
                </c:pt>
                <c:pt idx="45">
                  <c:v>1.662548079878757</c:v>
                </c:pt>
                <c:pt idx="46">
                  <c:v>1.665722220588746</c:v>
                </c:pt>
                <c:pt idx="47">
                  <c:v>1.68466682882628</c:v>
                </c:pt>
                <c:pt idx="48">
                  <c:v>1.72305722541344</c:v>
                </c:pt>
                <c:pt idx="49">
                  <c:v>1.75713747303651</c:v>
                </c:pt>
                <c:pt idx="50">
                  <c:v>1.805718531903122</c:v>
                </c:pt>
                <c:pt idx="51">
                  <c:v>1.82336007184918</c:v>
                </c:pt>
                <c:pt idx="52">
                  <c:v>1.83041000542611</c:v>
                </c:pt>
                <c:pt idx="53">
                  <c:v>1.844309400535127</c:v>
                </c:pt>
                <c:pt idx="54">
                  <c:v>1.899506036881512</c:v>
                </c:pt>
                <c:pt idx="55">
                  <c:v>1.924665278509128</c:v>
                </c:pt>
                <c:pt idx="56">
                  <c:v>1.951227824450641</c:v>
                </c:pt>
                <c:pt idx="57">
                  <c:v>2.020490915943408</c:v>
                </c:pt>
                <c:pt idx="58">
                  <c:v>2.032753122686218</c:v>
                </c:pt>
                <c:pt idx="59">
                  <c:v>2.091558255839751</c:v>
                </c:pt>
                <c:pt idx="60">
                  <c:v>2.155642486174088</c:v>
                </c:pt>
                <c:pt idx="61">
                  <c:v>2.222700385173622</c:v>
                </c:pt>
                <c:pt idx="62">
                  <c:v>2.23603177615559</c:v>
                </c:pt>
                <c:pt idx="63">
                  <c:v>2.241043577276628</c:v>
                </c:pt>
                <c:pt idx="64">
                  <c:v>2.486254300125362</c:v>
                </c:pt>
                <c:pt idx="65">
                  <c:v>2.673729074059719</c:v>
                </c:pt>
                <c:pt idx="66">
                  <c:v>3.006278784444439</c:v>
                </c:pt>
                <c:pt idx="67">
                  <c:v>3.46031455400316</c:v>
                </c:pt>
                <c:pt idx="68">
                  <c:v>3.57321372725645</c:v>
                </c:pt>
                <c:pt idx="69">
                  <c:v>3.656710333932967</c:v>
                </c:pt>
                <c:pt idx="70">
                  <c:v>4.012949157616466</c:v>
                </c:pt>
                <c:pt idx="71">
                  <c:v>5.456882472595471</c:v>
                </c:pt>
              </c:numCache>
            </c:numRef>
          </c:xVal>
          <c:yVal>
            <c:numRef>
              <c:f>fitting!$M$2:$M$73</c:f>
              <c:numCache>
                <c:formatCode>General</c:formatCode>
                <c:ptCount val="72"/>
                <c:pt idx="0">
                  <c:v>0.589766013805425</c:v>
                </c:pt>
                <c:pt idx="1">
                  <c:v>0.580905230832559</c:v>
                </c:pt>
                <c:pt idx="2">
                  <c:v>0.574624587811839</c:v>
                </c:pt>
                <c:pt idx="3">
                  <c:v>0.572914397364459</c:v>
                </c:pt>
                <c:pt idx="4">
                  <c:v>0.572364609614541</c:v>
                </c:pt>
                <c:pt idx="5">
                  <c:v>0.550034614546731</c:v>
                </c:pt>
                <c:pt idx="6">
                  <c:v>0.54144759916652</c:v>
                </c:pt>
                <c:pt idx="7">
                  <c:v>0.539004625933226</c:v>
                </c:pt>
                <c:pt idx="8">
                  <c:v>0.53238527534162</c:v>
                </c:pt>
                <c:pt idx="9">
                  <c:v>0.53040486513144</c:v>
                </c:pt>
                <c:pt idx="10">
                  <c:v>0.521167968786619</c:v>
                </c:pt>
                <c:pt idx="11">
                  <c:v>0.520677683696618</c:v>
                </c:pt>
                <c:pt idx="12">
                  <c:v>0.517546061517242</c:v>
                </c:pt>
                <c:pt idx="13">
                  <c:v>0.516537438173557</c:v>
                </c:pt>
                <c:pt idx="14">
                  <c:v>0.513888565110198</c:v>
                </c:pt>
                <c:pt idx="15">
                  <c:v>0.508681171684214</c:v>
                </c:pt>
                <c:pt idx="16">
                  <c:v>0.507965287448978</c:v>
                </c:pt>
                <c:pt idx="17">
                  <c:v>0.507493631976856</c:v>
                </c:pt>
                <c:pt idx="18">
                  <c:v>0.506174112122268</c:v>
                </c:pt>
                <c:pt idx="19">
                  <c:v>0.497804923219269</c:v>
                </c:pt>
                <c:pt idx="20">
                  <c:v>0.497233570122137</c:v>
                </c:pt>
                <c:pt idx="21">
                  <c:v>0.493120909484089</c:v>
                </c:pt>
                <c:pt idx="22">
                  <c:v>0.491578008173679</c:v>
                </c:pt>
                <c:pt idx="23">
                  <c:v>0.488924273678058</c:v>
                </c:pt>
                <c:pt idx="24">
                  <c:v>0.487832908500642</c:v>
                </c:pt>
                <c:pt idx="25">
                  <c:v>0.458291743060581</c:v>
                </c:pt>
                <c:pt idx="26">
                  <c:v>0.419693708879137</c:v>
                </c:pt>
                <c:pt idx="27">
                  <c:v>0.418064913455336</c:v>
                </c:pt>
                <c:pt idx="28">
                  <c:v>0.41444593100413</c:v>
                </c:pt>
                <c:pt idx="29">
                  <c:v>0.41360835383447</c:v>
                </c:pt>
                <c:pt idx="30">
                  <c:v>0.411539567114736</c:v>
                </c:pt>
                <c:pt idx="31">
                  <c:v>0.410747543436519</c:v>
                </c:pt>
                <c:pt idx="32">
                  <c:v>0.408939716360143</c:v>
                </c:pt>
                <c:pt idx="33">
                  <c:v>0.405184627511491</c:v>
                </c:pt>
                <c:pt idx="34">
                  <c:v>0.401817196638536</c:v>
                </c:pt>
                <c:pt idx="35">
                  <c:v>0.39722441332506</c:v>
                </c:pt>
                <c:pt idx="36">
                  <c:v>0.391798476466523</c:v>
                </c:pt>
                <c:pt idx="37">
                  <c:v>0.391438661457733</c:v>
                </c:pt>
                <c:pt idx="38">
                  <c:v>0.390357097210248</c:v>
                </c:pt>
                <c:pt idx="39">
                  <c:v>0.389870373208732</c:v>
                </c:pt>
                <c:pt idx="40">
                  <c:v>0.386575970205103</c:v>
                </c:pt>
                <c:pt idx="41">
                  <c:v>0.381204571390427</c:v>
                </c:pt>
                <c:pt idx="42">
                  <c:v>0.379570772122647</c:v>
                </c:pt>
                <c:pt idx="43">
                  <c:v>0.379056988705745</c:v>
                </c:pt>
                <c:pt idx="44">
                  <c:v>0.378755592064166</c:v>
                </c:pt>
                <c:pt idx="45">
                  <c:v>0.373223140690533</c:v>
                </c:pt>
                <c:pt idx="46">
                  <c:v>0.37300087154008</c:v>
                </c:pt>
                <c:pt idx="47">
                  <c:v>0.371682483427673</c:v>
                </c:pt>
                <c:pt idx="48">
                  <c:v>0.369053143201325</c:v>
                </c:pt>
                <c:pt idx="49">
                  <c:v>0.366765166765594</c:v>
                </c:pt>
                <c:pt idx="50">
                  <c:v>0.363576029285001</c:v>
                </c:pt>
                <c:pt idx="51">
                  <c:v>0.362438361450948</c:v>
                </c:pt>
                <c:pt idx="52">
                  <c:v>0.361986702602209</c:v>
                </c:pt>
                <c:pt idx="53">
                  <c:v>0.361101152308966</c:v>
                </c:pt>
                <c:pt idx="54">
                  <c:v>0.357647574414581</c:v>
                </c:pt>
                <c:pt idx="55">
                  <c:v>0.356105931858938</c:v>
                </c:pt>
                <c:pt idx="56">
                  <c:v>0.354499742639753</c:v>
                </c:pt>
                <c:pt idx="57">
                  <c:v>0.350411641212134</c:v>
                </c:pt>
                <c:pt idx="58">
                  <c:v>0.349702521163854</c:v>
                </c:pt>
                <c:pt idx="59">
                  <c:v>0.346360673419154</c:v>
                </c:pt>
                <c:pt idx="60">
                  <c:v>0.342825718863813</c:v>
                </c:pt>
                <c:pt idx="61">
                  <c:v>0.339240212939885</c:v>
                </c:pt>
                <c:pt idx="62">
                  <c:v>0.338540712487209</c:v>
                </c:pt>
                <c:pt idx="63">
                  <c:v>0.338278859304154</c:v>
                </c:pt>
                <c:pt idx="64">
                  <c:v>0.326165304217855</c:v>
                </c:pt>
                <c:pt idx="65">
                  <c:v>0.317734029113367</c:v>
                </c:pt>
                <c:pt idx="66">
                  <c:v>0.304261294751378</c:v>
                </c:pt>
                <c:pt idx="67">
                  <c:v>0.288359689292072</c:v>
                </c:pt>
                <c:pt idx="68">
                  <c:v>0.284778070673114</c:v>
                </c:pt>
                <c:pt idx="69">
                  <c:v>0.282213432286175</c:v>
                </c:pt>
                <c:pt idx="70">
                  <c:v>0.272001088914072</c:v>
                </c:pt>
                <c:pt idx="71">
                  <c:v>0.239665682283949</c:v>
                </c:pt>
              </c:numCache>
            </c:numRef>
          </c:yVal>
          <c:smooth val="0"/>
        </c:ser>
        <c:dLbls>
          <c:showLegendKey val="0"/>
          <c:showVal val="0"/>
          <c:showCatName val="0"/>
          <c:showSerName val="0"/>
          <c:showPercent val="0"/>
          <c:showBubbleSize val="0"/>
        </c:dLbls>
        <c:axId val="2065636376"/>
        <c:axId val="2065642648"/>
      </c:scatterChart>
      <c:valAx>
        <c:axId val="2065636376"/>
        <c:scaling>
          <c:orientation val="minMax"/>
        </c:scaling>
        <c:delete val="0"/>
        <c:axPos val="b"/>
        <c:title>
          <c:tx>
            <c:rich>
              <a:bodyPr/>
              <a:lstStyle/>
              <a:p>
                <a:pPr>
                  <a:defRPr sz="1000" b="1" i="0" u="none" strike="noStrike" baseline="0">
                    <a:solidFill>
                      <a:srgbClr val="000000"/>
                    </a:solidFill>
                    <a:latin typeface="Arial" pitchFamily="34" charset="0"/>
                    <a:ea typeface="Verdana"/>
                    <a:cs typeface="Arial" pitchFamily="34" charset="0"/>
                  </a:defRPr>
                </a:pPr>
                <a:r>
                  <a:rPr lang="en-US">
                    <a:latin typeface="Arial" pitchFamily="34" charset="0"/>
                    <a:cs typeface="Arial" pitchFamily="34" charset="0"/>
                  </a:rPr>
                  <a:t>% of sector pollock allocation</a:t>
                </a:r>
              </a:p>
            </c:rich>
          </c:tx>
          <c:layout>
            <c:manualLayout>
              <c:xMode val="edge"/>
              <c:yMode val="edge"/>
              <c:x val="0.354435190793459"/>
              <c:y val="0.939689407319553"/>
            </c:manualLayout>
          </c:layout>
          <c:overlay val="0"/>
          <c:spPr>
            <a:noFill/>
            <a:ln w="25400">
              <a:noFill/>
            </a:ln>
          </c:spPr>
        </c:title>
        <c:numFmt formatCode="0.00000"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2065642648"/>
        <c:crosses val="autoZero"/>
        <c:crossBetween val="midCat"/>
      </c:valAx>
      <c:valAx>
        <c:axId val="2065642648"/>
        <c:scaling>
          <c:orientation val="minMax"/>
        </c:scaling>
        <c:delete val="0"/>
        <c:axPos val="l"/>
        <c:title>
          <c:tx>
            <c:rich>
              <a:bodyPr/>
              <a:lstStyle/>
              <a:p>
                <a:pPr>
                  <a:defRPr sz="1000" b="1" i="0" u="none" strike="noStrike" baseline="0">
                    <a:solidFill>
                      <a:srgbClr val="000000"/>
                    </a:solidFill>
                    <a:latin typeface="Arial" pitchFamily="34" charset="0"/>
                    <a:ea typeface="Verdana"/>
                    <a:cs typeface="Arial" pitchFamily="34" charset="0"/>
                  </a:defRPr>
                </a:pPr>
                <a:r>
                  <a:rPr lang="en-US">
                    <a:latin typeface="Arial" pitchFamily="34" charset="0"/>
                    <a:cs typeface="Arial" pitchFamily="34" charset="0"/>
                  </a:rPr>
                  <a:t>individual vessel std. dev. in relative bycatch rate</a:t>
                </a:r>
              </a:p>
            </c:rich>
          </c:tx>
          <c:layout>
            <c:manualLayout>
              <c:xMode val="edge"/>
              <c:yMode val="edge"/>
              <c:x val="0.0017444954797317"/>
              <c:y val="0.155882490612652"/>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2065636376"/>
        <c:crosses val="autoZero"/>
        <c:crossBetween val="midCat"/>
      </c:valAx>
      <c:spPr>
        <a:solidFill>
          <a:srgbClr val="FFFFFF"/>
        </a:solidFill>
        <a:ln w="12700">
          <a:solidFill>
            <a:srgbClr val="000000"/>
          </a:solidFill>
          <a:prstDash val="solid"/>
        </a:ln>
      </c:spPr>
    </c:plotArea>
    <c:legend>
      <c:legendPos val="r"/>
      <c:layout>
        <c:manualLayout>
          <c:xMode val="edge"/>
          <c:yMode val="edge"/>
          <c:x val="0.652215113735783"/>
          <c:y val="0.175036504767026"/>
          <c:w val="0.237254119276757"/>
          <c:h val="0.238888165833821"/>
        </c:manualLayout>
      </c:layout>
      <c:overlay val="0"/>
      <c:spPr>
        <a:ln>
          <a:solidFill>
            <a:schemeClr val="accent1"/>
          </a:solidFill>
        </a:ln>
      </c:spPr>
      <c:txPr>
        <a:bodyPr/>
        <a:lstStyle/>
        <a:p>
          <a:pPr>
            <a:defRPr>
              <a:latin typeface="Arial" pitchFamily="34" charset="0"/>
              <a:cs typeface="Arial" pitchFamily="34" charset="0"/>
            </a:defRPr>
          </a:pPr>
          <a:endParaRPr lang="en-US"/>
        </a:p>
      </c:txPr>
    </c:legend>
    <c:plotVisOnly val="1"/>
    <c:dispBlanksAs val="gap"/>
    <c:showDLblsOverMax val="0"/>
  </c:chart>
  <c:spPr>
    <a:noFill/>
    <a:ln w="9525">
      <a:noFill/>
    </a:ln>
  </c:spPr>
  <c:txPr>
    <a:bodyPr/>
    <a:lstStyle/>
    <a:p>
      <a:pPr>
        <a:defRPr sz="10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1" i="0" u="none" strike="noStrike" baseline="0">
                <a:solidFill>
                  <a:srgbClr val="000000"/>
                </a:solidFill>
                <a:latin typeface="Arial"/>
                <a:ea typeface="Arial"/>
                <a:cs typeface="Arial"/>
              </a:defRPr>
            </a:pPr>
            <a:r>
              <a:rPr lang="en-US"/>
              <a:t>Estimated bycatch</a:t>
            </a:r>
            <a:r>
              <a:rPr lang="en-US" baseline="0"/>
              <a:t> rate standard deviation from</a:t>
            </a:r>
          </a:p>
          <a:p>
            <a:pPr>
              <a:defRPr sz="1200" b="1" i="0" u="none" strike="noStrike" baseline="0">
                <a:solidFill>
                  <a:srgbClr val="000000"/>
                </a:solidFill>
                <a:latin typeface="Arial"/>
                <a:ea typeface="Arial"/>
                <a:cs typeface="Arial"/>
              </a:defRPr>
            </a:pPr>
            <a:r>
              <a:rPr lang="en-US" baseline="0"/>
              <a:t>sector bycatch rate</a:t>
            </a:r>
            <a:endParaRPr lang="en-US"/>
          </a:p>
        </c:rich>
      </c:tx>
      <c:layout>
        <c:manualLayout>
          <c:xMode val="edge"/>
          <c:yMode val="edge"/>
          <c:x val="0.195572061347448"/>
          <c:y val="0.00152466857533576"/>
        </c:manualLayout>
      </c:layout>
      <c:overlay val="0"/>
      <c:spPr>
        <a:noFill/>
        <a:ln w="25400">
          <a:noFill/>
        </a:ln>
      </c:spPr>
    </c:title>
    <c:autoTitleDeleted val="0"/>
    <c:plotArea>
      <c:layout>
        <c:manualLayout>
          <c:layoutTarget val="inner"/>
          <c:xMode val="edge"/>
          <c:yMode val="edge"/>
          <c:x val="0.122699875169417"/>
          <c:y val="0.107677097815126"/>
          <c:w val="0.83391007397559"/>
          <c:h val="0.77846562429351"/>
        </c:manualLayout>
      </c:layout>
      <c:scatterChart>
        <c:scatterStyle val="lineMarker"/>
        <c:varyColors val="0"/>
        <c:ser>
          <c:idx val="0"/>
          <c:order val="0"/>
          <c:tx>
            <c:v>historical data</c:v>
          </c:tx>
          <c:spPr>
            <a:ln w="28575">
              <a:noFill/>
            </a:ln>
          </c:spPr>
          <c:marker>
            <c:symbol val="diamond"/>
            <c:size val="5"/>
            <c:spPr>
              <a:solidFill>
                <a:srgbClr val="000080"/>
              </a:solidFill>
              <a:ln>
                <a:solidFill>
                  <a:srgbClr val="000080"/>
                </a:solidFill>
                <a:prstDash val="solid"/>
              </a:ln>
            </c:spPr>
          </c:marker>
          <c:xVal>
            <c:numRef>
              <c:f>'sector-year rates and stdevs'!$D$2:$D$28</c:f>
              <c:numCache>
                <c:formatCode>General</c:formatCode>
                <c:ptCount val="27"/>
                <c:pt idx="0">
                  <c:v>0.00309040410468382</c:v>
                </c:pt>
                <c:pt idx="1">
                  <c:v>0.0138835043778733</c:v>
                </c:pt>
                <c:pt idx="2">
                  <c:v>0.0325899525291928</c:v>
                </c:pt>
                <c:pt idx="3">
                  <c:v>0.0326511533810722</c:v>
                </c:pt>
                <c:pt idx="4">
                  <c:v>0.0537212575898597</c:v>
                </c:pt>
                <c:pt idx="5">
                  <c:v>0.0757991033894038</c:v>
                </c:pt>
                <c:pt idx="6">
                  <c:v>0.0886740593686967</c:v>
                </c:pt>
                <c:pt idx="7">
                  <c:v>0.1341993491141</c:v>
                </c:pt>
                <c:pt idx="8">
                  <c:v>0.0257596928621468</c:v>
                </c:pt>
                <c:pt idx="9">
                  <c:v>0.00685109787020583</c:v>
                </c:pt>
                <c:pt idx="10">
                  <c:v>0.029835264748839</c:v>
                </c:pt>
                <c:pt idx="11">
                  <c:v>0.0170184146170831</c:v>
                </c:pt>
                <c:pt idx="12">
                  <c:v>0.0282677452728913</c:v>
                </c:pt>
                <c:pt idx="13">
                  <c:v>0.0212221825434329</c:v>
                </c:pt>
                <c:pt idx="14">
                  <c:v>0.024427046279881</c:v>
                </c:pt>
                <c:pt idx="15">
                  <c:v>0.0283382204062824</c:v>
                </c:pt>
                <c:pt idx="16">
                  <c:v>0.0574915419566095</c:v>
                </c:pt>
                <c:pt idx="17">
                  <c:v>0.0112062771311363</c:v>
                </c:pt>
                <c:pt idx="18">
                  <c:v>0.00244726810139233</c:v>
                </c:pt>
                <c:pt idx="19">
                  <c:v>0.0205146914063658</c:v>
                </c:pt>
                <c:pt idx="20">
                  <c:v>0.0253830369004088</c:v>
                </c:pt>
                <c:pt idx="21">
                  <c:v>0.0316575605180756</c:v>
                </c:pt>
                <c:pt idx="22">
                  <c:v>0.0275924038794934</c:v>
                </c:pt>
                <c:pt idx="23">
                  <c:v>0.0203754757611017</c:v>
                </c:pt>
                <c:pt idx="24">
                  <c:v>0.0376428356105133</c:v>
                </c:pt>
                <c:pt idx="25">
                  <c:v>0.0666045039246086</c:v>
                </c:pt>
                <c:pt idx="26">
                  <c:v>0.0159078894418973</c:v>
                </c:pt>
              </c:numCache>
            </c:numRef>
          </c:xVal>
          <c:yVal>
            <c:numRef>
              <c:f>'sector-year rates and stdevs'!$E$2:$E$28</c:f>
              <c:numCache>
                <c:formatCode>General</c:formatCode>
                <c:ptCount val="27"/>
                <c:pt idx="0">
                  <c:v>0.00306021154784426</c:v>
                </c:pt>
                <c:pt idx="1">
                  <c:v>0.00949950673878664</c:v>
                </c:pt>
                <c:pt idx="2">
                  <c:v>0.0196823646507137</c:v>
                </c:pt>
                <c:pt idx="3">
                  <c:v>0.0159935483877475</c:v>
                </c:pt>
                <c:pt idx="4">
                  <c:v>0.0608935020694062</c:v>
                </c:pt>
                <c:pt idx="5">
                  <c:v>0.0710780288571902</c:v>
                </c:pt>
                <c:pt idx="6">
                  <c:v>0.0866733380853449</c:v>
                </c:pt>
                <c:pt idx="7">
                  <c:v>0.0695354269544501</c:v>
                </c:pt>
                <c:pt idx="8">
                  <c:v>0.0195615382383577</c:v>
                </c:pt>
                <c:pt idx="9">
                  <c:v>0.00353650857980777</c:v>
                </c:pt>
                <c:pt idx="10">
                  <c:v>0.0208537601948837</c:v>
                </c:pt>
                <c:pt idx="11">
                  <c:v>0.0118691133878664</c:v>
                </c:pt>
                <c:pt idx="12">
                  <c:v>0.0108986310301425</c:v>
                </c:pt>
                <c:pt idx="13">
                  <c:v>0.0146574727637021</c:v>
                </c:pt>
                <c:pt idx="14">
                  <c:v>0.00991120242673146</c:v>
                </c:pt>
                <c:pt idx="15">
                  <c:v>0.011565330098019</c:v>
                </c:pt>
                <c:pt idx="16">
                  <c:v>0.0170835195622343</c:v>
                </c:pt>
                <c:pt idx="17">
                  <c:v>0.00583916106840557</c:v>
                </c:pt>
                <c:pt idx="18">
                  <c:v>0.00513535830857403</c:v>
                </c:pt>
                <c:pt idx="19">
                  <c:v>0.0202604325789842</c:v>
                </c:pt>
                <c:pt idx="20">
                  <c:v>0.0307625737887408</c:v>
                </c:pt>
                <c:pt idx="21">
                  <c:v>0.0351592889799246</c:v>
                </c:pt>
                <c:pt idx="22">
                  <c:v>0.031425015611525</c:v>
                </c:pt>
                <c:pt idx="23">
                  <c:v>0.00721721554718259</c:v>
                </c:pt>
                <c:pt idx="24">
                  <c:v>0.0230804803653548</c:v>
                </c:pt>
                <c:pt idx="25">
                  <c:v>0.0310611746605964</c:v>
                </c:pt>
                <c:pt idx="26">
                  <c:v>0.0179697114882714</c:v>
                </c:pt>
              </c:numCache>
            </c:numRef>
          </c:yVal>
          <c:smooth val="0"/>
        </c:ser>
        <c:ser>
          <c:idx val="1"/>
          <c:order val="1"/>
          <c:tx>
            <c:v>regression line (y = 0.6855 x)</c:v>
          </c:tx>
          <c:spPr>
            <a:ln w="12700">
              <a:solidFill>
                <a:schemeClr val="tx1"/>
              </a:solidFill>
            </a:ln>
          </c:spPr>
          <c:marker>
            <c:symbol val="none"/>
          </c:marker>
          <c:xVal>
            <c:numRef>
              <c:f>'sector-year rates and stdevs'!$D$2:$D$28</c:f>
              <c:numCache>
                <c:formatCode>General</c:formatCode>
                <c:ptCount val="27"/>
                <c:pt idx="0">
                  <c:v>0.00309040410468382</c:v>
                </c:pt>
                <c:pt idx="1">
                  <c:v>0.0138835043778733</c:v>
                </c:pt>
                <c:pt idx="2">
                  <c:v>0.0325899525291928</c:v>
                </c:pt>
                <c:pt idx="3">
                  <c:v>0.0326511533810722</c:v>
                </c:pt>
                <c:pt idx="4">
                  <c:v>0.0537212575898597</c:v>
                </c:pt>
                <c:pt idx="5">
                  <c:v>0.0757991033894038</c:v>
                </c:pt>
                <c:pt idx="6">
                  <c:v>0.0886740593686967</c:v>
                </c:pt>
                <c:pt idx="7">
                  <c:v>0.1341993491141</c:v>
                </c:pt>
                <c:pt idx="8">
                  <c:v>0.0257596928621468</c:v>
                </c:pt>
                <c:pt idx="9">
                  <c:v>0.00685109787020583</c:v>
                </c:pt>
                <c:pt idx="10">
                  <c:v>0.029835264748839</c:v>
                </c:pt>
                <c:pt idx="11">
                  <c:v>0.0170184146170831</c:v>
                </c:pt>
                <c:pt idx="12">
                  <c:v>0.0282677452728913</c:v>
                </c:pt>
                <c:pt idx="13">
                  <c:v>0.0212221825434329</c:v>
                </c:pt>
                <c:pt idx="14">
                  <c:v>0.024427046279881</c:v>
                </c:pt>
                <c:pt idx="15">
                  <c:v>0.0283382204062824</c:v>
                </c:pt>
                <c:pt idx="16">
                  <c:v>0.0574915419566095</c:v>
                </c:pt>
                <c:pt idx="17">
                  <c:v>0.0112062771311363</c:v>
                </c:pt>
                <c:pt idx="18">
                  <c:v>0.00244726810139233</c:v>
                </c:pt>
                <c:pt idx="19">
                  <c:v>0.0205146914063658</c:v>
                </c:pt>
                <c:pt idx="20">
                  <c:v>0.0253830369004088</c:v>
                </c:pt>
                <c:pt idx="21">
                  <c:v>0.0316575605180756</c:v>
                </c:pt>
                <c:pt idx="22">
                  <c:v>0.0275924038794934</c:v>
                </c:pt>
                <c:pt idx="23">
                  <c:v>0.0203754757611017</c:v>
                </c:pt>
                <c:pt idx="24">
                  <c:v>0.0376428356105133</c:v>
                </c:pt>
                <c:pt idx="25">
                  <c:v>0.0666045039246086</c:v>
                </c:pt>
                <c:pt idx="26">
                  <c:v>0.0159078894418973</c:v>
                </c:pt>
              </c:numCache>
            </c:numRef>
          </c:xVal>
          <c:yVal>
            <c:numRef>
              <c:f>'regress stdev on mean'!$B$25:$B$51</c:f>
              <c:numCache>
                <c:formatCode>General</c:formatCode>
                <c:ptCount val="27"/>
                <c:pt idx="0">
                  <c:v>0.00211861703894729</c:v>
                </c:pt>
                <c:pt idx="1">
                  <c:v>0.00951779377029752</c:v>
                </c:pt>
                <c:pt idx="2">
                  <c:v>0.0223419418263733</c:v>
                </c:pt>
                <c:pt idx="3">
                  <c:v>0.0223838978823444</c:v>
                </c:pt>
                <c:pt idx="4">
                  <c:v>0.0368284430864738</c:v>
                </c:pt>
                <c:pt idx="5">
                  <c:v>0.0519638424419409</c:v>
                </c:pt>
                <c:pt idx="6">
                  <c:v>0.0607902289562757</c:v>
                </c:pt>
                <c:pt idx="7">
                  <c:v>0.0919999514684365</c:v>
                </c:pt>
                <c:pt idx="8">
                  <c:v>0.0176594782970548</c:v>
                </c:pt>
                <c:pt idx="9">
                  <c:v>0.00469674909547099</c:v>
                </c:pt>
                <c:pt idx="10">
                  <c:v>0.0204534740821089</c:v>
                </c:pt>
                <c:pt idx="11">
                  <c:v>0.0116669218530275</c:v>
                </c:pt>
                <c:pt idx="12">
                  <c:v>0.0193788659214508</c:v>
                </c:pt>
                <c:pt idx="13">
                  <c:v>0.014548802039197</c:v>
                </c:pt>
                <c:pt idx="14">
                  <c:v>0.0167458865270322</c:v>
                </c:pt>
                <c:pt idx="15">
                  <c:v>0.0194271799326179</c:v>
                </c:pt>
                <c:pt idx="16">
                  <c:v>0.0394131499502027</c:v>
                </c:pt>
                <c:pt idx="17">
                  <c:v>0.00768242885686293</c:v>
                </c:pt>
                <c:pt idx="18">
                  <c:v>0.00167771712787458</c:v>
                </c:pt>
                <c:pt idx="19">
                  <c:v>0.0140637836638904</c:v>
                </c:pt>
                <c:pt idx="20">
                  <c:v>0.0174012629597305</c:v>
                </c:pt>
                <c:pt idx="21">
                  <c:v>0.0217027433478515</c:v>
                </c:pt>
                <c:pt idx="22">
                  <c:v>0.0189158877041392</c:v>
                </c:pt>
                <c:pt idx="23">
                  <c:v>0.0139683448060084</c:v>
                </c:pt>
                <c:pt idx="24">
                  <c:v>0.0258059302981945</c:v>
                </c:pt>
                <c:pt idx="25">
                  <c:v>0.0456605130285199</c:v>
                </c:pt>
                <c:pt idx="26">
                  <c:v>0.0109056047311785</c:v>
                </c:pt>
              </c:numCache>
            </c:numRef>
          </c:yVal>
          <c:smooth val="0"/>
        </c:ser>
        <c:dLbls>
          <c:showLegendKey val="0"/>
          <c:showVal val="0"/>
          <c:showCatName val="0"/>
          <c:showSerName val="0"/>
          <c:showPercent val="0"/>
          <c:showBubbleSize val="0"/>
        </c:dLbls>
        <c:axId val="2063652616"/>
        <c:axId val="2063646072"/>
      </c:scatterChart>
      <c:valAx>
        <c:axId val="2063652616"/>
        <c:scaling>
          <c:orientation val="minMax"/>
        </c:scaling>
        <c:delete val="0"/>
        <c:axPos val="b"/>
        <c:title>
          <c:tx>
            <c:rich>
              <a:bodyPr/>
              <a:lstStyle/>
              <a:p>
                <a:pPr>
                  <a:defRPr sz="1000" b="1" i="0" u="none" strike="noStrike" baseline="0">
                    <a:solidFill>
                      <a:srgbClr val="000000"/>
                    </a:solidFill>
                    <a:latin typeface="Arial"/>
                    <a:ea typeface="Arial"/>
                    <a:cs typeface="Arial"/>
                  </a:defRPr>
                </a:pPr>
                <a:r>
                  <a:rPr lang="en-US"/>
                  <a:t>sector total bycatch rate (N Chinook</a:t>
                </a:r>
                <a:r>
                  <a:rPr lang="en-US" baseline="0"/>
                  <a:t> / mt Pollock)</a:t>
                </a:r>
                <a:endParaRPr lang="en-US"/>
              </a:p>
            </c:rich>
          </c:tx>
          <c:layout>
            <c:manualLayout>
              <c:xMode val="edge"/>
              <c:yMode val="edge"/>
              <c:x val="0.263600017281773"/>
              <c:y val="0.949100181933206"/>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063646072"/>
        <c:crosses val="autoZero"/>
        <c:crossBetween val="midCat"/>
      </c:valAx>
      <c:valAx>
        <c:axId val="2063646072"/>
        <c:scaling>
          <c:orientation val="minMax"/>
        </c:scaling>
        <c:delete val="0"/>
        <c:axPos val="l"/>
        <c:title>
          <c:tx>
            <c:rich>
              <a:bodyPr/>
              <a:lstStyle/>
              <a:p>
                <a:pPr>
                  <a:defRPr sz="1000" b="1" i="0" u="none" strike="noStrike" baseline="0">
                    <a:solidFill>
                      <a:srgbClr val="000000"/>
                    </a:solidFill>
                    <a:latin typeface="Arial"/>
                    <a:ea typeface="Arial"/>
                    <a:cs typeface="Arial"/>
                  </a:defRPr>
                </a:pPr>
                <a:r>
                  <a:rPr lang="en-US"/>
                  <a:t>standard</a:t>
                </a:r>
                <a:r>
                  <a:rPr lang="en-US" baseline="0"/>
                  <a:t> deviation of bycatch rates</a:t>
                </a:r>
                <a:endParaRPr lang="en-US"/>
              </a:p>
            </c:rich>
          </c:tx>
          <c:layout>
            <c:manualLayout>
              <c:xMode val="edge"/>
              <c:yMode val="edge"/>
              <c:x val="0.0120830172268338"/>
              <c:y val="0.200713420376095"/>
            </c:manualLayout>
          </c:layout>
          <c:overlay val="0"/>
          <c:spPr>
            <a:noFill/>
            <a:ln w="25400">
              <a:noFill/>
            </a:ln>
          </c:spPr>
        </c:title>
        <c:numFmt formatCode="General" sourceLinked="1"/>
        <c:majorTickMark val="cross"/>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063652616"/>
        <c:crosses val="autoZero"/>
        <c:crossBetween val="midCat"/>
      </c:valAx>
      <c:spPr>
        <a:ln>
          <a:solidFill>
            <a:srgbClr val="808080"/>
          </a:solidFill>
        </a:ln>
      </c:spPr>
    </c:plotArea>
    <c:legend>
      <c:legendPos val="r"/>
      <c:layout>
        <c:manualLayout>
          <c:xMode val="edge"/>
          <c:yMode val="edge"/>
          <c:x val="0.67434401428988"/>
          <c:y val="0.586817057555126"/>
          <c:w val="0.219613772236804"/>
          <c:h val="0.217864874051433"/>
        </c:manualLayout>
      </c:layout>
      <c:overlay val="0"/>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9525">
      <a:noFill/>
    </a:ln>
  </c:spPr>
  <c:txPr>
    <a:bodyPr/>
    <a:lstStyle/>
    <a:p>
      <a:pPr>
        <a:defRPr sz="1000" b="0"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0"/>
            </a:pPr>
            <a:r>
              <a:rPr lang="en-US" b="0"/>
              <a:t>Comparing a Fixed Transfer Tax with Dynamic Salmon Savings (over 8 years: 2000 - 2007)</a:t>
            </a:r>
          </a:p>
        </c:rich>
      </c:tx>
      <c:layout>
        <c:manualLayout>
          <c:xMode val="edge"/>
          <c:yMode val="edge"/>
          <c:x val="0.129032159570658"/>
          <c:y val="0.0192678227360308"/>
        </c:manualLayout>
      </c:layout>
      <c:overlay val="0"/>
      <c:spPr>
        <a:noFill/>
        <a:ln w="25400">
          <a:noFill/>
        </a:ln>
      </c:spPr>
    </c:title>
    <c:autoTitleDeleted val="0"/>
    <c:plotArea>
      <c:layout>
        <c:manualLayout>
          <c:layoutTarget val="inner"/>
          <c:xMode val="edge"/>
          <c:yMode val="edge"/>
          <c:x val="0.239010954723298"/>
          <c:y val="0.232575629647198"/>
          <c:w val="0.745525129320041"/>
          <c:h val="0.59361240757476"/>
        </c:manualLayout>
      </c:layout>
      <c:barChart>
        <c:barDir val="col"/>
        <c:grouping val="clustered"/>
        <c:varyColors val="0"/>
        <c:ser>
          <c:idx val="0"/>
          <c:order val="0"/>
          <c:spPr>
            <a:pattFill prst="wdUpDiag">
              <a:fgClr>
                <a:srgbClr val="3366FF"/>
              </a:fgClr>
              <a:bgClr>
                <a:srgbClr val="FFFFFF"/>
              </a:bgClr>
            </a:pattFill>
            <a:ln w="12700">
              <a:solidFill>
                <a:srgbClr val="000000"/>
              </a:solidFill>
              <a:prstDash val="solid"/>
            </a:ln>
          </c:spPr>
          <c:invertIfNegative val="0"/>
          <c:cat>
            <c:strRef>
              <c:f>Sheet1!$E$43:$F$43</c:f>
              <c:strCache>
                <c:ptCount val="2"/>
                <c:pt idx="0">
                  <c:v>Fixed Transfer Tax (7596)</c:v>
                </c:pt>
                <c:pt idx="1">
                  <c:v>Dynamic Salmon Savings (33111)</c:v>
                </c:pt>
              </c:strCache>
            </c:strRef>
          </c:cat>
          <c:val>
            <c:numRef>
              <c:f>Sheet1!$E$44:$F$44</c:f>
              <c:numCache>
                <c:formatCode>General</c:formatCode>
                <c:ptCount val="2"/>
                <c:pt idx="0">
                  <c:v>7596.0</c:v>
                </c:pt>
                <c:pt idx="1">
                  <c:v>33111.0</c:v>
                </c:pt>
              </c:numCache>
            </c:numRef>
          </c:val>
        </c:ser>
        <c:dLbls>
          <c:showLegendKey val="0"/>
          <c:showVal val="0"/>
          <c:showCatName val="0"/>
          <c:showSerName val="0"/>
          <c:showPercent val="0"/>
          <c:showBubbleSize val="0"/>
        </c:dLbls>
        <c:gapWidth val="150"/>
        <c:axId val="2063626584"/>
        <c:axId val="2063629880"/>
      </c:barChart>
      <c:catAx>
        <c:axId val="206362658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b="1"/>
            </a:pPr>
            <a:endParaRPr lang="en-US"/>
          </a:p>
        </c:txPr>
        <c:crossAx val="2063629880"/>
        <c:crosses val="autoZero"/>
        <c:auto val="1"/>
        <c:lblAlgn val="ctr"/>
        <c:lblOffset val="100"/>
        <c:tickLblSkip val="1"/>
        <c:tickMarkSkip val="1"/>
        <c:noMultiLvlLbl val="0"/>
      </c:catAx>
      <c:valAx>
        <c:axId val="2063629880"/>
        <c:scaling>
          <c:orientation val="minMax"/>
        </c:scaling>
        <c:delete val="0"/>
        <c:axPos val="l"/>
        <c:majorGridlines>
          <c:spPr>
            <a:ln w="3175">
              <a:solidFill>
                <a:srgbClr val="000000"/>
              </a:solidFill>
              <a:prstDash val="solid"/>
            </a:ln>
          </c:spPr>
        </c:majorGridlines>
        <c:title>
          <c:tx>
            <c:rich>
              <a:bodyPr/>
              <a:lstStyle/>
              <a:p>
                <a:pPr>
                  <a:defRPr b="1"/>
                </a:pPr>
                <a:r>
                  <a:rPr lang="en-US" b="1"/>
                  <a:t>ITEC Recovered (Salmon Savings)</a:t>
                </a:r>
              </a:p>
            </c:rich>
          </c:tx>
          <c:layout>
            <c:manualLayout>
              <c:xMode val="edge"/>
              <c:yMode val="edge"/>
              <c:x val="0.0"/>
              <c:y val="0.19049518810148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a:pPr>
            <a:endParaRPr lang="en-US"/>
          </a:p>
        </c:txPr>
        <c:crossAx val="2063626584"/>
        <c:crosses val="autoZero"/>
        <c:crossBetween val="between"/>
      </c:valAx>
      <c:spPr>
        <a:solidFill>
          <a:srgbClr val="FFFFFF"/>
        </a:solidFill>
        <a:ln w="12700">
          <a:solidFill>
            <a:srgbClr val="000000"/>
          </a:solidFill>
          <a:prstDash val="solid"/>
        </a:ln>
      </c:spPr>
    </c:plotArea>
    <c:plotVisOnly val="1"/>
    <c:dispBlanksAs val="gap"/>
    <c:showDLblsOverMax val="0"/>
  </c:chart>
  <c:spPr>
    <a:solidFill>
      <a:srgbClr val="FFFFFF"/>
    </a:solidFill>
    <a:ln w="3175">
      <a:noFill/>
      <a:prstDash val="solid"/>
    </a:ln>
  </c:spPr>
  <c:txPr>
    <a:bodyPr/>
    <a:lstStyle/>
    <a:p>
      <a:pPr>
        <a:defRPr sz="1000" b="0" i="0" u="none" strike="noStrike" baseline="0">
          <a:solidFill>
            <a:srgbClr val="000000"/>
          </a:solidFill>
          <a:latin typeface="Arial" pitchFamily="34" charset="0"/>
          <a:ea typeface="Verdana"/>
          <a:cs typeface="Arial"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0" i="0" u="none" strike="noStrike" baseline="0">
                <a:solidFill>
                  <a:srgbClr val="000000"/>
                </a:solidFill>
                <a:latin typeface="Arial" pitchFamily="34" charset="0"/>
                <a:ea typeface="Verdana"/>
                <a:cs typeface="Arial" pitchFamily="34" charset="0"/>
              </a:defRPr>
            </a:pPr>
            <a:r>
              <a:rPr lang="en-US" b="0">
                <a:latin typeface="Arial" pitchFamily="34" charset="0"/>
                <a:cs typeface="Arial" pitchFamily="34" charset="0"/>
              </a:rPr>
              <a:t>Comparing Salmon</a:t>
            </a:r>
            <a:r>
              <a:rPr lang="en-US" b="0" baseline="0">
                <a:latin typeface="Arial" pitchFamily="34" charset="0"/>
                <a:cs typeface="Arial" pitchFamily="34" charset="0"/>
              </a:rPr>
              <a:t> Savings:</a:t>
            </a:r>
          </a:p>
          <a:p>
            <a:pPr>
              <a:defRPr sz="1200" b="0" i="0" u="none" strike="noStrike" baseline="0">
                <a:solidFill>
                  <a:srgbClr val="000000"/>
                </a:solidFill>
                <a:latin typeface="Arial" pitchFamily="34" charset="0"/>
                <a:ea typeface="Verdana"/>
                <a:cs typeface="Arial" pitchFamily="34" charset="0"/>
              </a:defRPr>
            </a:pPr>
            <a:r>
              <a:rPr lang="en-US" b="0">
                <a:latin typeface="Arial" pitchFamily="34" charset="0"/>
                <a:cs typeface="Arial" pitchFamily="34" charset="0"/>
              </a:rPr>
              <a:t>Fixed Transfer Tax vs. Dynamic Salmon Savings</a:t>
            </a:r>
          </a:p>
        </c:rich>
      </c:tx>
      <c:layout>
        <c:manualLayout>
          <c:xMode val="edge"/>
          <c:yMode val="edge"/>
          <c:x val="0.232693569553806"/>
          <c:y val="0.0115610732085161"/>
        </c:manualLayout>
      </c:layout>
      <c:overlay val="0"/>
      <c:spPr>
        <a:noFill/>
        <a:ln w="25400">
          <a:noFill/>
        </a:ln>
      </c:spPr>
    </c:title>
    <c:autoTitleDeleted val="0"/>
    <c:plotArea>
      <c:layout>
        <c:manualLayout>
          <c:layoutTarget val="inner"/>
          <c:xMode val="edge"/>
          <c:yMode val="edge"/>
          <c:x val="0.14862935807483"/>
          <c:y val="0.135305161676791"/>
          <c:w val="0.79798092247943"/>
          <c:h val="0.69603991590076"/>
        </c:manualLayout>
      </c:layout>
      <c:scatterChart>
        <c:scatterStyle val="lineMarker"/>
        <c:varyColors val="0"/>
        <c:ser>
          <c:idx val="0"/>
          <c:order val="0"/>
          <c:tx>
            <c:strRef>
              <c:f>Sheet1!$E$34</c:f>
              <c:strCache>
                <c:ptCount val="1"/>
                <c:pt idx="0">
                  <c:v>Fixed Transfer Tax</c:v>
                </c:pt>
              </c:strCache>
            </c:strRef>
          </c:tx>
          <c:spPr>
            <a:ln w="28575">
              <a:noFill/>
            </a:ln>
          </c:spPr>
          <c:marker>
            <c:symbol val="diamond"/>
            <c:size val="5"/>
            <c:spPr>
              <a:solidFill>
                <a:srgbClr val="DD0806"/>
              </a:solidFill>
              <a:ln>
                <a:solidFill>
                  <a:srgbClr val="DD0806"/>
                </a:solidFill>
                <a:prstDash val="solid"/>
              </a:ln>
            </c:spPr>
          </c:marker>
          <c:xVal>
            <c:numRef>
              <c:f>Sheet1!$D$35:$D$42</c:f>
              <c:numCache>
                <c:formatCode>General</c:formatCode>
                <c:ptCount val="8"/>
                <c:pt idx="0">
                  <c:v>1454.0</c:v>
                </c:pt>
                <c:pt idx="1">
                  <c:v>8866.0</c:v>
                </c:pt>
                <c:pt idx="2">
                  <c:v>19923.0</c:v>
                </c:pt>
                <c:pt idx="3">
                  <c:v>20471.0</c:v>
                </c:pt>
                <c:pt idx="4">
                  <c:v>31136.0</c:v>
                </c:pt>
                <c:pt idx="5">
                  <c:v>46354.0</c:v>
                </c:pt>
                <c:pt idx="6">
                  <c:v>55782.0</c:v>
                </c:pt>
                <c:pt idx="7">
                  <c:v>70148.0</c:v>
                </c:pt>
              </c:numCache>
            </c:numRef>
          </c:xVal>
          <c:yVal>
            <c:numRef>
              <c:f>Sheet1!$E$35:$E$42</c:f>
              <c:numCache>
                <c:formatCode>General</c:formatCode>
                <c:ptCount val="8"/>
                <c:pt idx="0">
                  <c:v>0.0</c:v>
                </c:pt>
                <c:pt idx="1">
                  <c:v>116.0</c:v>
                </c:pt>
                <c:pt idx="2">
                  <c:v>546.0</c:v>
                </c:pt>
                <c:pt idx="3">
                  <c:v>554.0</c:v>
                </c:pt>
                <c:pt idx="4">
                  <c:v>2058.0</c:v>
                </c:pt>
                <c:pt idx="5">
                  <c:v>2073.0</c:v>
                </c:pt>
                <c:pt idx="6">
                  <c:v>1281.0</c:v>
                </c:pt>
                <c:pt idx="7">
                  <c:v>968.0</c:v>
                </c:pt>
              </c:numCache>
            </c:numRef>
          </c:yVal>
          <c:smooth val="0"/>
        </c:ser>
        <c:ser>
          <c:idx val="1"/>
          <c:order val="1"/>
          <c:tx>
            <c:strRef>
              <c:f>Sheet1!$F$34</c:f>
              <c:strCache>
                <c:ptCount val="1"/>
                <c:pt idx="0">
                  <c:v>Dynamic Salmon Savings</c:v>
                </c:pt>
              </c:strCache>
            </c:strRef>
          </c:tx>
          <c:spPr>
            <a:ln w="28575">
              <a:noFill/>
            </a:ln>
          </c:spPr>
          <c:marker>
            <c:symbol val="square"/>
            <c:size val="5"/>
            <c:spPr>
              <a:solidFill>
                <a:srgbClr val="0000D4"/>
              </a:solidFill>
              <a:ln>
                <a:solidFill>
                  <a:srgbClr val="0000D4"/>
                </a:solidFill>
                <a:prstDash val="solid"/>
              </a:ln>
            </c:spPr>
          </c:marker>
          <c:xVal>
            <c:numRef>
              <c:f>Sheet1!$D$35:$D$42</c:f>
              <c:numCache>
                <c:formatCode>General</c:formatCode>
                <c:ptCount val="8"/>
                <c:pt idx="0">
                  <c:v>1454.0</c:v>
                </c:pt>
                <c:pt idx="1">
                  <c:v>8866.0</c:v>
                </c:pt>
                <c:pt idx="2">
                  <c:v>19923.0</c:v>
                </c:pt>
                <c:pt idx="3">
                  <c:v>20471.0</c:v>
                </c:pt>
                <c:pt idx="4">
                  <c:v>31136.0</c:v>
                </c:pt>
                <c:pt idx="5">
                  <c:v>46354.0</c:v>
                </c:pt>
                <c:pt idx="6">
                  <c:v>55782.0</c:v>
                </c:pt>
                <c:pt idx="7">
                  <c:v>70148.0</c:v>
                </c:pt>
              </c:numCache>
            </c:numRef>
          </c:xVal>
          <c:yVal>
            <c:numRef>
              <c:f>Sheet1!$F$35:$F$42</c:f>
              <c:numCache>
                <c:formatCode>General</c:formatCode>
                <c:ptCount val="8"/>
                <c:pt idx="0">
                  <c:v>13177.0</c:v>
                </c:pt>
                <c:pt idx="1">
                  <c:v>10208.0</c:v>
                </c:pt>
                <c:pt idx="2">
                  <c:v>2507.0</c:v>
                </c:pt>
                <c:pt idx="3">
                  <c:v>6513.0</c:v>
                </c:pt>
                <c:pt idx="4">
                  <c:v>706.0</c:v>
                </c:pt>
                <c:pt idx="5">
                  <c:v>0.0</c:v>
                </c:pt>
                <c:pt idx="6">
                  <c:v>0.0</c:v>
                </c:pt>
                <c:pt idx="7">
                  <c:v>0.0</c:v>
                </c:pt>
              </c:numCache>
            </c:numRef>
          </c:yVal>
          <c:smooth val="0"/>
        </c:ser>
        <c:dLbls>
          <c:showLegendKey val="0"/>
          <c:showVal val="0"/>
          <c:showCatName val="0"/>
          <c:showSerName val="0"/>
          <c:showPercent val="0"/>
          <c:showBubbleSize val="0"/>
        </c:dLbls>
        <c:axId val="2065057800"/>
        <c:axId val="2065049800"/>
      </c:scatterChart>
      <c:valAx>
        <c:axId val="2065057800"/>
        <c:scaling>
          <c:orientation val="minMax"/>
        </c:scaling>
        <c:delete val="0"/>
        <c:axPos val="b"/>
        <c:title>
          <c:tx>
            <c:rich>
              <a:bodyPr/>
              <a:lstStyle/>
              <a:p>
                <a:pPr>
                  <a:defRPr sz="1000" b="1" i="0" u="none" strike="noStrike" baseline="0">
                    <a:solidFill>
                      <a:srgbClr val="000000"/>
                    </a:solidFill>
                    <a:latin typeface="Arial" pitchFamily="34" charset="0"/>
                    <a:ea typeface="Verdana"/>
                    <a:cs typeface="Arial" pitchFamily="34" charset="0"/>
                  </a:defRPr>
                </a:pPr>
                <a:r>
                  <a:rPr lang="en-US" sz="1000">
                    <a:latin typeface="Arial" pitchFamily="34" charset="0"/>
                    <a:cs typeface="Arial" pitchFamily="34" charset="0"/>
                  </a:rPr>
                  <a:t>Yearly Bycatch</a:t>
                </a:r>
              </a:p>
            </c:rich>
          </c:tx>
          <c:layout>
            <c:manualLayout>
              <c:xMode val="edge"/>
              <c:yMode val="edge"/>
              <c:x val="0.455688611840187"/>
              <c:y val="0.932550434107139"/>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2065049800"/>
        <c:crosses val="autoZero"/>
        <c:crossBetween val="midCat"/>
      </c:valAx>
      <c:valAx>
        <c:axId val="2065049800"/>
        <c:scaling>
          <c:orientation val="minMax"/>
        </c:scaling>
        <c:delete val="0"/>
        <c:axPos val="l"/>
        <c:majorGridlines>
          <c:spPr>
            <a:ln w="3175">
              <a:solidFill>
                <a:srgbClr val="000000"/>
              </a:solidFill>
              <a:prstDash val="solid"/>
            </a:ln>
          </c:spPr>
        </c:majorGridlines>
        <c:title>
          <c:tx>
            <c:rich>
              <a:bodyPr/>
              <a:lstStyle/>
              <a:p>
                <a:pPr>
                  <a:defRPr sz="1000" b="1" i="0" u="none" strike="noStrike" baseline="0">
                    <a:solidFill>
                      <a:srgbClr val="000000"/>
                    </a:solidFill>
                    <a:latin typeface="Arial" pitchFamily="34" charset="0"/>
                    <a:ea typeface="Verdana"/>
                    <a:cs typeface="Arial" pitchFamily="34" charset="0"/>
                  </a:defRPr>
                </a:pPr>
                <a:r>
                  <a:rPr lang="en-US" sz="1000">
                    <a:latin typeface="Arial" pitchFamily="34" charset="0"/>
                    <a:cs typeface="Arial" pitchFamily="34" charset="0"/>
                  </a:rPr>
                  <a:t>ITEC Recovered (Salmon Savings)</a:t>
                </a:r>
              </a:p>
            </c:rich>
          </c:tx>
          <c:layout>
            <c:manualLayout>
              <c:xMode val="edge"/>
              <c:yMode val="edge"/>
              <c:x val="0.0204912146398367"/>
              <c:y val="0.13382156192888"/>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pitchFamily="34" charset="0"/>
                <a:ea typeface="Verdana"/>
                <a:cs typeface="Arial" pitchFamily="34" charset="0"/>
              </a:defRPr>
            </a:pPr>
            <a:endParaRPr lang="en-US"/>
          </a:p>
        </c:txPr>
        <c:crossAx val="2065057800"/>
        <c:crosses val="autoZero"/>
        <c:crossBetween val="midCat"/>
      </c:valAx>
      <c:spPr>
        <a:solidFill>
          <a:srgbClr val="FFFFFF"/>
        </a:solidFill>
        <a:ln w="12700">
          <a:solidFill>
            <a:srgbClr val="000000"/>
          </a:solidFill>
          <a:prstDash val="solid"/>
        </a:ln>
      </c:spPr>
    </c:plotArea>
    <c:legend>
      <c:legendPos val="r"/>
      <c:layout>
        <c:manualLayout>
          <c:xMode val="edge"/>
          <c:yMode val="edge"/>
          <c:x val="0.531506472455816"/>
          <c:y val="0.169359664871335"/>
          <c:w val="0.409331935491066"/>
          <c:h val="0.138240574506284"/>
        </c:manualLayout>
      </c:layout>
      <c:overlay val="0"/>
      <c:spPr>
        <a:solidFill>
          <a:srgbClr val="FFFFFF"/>
        </a:solidFill>
        <a:ln w="12700">
          <a:solidFill>
            <a:srgbClr val="000000"/>
          </a:solidFill>
          <a:prstDash val="solid"/>
        </a:ln>
      </c:spPr>
      <c:txPr>
        <a:bodyPr/>
        <a:lstStyle/>
        <a:p>
          <a:pPr>
            <a:defRPr sz="1000" b="0" i="0" u="none" strike="noStrike" baseline="0">
              <a:solidFill>
                <a:srgbClr val="000000"/>
              </a:solidFill>
              <a:latin typeface="Arial" pitchFamily="34" charset="0"/>
              <a:ea typeface="Verdana"/>
              <a:cs typeface="Arial" pitchFamily="34" charset="0"/>
            </a:defRPr>
          </a:pPr>
          <a:endParaRPr lang="en-US"/>
        </a:p>
      </c:txPr>
    </c:legend>
    <c:plotVisOnly val="1"/>
    <c:dispBlanksAs val="gap"/>
    <c:showDLblsOverMax val="0"/>
  </c:chart>
  <c:spPr>
    <a:solidFill>
      <a:srgbClr val="FFFFFF"/>
    </a:solidFill>
    <a:ln w="3175">
      <a:noFill/>
      <a:prstDash val="solid"/>
    </a:ln>
  </c:spPr>
  <c:txPr>
    <a:bodyPr/>
    <a:lstStyle/>
    <a:p>
      <a:pPr>
        <a:defRPr sz="1125" b="0" i="0" u="none" strike="noStrike" baseline="0">
          <a:solidFill>
            <a:srgbClr val="000000"/>
          </a:solidFill>
          <a:latin typeface="Verdana"/>
          <a:ea typeface="Verdana"/>
          <a:cs typeface="Verdana"/>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0" i="0" u="none" strike="noStrike" baseline="0">
                <a:solidFill>
                  <a:srgbClr val="000000"/>
                </a:solidFill>
                <a:latin typeface="Arial"/>
                <a:ea typeface="Verdana"/>
                <a:cs typeface="Arial"/>
              </a:defRPr>
            </a:pPr>
            <a:r>
              <a:rPr lang="en-US" b="0">
                <a:latin typeface="Arial"/>
                <a:cs typeface="Arial"/>
              </a:rPr>
              <a:t>Revenue Loss (under the PPA hardcap without trading)</a:t>
            </a:r>
          </a:p>
        </c:rich>
      </c:tx>
      <c:layout>
        <c:manualLayout>
          <c:xMode val="edge"/>
          <c:yMode val="edge"/>
          <c:x val="0.24962962962963"/>
          <c:y val="0.0298207404925448"/>
        </c:manualLayout>
      </c:layout>
      <c:overlay val="0"/>
      <c:spPr>
        <a:noFill/>
        <a:ln w="25400">
          <a:noFill/>
        </a:ln>
      </c:spPr>
    </c:title>
    <c:autoTitleDeleted val="0"/>
    <c:plotArea>
      <c:layout>
        <c:manualLayout>
          <c:layoutTarget val="inner"/>
          <c:xMode val="edge"/>
          <c:yMode val="edge"/>
          <c:x val="0.221151392534267"/>
          <c:y val="0.122004357298475"/>
          <c:w val="0.751099081364829"/>
          <c:h val="0.706152990450662"/>
        </c:manualLayout>
      </c:layout>
      <c:barChart>
        <c:barDir val="col"/>
        <c:grouping val="clustered"/>
        <c:varyColors val="0"/>
        <c:ser>
          <c:idx val="0"/>
          <c:order val="0"/>
          <c:tx>
            <c:v>lost revenue</c:v>
          </c:tx>
          <c:spPr>
            <a:solidFill>
              <a:srgbClr val="FF6600"/>
            </a:solidFill>
            <a:ln w="25400">
              <a:solidFill>
                <a:srgbClr val="DD0806"/>
              </a:solidFill>
              <a:prstDash val="solid"/>
            </a:ln>
          </c:spPr>
          <c:invertIfNegative val="0"/>
          <c:cat>
            <c:numRef>
              <c:f>Sheet1!$A$18:$A$25</c:f>
              <c:numCache>
                <c:formatCode>General</c:formatCode>
                <c:ptCount val="8"/>
                <c:pt idx="0">
                  <c:v>2000.0</c:v>
                </c:pt>
                <c:pt idx="1">
                  <c:v>2001.0</c:v>
                </c:pt>
                <c:pt idx="2">
                  <c:v>2002.0</c:v>
                </c:pt>
                <c:pt idx="3">
                  <c:v>2003.0</c:v>
                </c:pt>
                <c:pt idx="4">
                  <c:v>2004.0</c:v>
                </c:pt>
                <c:pt idx="5">
                  <c:v>2005.0</c:v>
                </c:pt>
                <c:pt idx="6">
                  <c:v>2006.0</c:v>
                </c:pt>
                <c:pt idx="7">
                  <c:v>2007.0</c:v>
                </c:pt>
              </c:numCache>
            </c:numRef>
          </c:cat>
          <c:val>
            <c:numRef>
              <c:f>Sheet1!$G$18:$G$25</c:f>
              <c:numCache>
                <c:formatCode>\$#,##0</c:formatCode>
                <c:ptCount val="8"/>
                <c:pt idx="0">
                  <c:v>0.0</c:v>
                </c:pt>
                <c:pt idx="1">
                  <c:v>0.0</c:v>
                </c:pt>
                <c:pt idx="2">
                  <c:v>-6.190525265664E6</c:v>
                </c:pt>
                <c:pt idx="3">
                  <c:v>-674694.725792</c:v>
                </c:pt>
                <c:pt idx="4">
                  <c:v>-1.351474209528E6</c:v>
                </c:pt>
                <c:pt idx="5">
                  <c:v>-4.908894547816E6</c:v>
                </c:pt>
                <c:pt idx="6">
                  <c:v>-4.3545391211448E7</c:v>
                </c:pt>
                <c:pt idx="7">
                  <c:v>-6.2042865199584E7</c:v>
                </c:pt>
              </c:numCache>
            </c:numRef>
          </c:val>
        </c:ser>
        <c:dLbls>
          <c:showLegendKey val="0"/>
          <c:showVal val="0"/>
          <c:showCatName val="0"/>
          <c:showSerName val="0"/>
          <c:showPercent val="0"/>
          <c:showBubbleSize val="0"/>
        </c:dLbls>
        <c:gapWidth val="150"/>
        <c:axId val="2065018072"/>
        <c:axId val="2065014632"/>
      </c:barChart>
      <c:catAx>
        <c:axId val="2065018072"/>
        <c:scaling>
          <c:orientation val="minMax"/>
        </c:scaling>
        <c:delete val="0"/>
        <c:axPos val="t"/>
        <c:numFmt formatCode="General" sourceLinked="1"/>
        <c:majorTickMark val="out"/>
        <c:minorTickMark val="none"/>
        <c:tickLblPos val="nextTo"/>
        <c:spPr>
          <a:ln w="3175">
            <a:solidFill>
              <a:srgbClr val="000000"/>
            </a:solidFill>
            <a:prstDash val="solid"/>
          </a:ln>
        </c:spPr>
        <c:txPr>
          <a:bodyPr rot="-5400000" vert="horz"/>
          <a:lstStyle/>
          <a:p>
            <a:pPr>
              <a:defRPr sz="1000" b="0" i="0" u="none" strike="noStrike" baseline="0">
                <a:solidFill>
                  <a:srgbClr val="000000"/>
                </a:solidFill>
                <a:latin typeface="Verdana"/>
                <a:ea typeface="Verdana"/>
                <a:cs typeface="Verdana"/>
              </a:defRPr>
            </a:pPr>
            <a:endParaRPr lang="en-US"/>
          </a:p>
        </c:txPr>
        <c:crossAx val="2065014632"/>
        <c:crosses val="autoZero"/>
        <c:auto val="1"/>
        <c:lblAlgn val="ctr"/>
        <c:lblOffset val="100"/>
        <c:tickMarkSkip val="1"/>
        <c:noMultiLvlLbl val="0"/>
      </c:catAx>
      <c:valAx>
        <c:axId val="2065014632"/>
        <c:scaling>
          <c:orientation val="maxMin"/>
        </c:scaling>
        <c:delete val="0"/>
        <c:axPos val="l"/>
        <c:title>
          <c:tx>
            <c:rich>
              <a:bodyPr/>
              <a:lstStyle/>
              <a:p>
                <a:pPr>
                  <a:defRPr sz="1000" b="1" i="0" u="none" strike="noStrike" baseline="0">
                    <a:solidFill>
                      <a:srgbClr val="000000"/>
                    </a:solidFill>
                    <a:latin typeface="Arial"/>
                    <a:ea typeface="Verdana"/>
                    <a:cs typeface="Arial"/>
                  </a:defRPr>
                </a:pPr>
                <a:r>
                  <a:rPr lang="en-US">
                    <a:latin typeface="Arial"/>
                    <a:cs typeface="Arial"/>
                  </a:rPr>
                  <a:t>revenue loss ($)</a:t>
                </a:r>
              </a:p>
            </c:rich>
          </c:tx>
          <c:layout>
            <c:manualLayout>
              <c:xMode val="edge"/>
              <c:yMode val="edge"/>
              <c:x val="0.0133333333333333"/>
              <c:y val="0.392156862745098"/>
            </c:manualLayout>
          </c:layout>
          <c:overlay val="0"/>
          <c:spPr>
            <a:noFill/>
            <a:ln w="25400">
              <a:noFill/>
            </a:ln>
          </c:spPr>
        </c:title>
        <c:numFmt formatCode="\$#,##0"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Arial"/>
                <a:ea typeface="Verdana"/>
                <a:cs typeface="Arial"/>
              </a:defRPr>
            </a:pPr>
            <a:endParaRPr lang="en-US"/>
          </a:p>
        </c:txPr>
        <c:crossAx val="2065018072"/>
        <c:crosses val="autoZero"/>
        <c:crossBetween val="between"/>
      </c:valAx>
      <c:dTable>
        <c:showHorzBorder val="1"/>
        <c:showVertBorder val="1"/>
        <c:showOutline val="1"/>
        <c:showKeys val="1"/>
        <c:spPr>
          <a:ln w="3175">
            <a:solidFill>
              <a:srgbClr val="000000"/>
            </a:solidFill>
            <a:prstDash val="solid"/>
          </a:ln>
        </c:spPr>
        <c:txPr>
          <a:bodyPr/>
          <a:lstStyle/>
          <a:p>
            <a:pPr rtl="0">
              <a:defRPr sz="600" b="0" i="0" u="none" strike="noStrike" baseline="0">
                <a:solidFill>
                  <a:srgbClr val="000000"/>
                </a:solidFill>
                <a:latin typeface="Arial"/>
                <a:ea typeface="Verdana"/>
                <a:cs typeface="Arial"/>
              </a:defRPr>
            </a:pPr>
            <a:endParaRPr lang="en-US"/>
          </a:p>
        </c:txPr>
      </c:dTable>
      <c:spPr>
        <a:solidFill>
          <a:srgbClr val="FFFFFF"/>
        </a:solidFill>
        <a:ln w="12700">
          <a:solidFill>
            <a:srgbClr val="000000"/>
          </a:solidFill>
          <a:prstDash val="solid"/>
        </a:ln>
      </c:spPr>
    </c:plotArea>
    <c:plotVisOnly val="1"/>
    <c:dispBlanksAs val="gap"/>
    <c:showDLblsOverMax val="0"/>
  </c:chart>
  <c:spPr>
    <a:noFill/>
    <a:ln w="9525">
      <a:noFill/>
    </a:ln>
  </c:spPr>
  <c:txPr>
    <a:bodyPr rot="0" vert="horz"/>
    <a:lstStyle/>
    <a:p>
      <a:pPr>
        <a:defRPr sz="10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0" i="0" u="none" strike="noStrike" baseline="0">
                <a:solidFill>
                  <a:srgbClr val="000000"/>
                </a:solidFill>
                <a:latin typeface="Arial"/>
                <a:ea typeface="Verdana"/>
                <a:cs typeface="Arial"/>
              </a:defRPr>
            </a:pPr>
            <a:r>
              <a:rPr lang="en-US" b="0">
                <a:latin typeface="Arial"/>
                <a:cs typeface="Arial"/>
              </a:rPr>
              <a:t>Revenue Gain (under the</a:t>
            </a:r>
            <a:r>
              <a:rPr lang="en-US" b="0" baseline="0">
                <a:latin typeface="Arial"/>
                <a:cs typeface="Arial"/>
              </a:rPr>
              <a:t> PPA hardcap </a:t>
            </a:r>
            <a:r>
              <a:rPr lang="en-US" b="0">
                <a:latin typeface="Arial"/>
                <a:cs typeface="Arial"/>
              </a:rPr>
              <a:t>with trading)</a:t>
            </a:r>
          </a:p>
        </c:rich>
      </c:tx>
      <c:layout>
        <c:manualLayout>
          <c:xMode val="edge"/>
          <c:yMode val="edge"/>
          <c:x val="0.249166666666667"/>
          <c:y val="0.0272340425531915"/>
        </c:manualLayout>
      </c:layout>
      <c:overlay val="0"/>
      <c:spPr>
        <a:noFill/>
        <a:ln w="25400">
          <a:noFill/>
        </a:ln>
      </c:spPr>
    </c:title>
    <c:autoTitleDeleted val="0"/>
    <c:plotArea>
      <c:layout>
        <c:manualLayout>
          <c:layoutTarget val="inner"/>
          <c:xMode val="edge"/>
          <c:yMode val="edge"/>
          <c:x val="0.208148148148148"/>
          <c:y val="0.122004357298475"/>
          <c:w val="0.752222222222222"/>
          <c:h val="0.753812636165577"/>
        </c:manualLayout>
      </c:layout>
      <c:barChart>
        <c:barDir val="col"/>
        <c:grouping val="clustered"/>
        <c:varyColors val="0"/>
        <c:ser>
          <c:idx val="0"/>
          <c:order val="0"/>
          <c:tx>
            <c:v>revenue gain</c:v>
          </c:tx>
          <c:spPr>
            <a:solidFill>
              <a:srgbClr val="63AAFE"/>
            </a:solidFill>
            <a:ln w="25400">
              <a:solidFill>
                <a:srgbClr val="0000D4"/>
              </a:solidFill>
              <a:prstDash val="solid"/>
            </a:ln>
          </c:spPr>
          <c:invertIfNegative val="0"/>
          <c:cat>
            <c:numRef>
              <c:f>Sheet1!$A$5:$A$12</c:f>
              <c:numCache>
                <c:formatCode>General</c:formatCode>
                <c:ptCount val="8"/>
                <c:pt idx="0">
                  <c:v>2000.0</c:v>
                </c:pt>
                <c:pt idx="1">
                  <c:v>2001.0</c:v>
                </c:pt>
                <c:pt idx="2">
                  <c:v>2002.0</c:v>
                </c:pt>
                <c:pt idx="3">
                  <c:v>2003.0</c:v>
                </c:pt>
                <c:pt idx="4">
                  <c:v>2004.0</c:v>
                </c:pt>
                <c:pt idx="5">
                  <c:v>2005.0</c:v>
                </c:pt>
                <c:pt idx="6">
                  <c:v>2006.0</c:v>
                </c:pt>
                <c:pt idx="7">
                  <c:v>2007.0</c:v>
                </c:pt>
              </c:numCache>
            </c:numRef>
          </c:cat>
          <c:val>
            <c:numRef>
              <c:f>Sheet1!$G$5:$G$12</c:f>
              <c:numCache>
                <c:formatCode>\$#,##0</c:formatCode>
                <c:ptCount val="8"/>
                <c:pt idx="0">
                  <c:v>0.0</c:v>
                </c:pt>
                <c:pt idx="1">
                  <c:v>0.0</c:v>
                </c:pt>
                <c:pt idx="2">
                  <c:v>2.241817704464E6</c:v>
                </c:pt>
                <c:pt idx="3">
                  <c:v>674694.725792</c:v>
                </c:pt>
                <c:pt idx="4">
                  <c:v>1.056165394008E6</c:v>
                </c:pt>
                <c:pt idx="5">
                  <c:v>1.789403184616E6</c:v>
                </c:pt>
                <c:pt idx="6">
                  <c:v>4.391368930648E6</c:v>
                </c:pt>
                <c:pt idx="7">
                  <c:v>1.7203805625184E7</c:v>
                </c:pt>
              </c:numCache>
            </c:numRef>
          </c:val>
        </c:ser>
        <c:dLbls>
          <c:showLegendKey val="0"/>
          <c:showVal val="0"/>
          <c:showCatName val="0"/>
          <c:showSerName val="0"/>
          <c:showPercent val="0"/>
          <c:showBubbleSize val="0"/>
        </c:dLbls>
        <c:gapWidth val="150"/>
        <c:axId val="2066138920"/>
        <c:axId val="2066142360"/>
      </c:barChart>
      <c:catAx>
        <c:axId val="2066138920"/>
        <c:scaling>
          <c:orientation val="minMax"/>
        </c:scaling>
        <c:delete val="0"/>
        <c:axPos val="b"/>
        <c:numFmt formatCode="General" sourceLinked="1"/>
        <c:majorTickMark val="out"/>
        <c:minorTickMark val="none"/>
        <c:tickLblPos val="nextTo"/>
        <c:spPr>
          <a:ln w="3175">
            <a:solidFill>
              <a:srgbClr val="000000"/>
            </a:solidFill>
            <a:prstDash val="solid"/>
          </a:ln>
        </c:spPr>
        <c:txPr>
          <a:bodyPr rot="-5400000" vert="horz"/>
          <a:lstStyle/>
          <a:p>
            <a:pPr>
              <a:defRPr sz="1000" b="0" i="0" u="none" strike="noStrike" baseline="0">
                <a:solidFill>
                  <a:srgbClr val="000000"/>
                </a:solidFill>
                <a:latin typeface="Verdana"/>
                <a:ea typeface="Verdana"/>
                <a:cs typeface="Verdana"/>
              </a:defRPr>
            </a:pPr>
            <a:endParaRPr lang="en-US"/>
          </a:p>
        </c:txPr>
        <c:crossAx val="2066142360"/>
        <c:crosses val="autoZero"/>
        <c:auto val="1"/>
        <c:lblAlgn val="ctr"/>
        <c:lblOffset val="100"/>
        <c:tickMarkSkip val="1"/>
        <c:noMultiLvlLbl val="0"/>
      </c:catAx>
      <c:valAx>
        <c:axId val="2066142360"/>
        <c:scaling>
          <c:orientation val="minMax"/>
        </c:scaling>
        <c:delete val="0"/>
        <c:axPos val="l"/>
        <c:title>
          <c:tx>
            <c:rich>
              <a:bodyPr/>
              <a:lstStyle/>
              <a:p>
                <a:pPr>
                  <a:defRPr sz="1000" b="1" i="0" u="none" strike="noStrike" baseline="0">
                    <a:solidFill>
                      <a:srgbClr val="000000"/>
                    </a:solidFill>
                    <a:latin typeface="Arial"/>
                    <a:ea typeface="Verdana"/>
                    <a:cs typeface="Arial"/>
                  </a:defRPr>
                </a:pPr>
                <a:r>
                  <a:rPr lang="en-US">
                    <a:latin typeface="Arial"/>
                    <a:cs typeface="Arial"/>
                  </a:rPr>
                  <a:t>revenue gain ($)</a:t>
                </a:r>
              </a:p>
            </c:rich>
          </c:tx>
          <c:layout>
            <c:manualLayout>
              <c:xMode val="edge"/>
              <c:yMode val="edge"/>
              <c:x val="0.0133333333333333"/>
              <c:y val="0.389978213507625"/>
            </c:manualLayout>
          </c:layout>
          <c:overlay val="0"/>
          <c:spPr>
            <a:noFill/>
            <a:ln w="25400">
              <a:noFill/>
            </a:ln>
          </c:spPr>
        </c:title>
        <c:numFmt formatCode="\$#,##0"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Arial"/>
                <a:ea typeface="Verdana"/>
                <a:cs typeface="Arial"/>
              </a:defRPr>
            </a:pPr>
            <a:endParaRPr lang="en-US"/>
          </a:p>
        </c:txPr>
        <c:crossAx val="2066138920"/>
        <c:crosses val="autoZero"/>
        <c:crossBetween val="between"/>
      </c:valAx>
      <c:dTable>
        <c:showHorzBorder val="1"/>
        <c:showVertBorder val="1"/>
        <c:showOutline val="1"/>
        <c:showKeys val="1"/>
        <c:spPr>
          <a:ln w="3175">
            <a:solidFill>
              <a:srgbClr val="000000"/>
            </a:solidFill>
            <a:prstDash val="solid"/>
          </a:ln>
        </c:spPr>
        <c:txPr>
          <a:bodyPr/>
          <a:lstStyle/>
          <a:p>
            <a:pPr rtl="0">
              <a:defRPr sz="600" b="0" i="0" u="none" strike="noStrike" baseline="0">
                <a:solidFill>
                  <a:srgbClr val="000000"/>
                </a:solidFill>
                <a:latin typeface="Verdana"/>
                <a:ea typeface="Verdana"/>
                <a:cs typeface="Verdana"/>
              </a:defRPr>
            </a:pPr>
            <a:endParaRPr lang="en-US"/>
          </a:p>
        </c:txPr>
      </c:dTable>
      <c:spPr>
        <a:solidFill>
          <a:srgbClr val="FFFFFF"/>
        </a:solidFill>
        <a:ln w="12700">
          <a:solidFill>
            <a:srgbClr val="000000"/>
          </a:solidFill>
          <a:prstDash val="solid"/>
        </a:ln>
      </c:spPr>
    </c:plotArea>
    <c:plotVisOnly val="1"/>
    <c:dispBlanksAs val="gap"/>
    <c:showDLblsOverMax val="0"/>
  </c:chart>
  <c:spPr>
    <a:noFill/>
    <a:ln w="9525">
      <a:noFill/>
    </a:ln>
  </c:spPr>
  <c:txPr>
    <a:bodyPr/>
    <a:lstStyle/>
    <a:p>
      <a:pPr>
        <a:defRPr sz="1000" b="0" i="0" u="none" strike="noStrike" baseline="0">
          <a:solidFill>
            <a:srgbClr val="000000"/>
          </a:solidFill>
          <a:latin typeface="Verdana"/>
          <a:ea typeface="Verdana"/>
          <a:cs typeface="Verdana"/>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0" i="0" u="none" strike="noStrike" baseline="0">
                <a:solidFill>
                  <a:srgbClr val="000000"/>
                </a:solidFill>
                <a:latin typeface="Arial"/>
                <a:ea typeface="Arial"/>
                <a:cs typeface="Arial"/>
              </a:defRPr>
            </a:pPr>
            <a:r>
              <a:rPr lang="en-US"/>
              <a:t>Bonus Credits if 10 fewer salmon caught</a:t>
            </a:r>
          </a:p>
        </c:rich>
      </c:tx>
      <c:layout>
        <c:manualLayout>
          <c:xMode val="edge"/>
          <c:yMode val="edge"/>
          <c:x val="0.22838517376215"/>
          <c:y val="0.0108225336988757"/>
        </c:manualLayout>
      </c:layout>
      <c:overlay val="0"/>
      <c:spPr>
        <a:noFill/>
        <a:ln w="25400">
          <a:noFill/>
        </a:ln>
      </c:spPr>
    </c:title>
    <c:autoTitleDeleted val="0"/>
    <c:plotArea>
      <c:layout>
        <c:manualLayout>
          <c:layoutTarget val="inner"/>
          <c:xMode val="edge"/>
          <c:yMode val="edge"/>
          <c:x val="0.09298539217459"/>
          <c:y val="0.120203603190378"/>
          <c:w val="0.884176886993468"/>
          <c:h val="0.75429911066942"/>
        </c:manualLayout>
      </c:layout>
      <c:barChart>
        <c:barDir val="col"/>
        <c:grouping val="clustered"/>
        <c:varyColors val="0"/>
        <c:ser>
          <c:idx val="1"/>
          <c:order val="0"/>
          <c:tx>
            <c:strRef>
              <c:f>bonus_credits!$CC$10</c:f>
              <c:strCache>
                <c:ptCount val="1"/>
                <c:pt idx="0">
                  <c:v>high salmon encounter (2006-2007, mean=1.11)</c:v>
                </c:pt>
              </c:strCache>
            </c:strRef>
          </c:tx>
          <c:spPr>
            <a:solidFill>
              <a:srgbClr val="DD0806"/>
            </a:solidFill>
            <a:ln w="25400">
              <a:noFill/>
            </a:ln>
          </c:spPr>
          <c:invertIfNegative val="0"/>
          <c:cat>
            <c:numRef>
              <c:f>bonus_credits!$CA$13:$CA$23</c:f>
              <c:numCache>
                <c:formatCode>General</c:formatCode>
                <c:ptCount val="11"/>
                <c:pt idx="0">
                  <c:v>0.0</c:v>
                </c:pt>
                <c:pt idx="1">
                  <c:v>1.0</c:v>
                </c:pt>
                <c:pt idx="2">
                  <c:v>2.0</c:v>
                </c:pt>
                <c:pt idx="3">
                  <c:v>3.0</c:v>
                </c:pt>
                <c:pt idx="4">
                  <c:v>4.0</c:v>
                </c:pt>
                <c:pt idx="5">
                  <c:v>5.0</c:v>
                </c:pt>
                <c:pt idx="6">
                  <c:v>6.0</c:v>
                </c:pt>
                <c:pt idx="7">
                  <c:v>7.0</c:v>
                </c:pt>
                <c:pt idx="8">
                  <c:v>8.0</c:v>
                </c:pt>
                <c:pt idx="9">
                  <c:v>9.0</c:v>
                </c:pt>
                <c:pt idx="10">
                  <c:v>10.0</c:v>
                </c:pt>
              </c:numCache>
            </c:numRef>
          </c:cat>
          <c:val>
            <c:numRef>
              <c:f>bonus_credits!$CC$13:$CC$23</c:f>
              <c:numCache>
                <c:formatCode>General</c:formatCode>
                <c:ptCount val="11"/>
                <c:pt idx="0">
                  <c:v>12.0</c:v>
                </c:pt>
                <c:pt idx="1">
                  <c:v>43.0</c:v>
                </c:pt>
                <c:pt idx="2">
                  <c:v>14.0</c:v>
                </c:pt>
                <c:pt idx="3">
                  <c:v>3.0</c:v>
                </c:pt>
                <c:pt idx="4">
                  <c:v>0.0</c:v>
                </c:pt>
                <c:pt idx="5">
                  <c:v>0.0</c:v>
                </c:pt>
                <c:pt idx="6">
                  <c:v>0.0</c:v>
                </c:pt>
                <c:pt idx="7">
                  <c:v>0.0</c:v>
                </c:pt>
                <c:pt idx="8">
                  <c:v>0.0</c:v>
                </c:pt>
                <c:pt idx="9">
                  <c:v>0.0</c:v>
                </c:pt>
                <c:pt idx="10">
                  <c:v>0.0</c:v>
                </c:pt>
              </c:numCache>
            </c:numRef>
          </c:val>
        </c:ser>
        <c:ser>
          <c:idx val="0"/>
          <c:order val="1"/>
          <c:tx>
            <c:strRef>
              <c:f>bonus_credits!$CB$10</c:f>
              <c:strCache>
                <c:ptCount val="1"/>
                <c:pt idx="0">
                  <c:v>low salmon encounter (2003-2004, mean=2.44)</c:v>
                </c:pt>
              </c:strCache>
            </c:strRef>
          </c:tx>
          <c:spPr>
            <a:solidFill>
              <a:srgbClr val="0000D4"/>
            </a:solidFill>
            <a:ln w="25400">
              <a:noFill/>
            </a:ln>
            <a:effectLst/>
          </c:spPr>
          <c:invertIfNegative val="0"/>
          <c:val>
            <c:numRef>
              <c:f>bonus_credits!$CB$13:$CB$23</c:f>
              <c:numCache>
                <c:formatCode>General</c:formatCode>
                <c:ptCount val="11"/>
                <c:pt idx="0">
                  <c:v>5.0</c:v>
                </c:pt>
                <c:pt idx="1">
                  <c:v>5.0</c:v>
                </c:pt>
                <c:pt idx="2">
                  <c:v>20.0</c:v>
                </c:pt>
                <c:pt idx="3">
                  <c:v>40.0</c:v>
                </c:pt>
                <c:pt idx="4">
                  <c:v>1.0</c:v>
                </c:pt>
                <c:pt idx="5">
                  <c:v>0.0</c:v>
                </c:pt>
                <c:pt idx="6">
                  <c:v>0.0</c:v>
                </c:pt>
                <c:pt idx="7">
                  <c:v>1.0</c:v>
                </c:pt>
                <c:pt idx="8">
                  <c:v>0.0</c:v>
                </c:pt>
                <c:pt idx="9">
                  <c:v>0.0</c:v>
                </c:pt>
                <c:pt idx="10">
                  <c:v>0.0</c:v>
                </c:pt>
              </c:numCache>
            </c:numRef>
          </c:val>
        </c:ser>
        <c:dLbls>
          <c:showLegendKey val="0"/>
          <c:showVal val="0"/>
          <c:showCatName val="0"/>
          <c:showSerName val="0"/>
          <c:showPercent val="0"/>
          <c:showBubbleSize val="0"/>
        </c:dLbls>
        <c:gapWidth val="10"/>
        <c:axId val="2066184312"/>
        <c:axId val="2066190456"/>
      </c:barChart>
      <c:catAx>
        <c:axId val="2066184312"/>
        <c:scaling>
          <c:orientation val="minMax"/>
        </c:scaling>
        <c:delete val="0"/>
        <c:axPos val="b"/>
        <c:title>
          <c:tx>
            <c:rich>
              <a:bodyPr/>
              <a:lstStyle/>
              <a:p>
                <a:pPr>
                  <a:defRPr sz="1000" b="0" i="0" u="none" strike="noStrike" baseline="0">
                    <a:solidFill>
                      <a:srgbClr val="000000"/>
                    </a:solidFill>
                    <a:latin typeface="Arial"/>
                    <a:ea typeface="Arial"/>
                    <a:cs typeface="Arial"/>
                  </a:defRPr>
                </a:pPr>
                <a:r>
                  <a:rPr lang="en-US" sz="1000"/>
                  <a:t>bonus credits</a:t>
                </a:r>
              </a:p>
            </c:rich>
          </c:tx>
          <c:layout>
            <c:manualLayout>
              <c:xMode val="edge"/>
              <c:yMode val="edge"/>
              <c:x val="0.461664315533489"/>
              <c:y val="0.935066911582858"/>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066190456"/>
        <c:crosses val="autoZero"/>
        <c:auto val="1"/>
        <c:lblAlgn val="ctr"/>
        <c:lblOffset val="100"/>
        <c:tickLblSkip val="1"/>
        <c:tickMarkSkip val="1"/>
        <c:noMultiLvlLbl val="0"/>
      </c:catAx>
      <c:valAx>
        <c:axId val="2066190456"/>
        <c:scaling>
          <c:orientation val="minMax"/>
          <c:max val="60.0"/>
        </c:scaling>
        <c:delete val="0"/>
        <c:axPos val="l"/>
        <c:title>
          <c:tx>
            <c:rich>
              <a:bodyPr/>
              <a:lstStyle/>
              <a:p>
                <a:pPr>
                  <a:defRPr sz="1000" b="0" i="0" u="none" strike="noStrike" baseline="0">
                    <a:solidFill>
                      <a:srgbClr val="000000"/>
                    </a:solidFill>
                    <a:latin typeface="Arial"/>
                    <a:ea typeface="Arial"/>
                    <a:cs typeface="Arial"/>
                  </a:defRPr>
                </a:pPr>
                <a:r>
                  <a:rPr lang="en-US" sz="1000"/>
                  <a:t>frequency</a:t>
                </a:r>
              </a:p>
            </c:rich>
          </c:tx>
          <c:layout>
            <c:manualLayout>
              <c:xMode val="edge"/>
              <c:yMode val="edge"/>
              <c:x val="0.00815661334864825"/>
              <c:y val="0.443723881653903"/>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2066184312"/>
        <c:crosses val="autoZero"/>
        <c:crossBetween val="between"/>
      </c:valAx>
      <c:spPr>
        <a:solidFill>
          <a:srgbClr val="FFFFFF"/>
        </a:solidFill>
        <a:ln w="12700">
          <a:solidFill>
            <a:srgbClr val="000000"/>
          </a:solidFill>
          <a:prstDash val="solid"/>
        </a:ln>
      </c:spPr>
    </c:plotArea>
    <c:legend>
      <c:legendPos val="r"/>
      <c:layout>
        <c:manualLayout>
          <c:xMode val="edge"/>
          <c:yMode val="edge"/>
          <c:x val="0.6710173707895"/>
          <c:y val="0.169553124041313"/>
          <c:w val="0.278956296857673"/>
          <c:h val="0.193362647850837"/>
        </c:manualLayout>
      </c:layout>
      <c:overlay val="0"/>
      <c:spPr>
        <a:noFill/>
        <a:ln w="12700">
          <a:solidFill>
            <a:srgbClr val="000000"/>
          </a:solidFill>
          <a:prstDash val="solid"/>
        </a:ln>
      </c:spPr>
      <c:txPr>
        <a:bodyPr/>
        <a:lstStyle/>
        <a:p>
          <a:pPr>
            <a:defRPr sz="900"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noFill/>
      <a:prstDash val="solid"/>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0"/>
            </a:pPr>
            <a:r>
              <a:rPr lang="en-US" sz="1200" b="0"/>
              <a:t>Credit Penalties if 10 more salmon caught</a:t>
            </a:r>
          </a:p>
        </c:rich>
      </c:tx>
      <c:layout/>
      <c:overlay val="0"/>
    </c:title>
    <c:autoTitleDeleted val="0"/>
    <c:plotArea>
      <c:layout>
        <c:manualLayout>
          <c:layoutTarget val="inner"/>
          <c:xMode val="edge"/>
          <c:yMode val="edge"/>
          <c:x val="0.0842151898153036"/>
          <c:y val="0.141994125734283"/>
          <c:w val="0.887256317747136"/>
          <c:h val="0.716854768153981"/>
        </c:manualLayout>
      </c:layout>
      <c:barChart>
        <c:barDir val="col"/>
        <c:grouping val="clustered"/>
        <c:varyColors val="0"/>
        <c:ser>
          <c:idx val="0"/>
          <c:order val="0"/>
          <c:tx>
            <c:strRef>
              <c:f>penalty_credits!$CC$10</c:f>
              <c:strCache>
                <c:ptCount val="1"/>
                <c:pt idx="0">
                  <c:v>high salmon encounter (2006-2007, mean=-1.13)</c:v>
                </c:pt>
              </c:strCache>
            </c:strRef>
          </c:tx>
          <c:spPr>
            <a:solidFill>
              <a:srgbClr val="DD0806"/>
            </a:solidFill>
            <a:ln w="25400">
              <a:noFill/>
            </a:ln>
          </c:spPr>
          <c:invertIfNegative val="0"/>
          <c:cat>
            <c:numRef>
              <c:f>penalty_credits!$CA$13:$CA$23</c:f>
              <c:numCache>
                <c:formatCode>General</c:formatCode>
                <c:ptCount val="11"/>
                <c:pt idx="0">
                  <c:v>-10.0</c:v>
                </c:pt>
                <c:pt idx="1">
                  <c:v>-9.0</c:v>
                </c:pt>
                <c:pt idx="2">
                  <c:v>-8.0</c:v>
                </c:pt>
                <c:pt idx="3">
                  <c:v>-7.0</c:v>
                </c:pt>
                <c:pt idx="4">
                  <c:v>-6.0</c:v>
                </c:pt>
                <c:pt idx="5">
                  <c:v>-5.0</c:v>
                </c:pt>
                <c:pt idx="6">
                  <c:v>-4.0</c:v>
                </c:pt>
                <c:pt idx="7">
                  <c:v>-3.0</c:v>
                </c:pt>
                <c:pt idx="8">
                  <c:v>-2.0</c:v>
                </c:pt>
                <c:pt idx="9">
                  <c:v>-1.0</c:v>
                </c:pt>
                <c:pt idx="10">
                  <c:v>0.0</c:v>
                </c:pt>
              </c:numCache>
            </c:numRef>
          </c:cat>
          <c:val>
            <c:numRef>
              <c:f>penalty_credits!$CC$13:$CC$23</c:f>
              <c:numCache>
                <c:formatCode>General</c:formatCode>
                <c:ptCount val="11"/>
                <c:pt idx="0">
                  <c:v>0.0</c:v>
                </c:pt>
                <c:pt idx="1">
                  <c:v>0.0</c:v>
                </c:pt>
                <c:pt idx="2">
                  <c:v>0.0</c:v>
                </c:pt>
                <c:pt idx="3">
                  <c:v>0.0</c:v>
                </c:pt>
                <c:pt idx="4">
                  <c:v>0.0</c:v>
                </c:pt>
                <c:pt idx="5">
                  <c:v>0.0</c:v>
                </c:pt>
                <c:pt idx="6">
                  <c:v>0.0</c:v>
                </c:pt>
                <c:pt idx="7">
                  <c:v>5.0</c:v>
                </c:pt>
                <c:pt idx="8">
                  <c:v>8.0</c:v>
                </c:pt>
                <c:pt idx="9">
                  <c:v>50.0</c:v>
                </c:pt>
                <c:pt idx="10">
                  <c:v>9.0</c:v>
                </c:pt>
              </c:numCache>
            </c:numRef>
          </c:val>
        </c:ser>
        <c:ser>
          <c:idx val="1"/>
          <c:order val="1"/>
          <c:tx>
            <c:strRef>
              <c:f>penalty_credits!$CB$10</c:f>
              <c:strCache>
                <c:ptCount val="1"/>
                <c:pt idx="0">
                  <c:v>low salmon encounter (2003-2004, mean=-2.79)</c:v>
                </c:pt>
              </c:strCache>
            </c:strRef>
          </c:tx>
          <c:spPr>
            <a:solidFill>
              <a:srgbClr val="0000D4"/>
            </a:solidFill>
            <a:ln w="25400">
              <a:noFill/>
            </a:ln>
          </c:spPr>
          <c:invertIfNegative val="0"/>
          <c:cat>
            <c:numRef>
              <c:f>penalty_credits!$CA$13:$CA$23</c:f>
              <c:numCache>
                <c:formatCode>General</c:formatCode>
                <c:ptCount val="11"/>
                <c:pt idx="0">
                  <c:v>-10.0</c:v>
                </c:pt>
                <c:pt idx="1">
                  <c:v>-9.0</c:v>
                </c:pt>
                <c:pt idx="2">
                  <c:v>-8.0</c:v>
                </c:pt>
                <c:pt idx="3">
                  <c:v>-7.0</c:v>
                </c:pt>
                <c:pt idx="4">
                  <c:v>-6.0</c:v>
                </c:pt>
                <c:pt idx="5">
                  <c:v>-5.0</c:v>
                </c:pt>
                <c:pt idx="6">
                  <c:v>-4.0</c:v>
                </c:pt>
                <c:pt idx="7">
                  <c:v>-3.0</c:v>
                </c:pt>
                <c:pt idx="8">
                  <c:v>-2.0</c:v>
                </c:pt>
                <c:pt idx="9">
                  <c:v>-1.0</c:v>
                </c:pt>
                <c:pt idx="10">
                  <c:v>0.0</c:v>
                </c:pt>
              </c:numCache>
            </c:numRef>
          </c:cat>
          <c:val>
            <c:numRef>
              <c:f>penalty_credits!$CB$13:$CB$23</c:f>
              <c:numCache>
                <c:formatCode>General</c:formatCode>
                <c:ptCount val="11"/>
                <c:pt idx="0">
                  <c:v>1.0</c:v>
                </c:pt>
                <c:pt idx="1">
                  <c:v>0.0</c:v>
                </c:pt>
                <c:pt idx="2">
                  <c:v>0.0</c:v>
                </c:pt>
                <c:pt idx="3">
                  <c:v>1.0</c:v>
                </c:pt>
                <c:pt idx="4">
                  <c:v>0.0</c:v>
                </c:pt>
                <c:pt idx="5">
                  <c:v>1.0</c:v>
                </c:pt>
                <c:pt idx="6">
                  <c:v>2.0</c:v>
                </c:pt>
                <c:pt idx="7">
                  <c:v>46.0</c:v>
                </c:pt>
                <c:pt idx="8">
                  <c:v>14.0</c:v>
                </c:pt>
                <c:pt idx="9">
                  <c:v>5.0</c:v>
                </c:pt>
                <c:pt idx="10">
                  <c:v>2.0</c:v>
                </c:pt>
              </c:numCache>
            </c:numRef>
          </c:val>
        </c:ser>
        <c:dLbls>
          <c:showLegendKey val="0"/>
          <c:showVal val="0"/>
          <c:showCatName val="0"/>
          <c:showSerName val="0"/>
          <c:showPercent val="0"/>
          <c:showBubbleSize val="0"/>
        </c:dLbls>
        <c:gapWidth val="10"/>
        <c:axId val="2064985480"/>
        <c:axId val="2064979320"/>
      </c:barChart>
      <c:catAx>
        <c:axId val="2064985480"/>
        <c:scaling>
          <c:orientation val="minMax"/>
        </c:scaling>
        <c:delete val="0"/>
        <c:axPos val="b"/>
        <c:title>
          <c:tx>
            <c:rich>
              <a:bodyPr/>
              <a:lstStyle/>
              <a:p>
                <a:pPr>
                  <a:defRPr sz="1025" b="0" i="0" u="none" strike="noStrike" baseline="0">
                    <a:solidFill>
                      <a:srgbClr val="000000"/>
                    </a:solidFill>
                    <a:latin typeface="Arial"/>
                    <a:ea typeface="Arial"/>
                    <a:cs typeface="Arial"/>
                  </a:defRPr>
                </a:pPr>
                <a:r>
                  <a:rPr lang="en-US"/>
                  <a:t>credit penalties</a:t>
                </a:r>
              </a:p>
            </c:rich>
          </c:tx>
          <c:layout>
            <c:manualLayout>
              <c:xMode val="edge"/>
              <c:yMode val="edge"/>
              <c:x val="0.452615101318521"/>
              <c:y val="0.937916758242056"/>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n-US"/>
          </a:p>
        </c:txPr>
        <c:crossAx val="2064979320"/>
        <c:crosses val="autoZero"/>
        <c:auto val="1"/>
        <c:lblAlgn val="ctr"/>
        <c:lblOffset val="100"/>
        <c:tickLblSkip val="1"/>
        <c:tickMarkSkip val="1"/>
        <c:noMultiLvlLbl val="0"/>
      </c:catAx>
      <c:valAx>
        <c:axId val="2064979320"/>
        <c:scaling>
          <c:orientation val="minMax"/>
          <c:max val="60.0"/>
        </c:scaling>
        <c:delete val="0"/>
        <c:axPos val="l"/>
        <c:title>
          <c:tx>
            <c:rich>
              <a:bodyPr/>
              <a:lstStyle/>
              <a:p>
                <a:pPr>
                  <a:defRPr sz="1025" b="0" i="0" u="none" strike="noStrike" baseline="0">
                    <a:solidFill>
                      <a:srgbClr val="000000"/>
                    </a:solidFill>
                    <a:latin typeface="Arial"/>
                    <a:ea typeface="Arial"/>
                    <a:cs typeface="Arial"/>
                  </a:defRPr>
                </a:pPr>
                <a:r>
                  <a:rPr lang="en-US"/>
                  <a:t>frequency</a:t>
                </a:r>
              </a:p>
            </c:rich>
          </c:tx>
          <c:layout>
            <c:manualLayout>
              <c:xMode val="edge"/>
              <c:yMode val="edge"/>
              <c:x val="0.00816994767722965"/>
              <c:y val="0.44124216286092"/>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n-US"/>
          </a:p>
        </c:txPr>
        <c:crossAx val="2064985480"/>
        <c:crosses val="autoZero"/>
        <c:crossBetween val="between"/>
      </c:valAx>
      <c:spPr>
        <a:solidFill>
          <a:srgbClr val="FFFFFF"/>
        </a:solidFill>
        <a:ln w="12700">
          <a:solidFill>
            <a:srgbClr val="000000"/>
          </a:solidFill>
          <a:prstDash val="solid"/>
        </a:ln>
      </c:spPr>
    </c:plotArea>
    <c:legend>
      <c:legendPos val="r"/>
      <c:layout>
        <c:manualLayout>
          <c:xMode val="edge"/>
          <c:yMode val="edge"/>
          <c:x val="0.0954455651609684"/>
          <c:y val="0.176725721784777"/>
          <c:w val="0.299292432195975"/>
          <c:h val="0.195163606517724"/>
        </c:manualLayout>
      </c:layout>
      <c:overlay val="0"/>
      <c:spPr>
        <a:noFill/>
        <a:ln w="12700">
          <a:solidFill>
            <a:srgbClr val="000000"/>
          </a:solidFill>
          <a:prstDash val="solid"/>
        </a:ln>
      </c:spPr>
      <c:txPr>
        <a:bodyPr/>
        <a:lstStyle/>
        <a:p>
          <a:pPr>
            <a:defRPr sz="900"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noFill/>
      <a:prstDash val="solid"/>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3D85A-F922-8340-A580-4A909025D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TotalTime>
  <Pages>49</Pages>
  <Words>14779</Words>
  <Characters>84241</Characters>
  <Application>Microsoft Macintosh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Abstract</vt:lpstr>
    </vt:vector>
  </TitlesOfParts>
  <Company>Scripps Insititution of Oceanography</Company>
  <LinksUpToDate>false</LinksUpToDate>
  <CharactersWithSpaces>98823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george</dc:creator>
  <cp:keywords/>
  <cp:lastModifiedBy>Hao Ye</cp:lastModifiedBy>
  <cp:revision>131</cp:revision>
  <cp:lastPrinted>2009-01-31T00:30:00Z</cp:lastPrinted>
  <dcterms:created xsi:type="dcterms:W3CDTF">2009-03-11T06:53:00Z</dcterms:created>
  <dcterms:modified xsi:type="dcterms:W3CDTF">2016-12-03T16:50:00Z</dcterms:modified>
</cp:coreProperties>
</file>