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1F4E79"/>
          <w:sz w:val="52"/>
          <w:szCs w:val="52"/>
        </w:rPr>
        <w:t xml:space="preserve">FoxAI DATA PLATFORM</w:t>
      </w:r>
    </w:p>
    <w:p>
      <w:pPr>
        <w:spacing w:after="100" w:before="0"/>
        <w:jc w:val="center"/>
      </w:pPr>
      <w:r>
        <w:rPr>
          <w:rFonts w:ascii="Arial" w:cs="Arial" w:eastAsia="Arial" w:hAnsi="Arial"/>
          <w:b/>
          <w:bCs/>
          <w:color w:val="2E75B6"/>
          <w:sz w:val="32"/>
          <w:szCs w:val="32"/>
        </w:rPr>
        <w:t xml:space="preserve">Implementation Plan</w:t>
      </w:r>
    </w:p>
    <w:p>
      <w:pPr>
        <w:spacing w:after="400" w:before="0"/>
        <w:jc w:val="center"/>
      </w:pPr>
      <w:r>
        <w:rPr>
          <w:rFonts w:ascii="Arial" w:cs="Arial" w:eastAsia="Arial" w:hAnsi="Arial"/>
          <w:b/>
          <w:bCs/>
          <w:color w:val="C0392B"/>
          <w:sz w:val="22"/>
          <w:szCs w:val="22"/>
        </w:rPr>
        <w:t xml:space="preserve">Start: 13 May 2026   ·   Deadline: 31 May 2026   ·   1 Developer</w:t>
      </w:r>
    </w:p>
    <w:p>
      <w:pPr>
        <w:pBdr>
          <w:bottom w:val="single" w:color="2E75B6" w:sz="5" w:space="1"/>
        </w:pBdr>
        <w:spacing w:after="200" w:before="200"/>
      </w:pP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2"/>
                <w:szCs w:val="22"/>
              </w:rPr>
              <w:t xml:space="preserve"/>
            </w:r>
          </w:p>
        </w:tc>
        <w:tc>
          <w:tcPr>
            <w:tcW w:type="dxa" w:w="7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2"/>
                <w:szCs w:val="22"/>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Features</w:t>
            </w:r>
          </w:p>
        </w:tc>
        <w:tc>
          <w:tcPr>
            <w:tcW w:type="dxa" w:w="72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1. Licensing (Online Key Validation)   2. Packaging (Linux only)   3. Plugin Architecture (CustomTransformer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Start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Wednesday, 13 May 2026</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Deadline</w:t>
            </w:r>
          </w:p>
        </w:tc>
        <w:tc>
          <w:tcPr>
            <w:tcW w:type="dxa" w:w="72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Sunday, 31 May 2026  (19 calendar days / ~13 working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Team</w:t>
            </w:r>
          </w:p>
        </w:tc>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1 developer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Out of scope</w:t>
            </w:r>
          </w:p>
        </w:tc>
        <w:tc>
          <w:tcPr>
            <w:tcW w:type="dxa" w:w="72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Real-time / Drone processing, Windows / Docker deployment, all plugin types except CustomTransformer</w:t>
            </w:r>
          </w:p>
        </w:tc>
      </w:tr>
    </w:tbl>
    <w:p>
      <w:pPr>
        <w:pBdr>
          <w:bottom w:val="single" w:color="2E75B6" w:sz="5" w:space="1"/>
        </w:pBdr>
        <w:spacing w:after="200" w:before="200"/>
      </w:pPr>
    </w:p>
    <w:p>
      <w:pPr>
        <w:pStyle w:val="Heading1"/>
        <w:spacing w:after="180" w:before="440"/>
      </w:pPr>
      <w:r>
        <w:rPr>
          <w:rFonts w:ascii="Arial" w:cs="Arial" w:eastAsia="Arial" w:hAnsi="Arial"/>
          <w:b/>
          <w:bCs/>
          <w:color w:val="1F4E79"/>
          <w:sz w:val="34"/>
          <w:szCs w:val="34"/>
        </w:rPr>
        <w:t xml:space="preserve">1. Licensing — Online Key Validation</w:t>
      </w:r>
    </w:p>
    <w:p>
      <w:pPr>
        <w:pStyle w:val="Heading2"/>
        <w:spacing w:after="120" w:before="260"/>
      </w:pPr>
      <w:r>
        <w:rPr>
          <w:rFonts w:ascii="Arial" w:cs="Arial" w:eastAsia="Arial" w:hAnsi="Arial"/>
          <w:b/>
          <w:bCs/>
          <w:color w:val="2E75B6"/>
          <w:sz w:val="26"/>
          <w:szCs w:val="26"/>
        </w:rPr>
        <w:t xml:space="preserve">Approach</w:t>
      </w:r>
    </w:p>
    <w:p>
      <w:pPr>
        <w:spacing w:after="80" w:before="60"/>
        <w:jc w:val="both"/>
      </w:pPr>
      <w:r>
        <w:rPr>
          <w:rFonts w:ascii="Arial" w:cs="Arial" w:eastAsia="Arial" w:hAnsi="Arial"/>
          <w:sz w:val="24"/>
          <w:szCs w:val="24"/>
        </w:rPr>
        <w:t xml:space="preserve">Integrate with the other team's existing licensing system via their provided API. On FoxAI startup, the core reads the local license key file and sends it to the licensing server for validation. The response determines: whether the key is valid, its expiry date, and the allowed tier (which controls DataNode count). FoxAI boots normally if valid, refuses to start if not.</w:t>
      </w:r>
    </w:p>
    <w:p>
      <w:pPr>
        <w:spacing w:after="80" w:before="80"/>
      </w:pPr>
    </w:p>
    <w:p>
      <w:pPr>
        <w:pStyle w:val="Heading2"/>
        <w:spacing w:after="120" w:before="260"/>
      </w:pPr>
      <w:r>
        <w:rPr>
          <w:rFonts w:ascii="Arial" w:cs="Arial" w:eastAsia="Arial" w:hAnsi="Arial"/>
          <w:b/>
          <w:bCs/>
          <w:color w:val="2E75B6"/>
          <w:sz w:val="26"/>
          <w:szCs w:val="26"/>
        </w:rPr>
        <w:t xml:space="preserve">Why This Approach</w:t>
      </w:r>
    </w:p>
    <w:p>
      <w:pPr>
        <w:pStyle w:val="ListParagraph"/>
        <w:numPr>
          <w:ilvl w:val="0"/>
          <w:numId w:val="2"/>
        </w:numPr>
        <w:spacing w:after="50" w:before="50"/>
      </w:pPr>
      <w:r>
        <w:rPr>
          <w:rFonts w:ascii="Arial" w:cs="Arial" w:eastAsia="Arial" w:hAnsi="Arial"/>
          <w:sz w:val="24"/>
          <w:szCs w:val="24"/>
        </w:rPr>
        <w:t xml:space="preserve">The licensing server and key management is owned by the other team — we only consume it, no need to build our own server</w:t>
      </w:r>
    </w:p>
    <w:p>
      <w:pPr>
        <w:pStyle w:val="ListParagraph"/>
        <w:numPr>
          <w:ilvl w:val="0"/>
          <w:numId w:val="2"/>
        </w:numPr>
        <w:spacing w:after="50" w:before="50"/>
      </w:pPr>
      <w:r>
        <w:rPr>
          <w:rFonts w:ascii="Arial" w:cs="Arial" w:eastAsia="Arial" w:hAnsi="Arial"/>
          <w:sz w:val="24"/>
          <w:szCs w:val="24"/>
        </w:rPr>
        <w:t xml:space="preserve">Keeps our scope minimal: one API call on startup, enforce the response, done</w:t>
      </w:r>
    </w:p>
    <w:p>
      <w:pPr>
        <w:pStyle w:val="ListParagraph"/>
        <w:numPr>
          <w:ilvl w:val="0"/>
          <w:numId w:val="2"/>
        </w:numPr>
        <w:spacing w:after="50" w:before="50"/>
      </w:pPr>
      <w:r>
        <w:rPr>
          <w:rFonts w:ascii="Arial" w:cs="Arial" w:eastAsia="Arial" w:hAnsi="Arial"/>
          <w:sz w:val="24"/>
          <w:szCs w:val="24"/>
        </w:rPr>
        <w:t xml:space="preserve">Tier-based node limits (Basic = 3 nodes, Pro = 7 nodes) are returned in the API response and enforced by FoxAI core</w:t>
      </w:r>
    </w:p>
    <w:p>
      <w:pPr>
        <w:pStyle w:val="ListParagraph"/>
        <w:numPr>
          <w:ilvl w:val="0"/>
          <w:numId w:val="2"/>
        </w:numPr>
        <w:spacing w:after="50" w:before="50"/>
      </w:pPr>
      <w:r>
        <w:rPr>
          <w:rFonts w:ascii="Arial" w:cs="Arial" w:eastAsia="Arial" w:hAnsi="Arial"/>
          <w:sz w:val="24"/>
          <w:szCs w:val="24"/>
        </w:rPr>
        <w:t xml:space="preserve">1-year subscription expiry is handled server-side by the other team — we just check the returned expiry date</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5B6" w:sz="4"/>
              <w:left w:val="single" w:color="2E75B6" w:sz="14"/>
              <w:bottom w:val="single" w:color="2E75B6" w:sz="4"/>
              <w:right w:val="single" w:color="2E75B6" w:sz="4"/>
            </w:tcBorders>
            <w:shd w:fill="EBF5FB" w:val="clear"/>
            <w:tcMar>
              <w:top w:type="dxa" w:w="100"/>
              <w:left w:type="dxa" w:w="180"/>
              <w:bottom w:type="dxa" w:w="100"/>
              <w:right w:type="dxa" w:w="160"/>
            </w:tcMar>
          </w:tcPr>
          <w:p>
            <w:pPr>
              <w:spacing w:after="50" w:before="0"/>
            </w:pPr>
            <w:r>
              <w:rPr>
                <w:rFonts w:ascii="Arial" w:cs="Arial" w:eastAsia="Arial" w:hAnsi="Arial"/>
                <w:b/>
                <w:bCs/>
                <w:color w:val="1A5276"/>
                <w:sz w:val="22"/>
                <w:szCs w:val="22"/>
              </w:rPr>
              <w:t xml:space="preserve">Key Design Decisions</w:t>
            </w:r>
          </w:p>
          <w:p>
            <w:pPr>
              <w:spacing w:after="30" w:before="30"/>
              <w:jc w:val="both"/>
            </w:pPr>
            <w:r>
              <w:rPr>
                <w:rFonts w:ascii="Arial" w:cs="Arial" w:eastAsia="Arial" w:hAnsi="Arial"/>
                <w:color w:val="1A3A4A"/>
                <w:sz w:val="22"/>
                <w:szCs w:val="22"/>
              </w:rPr>
              <w:t xml:space="preserve">• Grace period: if the licensing server is unreachable, FoxAI allows up to 72 hours of continued operation before blocking — avoids service disruption from temporary network issues</w:t>
            </w:r>
          </w:p>
          <w:p>
            <w:pPr>
              <w:spacing w:after="30" w:before="30"/>
              <w:jc w:val="both"/>
            </w:pPr>
            <w:r>
              <w:rPr>
                <w:rFonts w:ascii="Arial" w:cs="Arial" w:eastAsia="Arial" w:hAnsi="Arial"/>
                <w:color w:val="1A3A4A"/>
                <w:sz w:val="22"/>
                <w:szCs w:val="22"/>
              </w:rPr>
              <w:t xml:space="preserve">• License key stored locally at: /etc/foxai/license.key — customer places this file after purchase</w:t>
            </w:r>
          </w:p>
          <w:p>
            <w:pPr>
              <w:spacing w:after="30" w:before="30"/>
              <w:jc w:val="both"/>
            </w:pPr>
            <w:r>
              <w:rPr>
                <w:rFonts w:ascii="Arial" w:cs="Arial" w:eastAsia="Arial" w:hAnsi="Arial"/>
                <w:color w:val="1A3A4A"/>
                <w:sz w:val="22"/>
                <w:szCs w:val="22"/>
              </w:rPr>
              <w:t xml:space="preserve">• Node enforcement: when a new DataNode tries to register, NameNode checks current count against the tier limit and rejects if exceeded</w:t>
            </w:r>
          </w:p>
        </w:tc>
      </w:tr>
    </w:tbl>
    <w:p>
      <w:pPr>
        <w:spacing w:after="80" w:before="80"/>
      </w:pPr>
    </w:p>
    <w:p>
      <w:pPr>
        <w:pStyle w:val="Heading2"/>
        <w:spacing w:after="120" w:before="260"/>
      </w:pPr>
      <w:r>
        <w:rPr>
          <w:rFonts w:ascii="Arial" w:cs="Arial" w:eastAsia="Arial" w:hAnsi="Arial"/>
          <w:b/>
          <w:bCs/>
          <w:color w:val="2E75B6"/>
          <w:sz w:val="26"/>
          <w:szCs w:val="26"/>
        </w:rPr>
        <w:t xml:space="preserve">Completion 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0"/>
        <w:gridCol w:w="3600"/>
      </w:tblGrid>
      <w:tr>
        <w:trPr>
          <w:tblHeader/>
        </w:trPr>
        <w:tc>
          <w:tcPr>
            <w:tcW w:type="dxa" w:w="5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2"/>
                <w:szCs w:val="22"/>
              </w:rPr>
              <w:t xml:space="preserve">Task</w:t>
            </w:r>
          </w:p>
        </w:tc>
        <w:tc>
          <w:tcPr>
            <w:tcW w:type="dxa" w:w="3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2"/>
                <w:szCs w:val="22"/>
              </w:rPr>
              <w:t xml:space="preserve">Date</w:t>
            </w:r>
          </w:p>
        </w:tc>
      </w:tr>
      <w:tr>
        <w:tc>
          <w:tcPr>
            <w:tcW w:type="dxa" w:w="5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Integrate licensing API call into FoxAI startup module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14 May</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Implement tier enforcement (node count limit)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15 May</w:t>
            </w:r>
          </w:p>
        </w:tc>
      </w:tr>
      <w:tr>
        <w:tc>
          <w:tcPr>
            <w:tcW w:type="dxa" w:w="5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Grace period logic + error messaging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16 May</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Testing all pass/fail/grace scenarios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19 May</w:t>
            </w:r>
          </w:p>
        </w:tc>
      </w:tr>
    </w:tbl>
    <w:p>
      <w:pPr>
        <w:spacing w:after="80" w:before="120"/>
      </w:pPr>
      <w:r>
        <w:rPr>
          <w:rFonts w:ascii="Arial" w:cs="Arial" w:eastAsia="Arial" w:hAnsi="Arial"/>
          <w:b/>
          <w:bCs/>
          <w:color w:val="145A32"/>
          <w:sz w:val="24"/>
          <w:szCs w:val="24"/>
        </w:rPr>
        <w:t xml:space="preserve">  ✅  Feature 1 complete by:  19 May 2026</w:t>
      </w:r>
    </w:p>
    <w:p>
      <w:pPr>
        <w:pBdr>
          <w:bottom w:val="single" w:color="2E75B6" w:sz="5" w:space="1"/>
        </w:pBdr>
        <w:spacing w:after="200" w:before="200"/>
      </w:pPr>
    </w:p>
    <w:p>
      <w:pPr>
        <w:pStyle w:val="Heading1"/>
        <w:spacing w:after="180" w:before="440"/>
      </w:pPr>
      <w:r>
        <w:rPr>
          <w:rFonts w:ascii="Arial" w:cs="Arial" w:eastAsia="Arial" w:hAnsi="Arial"/>
          <w:b/>
          <w:bCs/>
          <w:color w:val="1F4E79"/>
          <w:sz w:val="34"/>
          <w:szCs w:val="34"/>
        </w:rPr>
        <w:t xml:space="preserve">2. Packaging — Linux Binary Distribution</w:t>
      </w:r>
    </w:p>
    <w:p>
      <w:pPr>
        <w:pStyle w:val="Heading2"/>
        <w:spacing w:after="120" w:before="260"/>
      </w:pPr>
      <w:r>
        <w:rPr>
          <w:rFonts w:ascii="Arial" w:cs="Arial" w:eastAsia="Arial" w:hAnsi="Arial"/>
          <w:b/>
          <w:bCs/>
          <w:color w:val="2E75B6"/>
          <w:sz w:val="26"/>
          <w:szCs w:val="26"/>
        </w:rPr>
        <w:t xml:space="preserve">Approach</w:t>
      </w:r>
    </w:p>
    <w:p>
      <w:pPr>
        <w:spacing w:after="80" w:before="60"/>
        <w:jc w:val="both"/>
      </w:pPr>
      <w:r>
        <w:rPr>
          <w:rFonts w:ascii="Arial" w:cs="Arial" w:eastAsia="Arial" w:hAnsi="Arial"/>
          <w:sz w:val="24"/>
          <w:szCs w:val="24"/>
        </w:rPr>
        <w:t xml:space="preserve">Core FoxAI Python modules (pipeline scripts, license enforcement, histogram logic) are compiled into native Linux binary files (.so) using Cython. Customers receive these binaries — they can run them but cannot read or modify the source code. Deployment is automated by a shell installer script (install.sh) that sets up the full stack on a fresh Linux server.</w:t>
      </w:r>
    </w:p>
    <w:p>
      <w:pPr>
        <w:spacing w:after="80" w:before="80"/>
      </w:pPr>
    </w:p>
    <w:p>
      <w:pPr>
        <w:pStyle w:val="Heading2"/>
        <w:spacing w:after="120" w:before="260"/>
      </w:pPr>
      <w:r>
        <w:rPr>
          <w:rFonts w:ascii="Arial" w:cs="Arial" w:eastAsia="Arial" w:hAnsi="Arial"/>
          <w:b/>
          <w:bCs/>
          <w:color w:val="2E75B6"/>
          <w:sz w:val="26"/>
          <w:szCs w:val="26"/>
        </w:rPr>
        <w:t xml:space="preserve">Why This Approach</w:t>
      </w:r>
    </w:p>
    <w:p>
      <w:pPr>
        <w:pStyle w:val="ListParagraph"/>
        <w:numPr>
          <w:ilvl w:val="0"/>
          <w:numId w:val="2"/>
        </w:numPr>
        <w:spacing w:after="50" w:before="50"/>
      </w:pPr>
      <w:r>
        <w:rPr>
          <w:rFonts w:ascii="Arial" w:cs="Arial" w:eastAsia="Arial" w:hAnsi="Arial"/>
          <w:sz w:val="24"/>
          <w:szCs w:val="24"/>
        </w:rPr>
        <w:t xml:space="preserve">Linux-only: matches our current server infrastructure exactly, no platform conflicts</w:t>
      </w:r>
    </w:p>
    <w:p>
      <w:pPr>
        <w:pStyle w:val="ListParagraph"/>
        <w:numPr>
          <w:ilvl w:val="0"/>
          <w:numId w:val="2"/>
        </w:numPr>
        <w:spacing w:after="50" w:before="50"/>
      </w:pPr>
      <w:r>
        <w:rPr>
          <w:rFonts w:ascii="Arial" w:cs="Arial" w:eastAsia="Arial" w:hAnsi="Arial"/>
          <w:sz w:val="24"/>
          <w:szCs w:val="24"/>
        </w:rPr>
        <w:t xml:space="preserve">Cython compilation is the industry standard for protecting Python code — produces .so binaries that are not human-readable</w:t>
      </w:r>
    </w:p>
    <w:p>
      <w:pPr>
        <w:pStyle w:val="ListParagraph"/>
        <w:numPr>
          <w:ilvl w:val="0"/>
          <w:numId w:val="2"/>
        </w:numPr>
        <w:spacing w:after="50" w:before="50"/>
      </w:pPr>
      <w:r>
        <w:rPr>
          <w:rFonts w:ascii="Arial" w:cs="Arial" w:eastAsia="Arial" w:hAnsi="Arial"/>
          <w:sz w:val="24"/>
          <w:szCs w:val="24"/>
        </w:rPr>
        <w:t xml:space="preserve">Shell installer removes manual setup burden from the customer — one script handles everything</w:t>
      </w:r>
    </w:p>
    <w:p>
      <w:pPr>
        <w:pStyle w:val="ListParagraph"/>
        <w:numPr>
          <w:ilvl w:val="0"/>
          <w:numId w:val="2"/>
        </w:numPr>
        <w:spacing w:after="50" w:before="50"/>
      </w:pPr>
      <w:r>
        <w:rPr>
          <w:rFonts w:ascii="Arial" w:cs="Arial" w:eastAsia="Arial" w:hAnsi="Arial"/>
          <w:sz w:val="24"/>
          <w:szCs w:val="24"/>
        </w:rPr>
        <w:t xml:space="preserve">No Docker, no Windows: keeps scope clean and avoids significant additional complexity for this deadline</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5B6" w:sz="4"/>
              <w:left w:val="single" w:color="2E75B6" w:sz="14"/>
              <w:bottom w:val="single" w:color="2E75B6" w:sz="4"/>
              <w:right w:val="single" w:color="2E75B6" w:sz="4"/>
            </w:tcBorders>
            <w:shd w:fill="EBF5FB" w:val="clear"/>
            <w:tcMar>
              <w:top w:type="dxa" w:w="100"/>
              <w:left w:type="dxa" w:w="180"/>
              <w:bottom w:type="dxa" w:w="100"/>
              <w:right w:type="dxa" w:w="160"/>
            </w:tcMar>
          </w:tcPr>
          <w:p>
            <w:pPr>
              <w:spacing w:after="50" w:before="0"/>
            </w:pPr>
            <w:r>
              <w:rPr>
                <w:rFonts w:ascii="Arial" w:cs="Arial" w:eastAsia="Arial" w:hAnsi="Arial"/>
                <w:b/>
                <w:bCs/>
                <w:color w:val="1A5276"/>
                <w:sz w:val="22"/>
                <w:szCs w:val="22"/>
              </w:rPr>
              <w:t xml:space="preserve">What Gets Compiled vs What Stays Plain</w:t>
            </w:r>
          </w:p>
          <w:p>
            <w:pPr>
              <w:spacing w:after="30" w:before="30"/>
              <w:jc w:val="both"/>
            </w:pPr>
            <w:r>
              <w:rPr>
                <w:rFonts w:ascii="Arial" w:cs="Arial" w:eastAsia="Arial" w:hAnsi="Arial"/>
                <w:color w:val="1A3A4A"/>
                <w:sz w:val="22"/>
                <w:szCs w:val="22"/>
              </w:rPr>
              <w:t xml:space="preserve">COMPILED (.so): silver.py, gold.py, silver_histograms.py, license enforcement module, all DAG files</w:t>
            </w:r>
          </w:p>
          <w:p>
            <w:pPr>
              <w:spacing w:after="30" w:before="30"/>
              <w:jc w:val="both"/>
            </w:pPr>
            <w:r>
              <w:rPr>
                <w:rFonts w:ascii="Arial" w:cs="Arial" w:eastAsia="Arial" w:hAnsi="Arial"/>
                <w:color w:val="1A3A4A"/>
                <w:sz w:val="22"/>
                <w:szCs w:val="22"/>
              </w:rPr>
              <w:t xml:space="preserve">PLAIN (kept readable): plugin interface base classes (customers must read these), config files (.json / .yaml), install.sh</w:t>
            </w:r>
          </w:p>
        </w:tc>
      </w:tr>
    </w:tbl>
    <w:p>
      <w:pPr>
        <w:spacing w:after="80" w:before="80"/>
      </w:pPr>
    </w:p>
    <w:p>
      <w:pPr>
        <w:pStyle w:val="Heading2"/>
        <w:spacing w:after="120" w:before="260"/>
      </w:pPr>
      <w:r>
        <w:rPr>
          <w:rFonts w:ascii="Arial" w:cs="Arial" w:eastAsia="Arial" w:hAnsi="Arial"/>
          <w:b/>
          <w:bCs/>
          <w:color w:val="2E75B6"/>
          <w:sz w:val="26"/>
          <w:szCs w:val="26"/>
        </w:rPr>
        <w:t xml:space="preserve">Completion 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0"/>
        <w:gridCol w:w="3600"/>
      </w:tblGrid>
      <w:tr>
        <w:trPr>
          <w:tblHeader/>
        </w:trPr>
        <w:tc>
          <w:tcPr>
            <w:tcW w:type="dxa" w:w="5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2"/>
                <w:szCs w:val="22"/>
              </w:rPr>
              <w:t xml:space="preserve">Task</w:t>
            </w:r>
          </w:p>
        </w:tc>
        <w:tc>
          <w:tcPr>
            <w:tcW w:type="dxa" w:w="3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2"/>
                <w:szCs w:val="22"/>
              </w:rPr>
              <w:t xml:space="preserve">Date</w:t>
            </w:r>
          </w:p>
        </w:tc>
      </w:tr>
      <w:tr>
        <w:tc>
          <w:tcPr>
            <w:tcW w:type="dxa" w:w="5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Set up Cython build pipeline, compile first module as proof of concept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20 May</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Compile all core modules, run full test suite against binaries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21 May</w:t>
            </w:r>
          </w:p>
        </w:tc>
      </w:tr>
      <w:tr>
        <w:tc>
          <w:tcPr>
            <w:tcW w:type="dxa" w:w="5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Write and test install.sh — deploys full stack on a fresh Linux VM</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22 May</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End-to-end test: clean VM + installer + compiled binaries + license key → pipeline runs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26 May</w:t>
            </w:r>
          </w:p>
        </w:tc>
      </w:tr>
    </w:tbl>
    <w:p>
      <w:pPr>
        <w:spacing w:after="80" w:before="120"/>
      </w:pPr>
      <w:r>
        <w:rPr>
          <w:rFonts w:ascii="Arial" w:cs="Arial" w:eastAsia="Arial" w:hAnsi="Arial"/>
          <w:b/>
          <w:bCs/>
          <w:color w:val="145A32"/>
          <w:sz w:val="24"/>
          <w:szCs w:val="24"/>
        </w:rPr>
        <w:t xml:space="preserve">  ✅  Feature 2 complete by:  26 May 2026</w:t>
      </w:r>
    </w:p>
    <w:p>
      <w:pPr>
        <w:pBdr>
          <w:bottom w:val="single" w:color="2E75B6" w:sz="5" w:space="1"/>
        </w:pBdr>
        <w:spacing w:after="200" w:before="200"/>
      </w:pPr>
    </w:p>
    <w:p>
      <w:pPr>
        <w:pStyle w:val="Heading1"/>
        <w:spacing w:after="180" w:before="440"/>
      </w:pPr>
      <w:r>
        <w:rPr>
          <w:rFonts w:ascii="Arial" w:cs="Arial" w:eastAsia="Arial" w:hAnsi="Arial"/>
          <w:b/>
          <w:bCs/>
          <w:color w:val="1F4E79"/>
          <w:sz w:val="34"/>
          <w:szCs w:val="34"/>
        </w:rPr>
        <w:t xml:space="preserve">3. Plugin Architecture — CustomTransformer v1</w:t>
      </w:r>
    </w:p>
    <w:p>
      <w:pPr>
        <w:pStyle w:val="Heading2"/>
        <w:spacing w:after="120" w:before="260"/>
      </w:pPr>
      <w:r>
        <w:rPr>
          <w:rFonts w:ascii="Arial" w:cs="Arial" w:eastAsia="Arial" w:hAnsi="Arial"/>
          <w:b/>
          <w:bCs/>
          <w:color w:val="2E75B6"/>
          <w:sz w:val="26"/>
          <w:szCs w:val="26"/>
        </w:rPr>
        <w:t xml:space="preserve">Approach</w:t>
      </w:r>
    </w:p>
    <w:p>
      <w:pPr>
        <w:spacing w:after="80" w:before="60"/>
        <w:jc w:val="both"/>
      </w:pPr>
      <w:r>
        <w:rPr>
          <w:rFonts w:ascii="Arial" w:cs="Arial" w:eastAsia="Arial" w:hAnsi="Arial"/>
          <w:sz w:val="24"/>
          <w:szCs w:val="24"/>
        </w:rPr>
        <w:t xml:space="preserve">The core exposes a BaseTransformer interface — a Python base class with two required methods customers must implement. Customers write their own transformer class, drop the file into /opt/foxai/plugins/, and FoxAI automatically discovers and runs it inside the Silver processing stage. Invalid or broken plugins are skipped with a clear error log — they cannot crash the core pipeline.</w:t>
      </w:r>
    </w:p>
    <w:p>
      <w:pPr>
        <w:spacing w:after="80" w:before="80"/>
      </w:pPr>
    </w:p>
    <w:p>
      <w:pPr>
        <w:pStyle w:val="Heading2"/>
        <w:spacing w:after="120" w:before="260"/>
      </w:pPr>
      <w:r>
        <w:rPr>
          <w:rFonts w:ascii="Arial" w:cs="Arial" w:eastAsia="Arial" w:hAnsi="Arial"/>
          <w:b/>
          <w:bCs/>
          <w:color w:val="2E75B6"/>
          <w:sz w:val="26"/>
          <w:szCs w:val="26"/>
        </w:rPr>
        <w:t xml:space="preserve">Why This Approach</w:t>
      </w:r>
    </w:p>
    <w:p>
      <w:pPr>
        <w:pStyle w:val="ListParagraph"/>
        <w:numPr>
          <w:ilvl w:val="0"/>
          <w:numId w:val="2"/>
        </w:numPr>
        <w:spacing w:after="50" w:before="50"/>
      </w:pPr>
      <w:r>
        <w:rPr>
          <w:rFonts w:ascii="Arial" w:cs="Arial" w:eastAsia="Arial" w:hAnsi="Arial"/>
          <w:sz w:val="24"/>
          <w:szCs w:val="24"/>
        </w:rPr>
        <w:t xml:space="preserve">CustomTransformer only for v1 — the most immediately useful plugin type, covers the majority of customer customization needs</w:t>
      </w:r>
    </w:p>
    <w:p>
      <w:pPr>
        <w:pStyle w:val="ListParagraph"/>
        <w:numPr>
          <w:ilvl w:val="0"/>
          <w:numId w:val="2"/>
        </w:numPr>
        <w:spacing w:after="50" w:before="50"/>
      </w:pPr>
      <w:r>
        <w:rPr>
          <w:rFonts w:ascii="Arial" w:cs="Arial" w:eastAsia="Arial" w:hAnsi="Arial"/>
          <w:sz w:val="24"/>
          <w:szCs w:val="24"/>
        </w:rPr>
        <w:t xml:space="preserve">File-drop discovery (no registration step needed) keeps the customer experience simple</w:t>
      </w:r>
    </w:p>
    <w:p>
      <w:pPr>
        <w:pStyle w:val="ListParagraph"/>
        <w:numPr>
          <w:ilvl w:val="0"/>
          <w:numId w:val="2"/>
        </w:numPr>
        <w:spacing w:after="50" w:before="50"/>
      </w:pPr>
      <w:r>
        <w:rPr>
          <w:rFonts w:ascii="Arial" w:cs="Arial" w:eastAsia="Arial" w:hAnsi="Arial"/>
          <w:sz w:val="24"/>
          <w:szCs w:val="24"/>
        </w:rPr>
        <w:t xml:space="preserve">Error isolation is non-negotiable: a bad plugin must never break the core pipeline</w:t>
      </w:r>
    </w:p>
    <w:p>
      <w:pPr>
        <w:pStyle w:val="ListParagraph"/>
        <w:numPr>
          <w:ilvl w:val="0"/>
          <w:numId w:val="2"/>
        </w:numPr>
        <w:spacing w:after="50" w:before="50"/>
      </w:pPr>
      <w:r>
        <w:rPr>
          <w:rFonts w:ascii="Arial" w:cs="Arial" w:eastAsia="Arial" w:hAnsi="Arial"/>
          <w:sz w:val="24"/>
          <w:szCs w:val="24"/>
        </w:rPr>
        <w:t xml:space="preserve">BaseTransformer file is intentionally kept as plain Python (not compiled) — customers need to read it to write their own plugins</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5B6" w:sz="4"/>
              <w:left w:val="single" w:color="2E75B6" w:sz="14"/>
              <w:bottom w:val="single" w:color="2E75B6" w:sz="4"/>
              <w:right w:val="single" w:color="2E75B6" w:sz="4"/>
            </w:tcBorders>
            <w:shd w:fill="EBF5FB" w:val="clear"/>
            <w:tcMar>
              <w:top w:type="dxa" w:w="100"/>
              <w:left w:type="dxa" w:w="180"/>
              <w:bottom w:type="dxa" w:w="100"/>
              <w:right w:type="dxa" w:w="160"/>
            </w:tcMar>
          </w:tcPr>
          <w:p>
            <w:pPr>
              <w:spacing w:after="50" w:before="0"/>
            </w:pPr>
            <w:r>
              <w:rPr>
                <w:rFonts w:ascii="Arial" w:cs="Arial" w:eastAsia="Arial" w:hAnsi="Arial"/>
                <w:b/>
                <w:bCs/>
                <w:color w:val="1A5276"/>
                <w:sz w:val="22"/>
                <w:szCs w:val="22"/>
              </w:rPr>
              <w:t xml:space="preserve">Plugin Contract (What Customer Must Implement)</w:t>
            </w:r>
          </w:p>
          <w:p>
            <w:pPr>
              <w:spacing w:after="30" w:before="30"/>
              <w:jc w:val="both"/>
            </w:pPr>
            <w:r>
              <w:rPr>
                <w:rFonts w:ascii="Arial" w:cs="Arial" w:eastAsia="Arial" w:hAnsi="Arial"/>
                <w:color w:val="1A3A4A"/>
                <w:sz w:val="22"/>
                <w:szCs w:val="22"/>
              </w:rPr>
              <w:t xml:space="preserve">transform(df: DataFrame) → DataFrame   —   Custom Silver-layer transformation logic on a Spark DataFrame</w:t>
            </w:r>
          </w:p>
          <w:p>
            <w:pPr>
              <w:spacing w:after="30" w:before="30"/>
              <w:jc w:val="both"/>
            </w:pPr>
            <w:r>
              <w:rPr>
                <w:rFonts w:ascii="Arial" w:cs="Arial" w:eastAsia="Arial" w:hAnsi="Arial"/>
                <w:color w:val="1A3A4A"/>
                <w:sz w:val="22"/>
                <w:szCs w:val="22"/>
              </w:rPr>
              <w:t xml:space="preserve">validate_config(config: dict) → bool   —   Validates plugin config before transform() is called</w:t>
            </w:r>
          </w:p>
          <w:p>
            <w:pPr>
              <w:spacing w:after="30" w:before="30"/>
              <w:jc w:val="both"/>
            </w:pPr>
            <w:r>
              <w:rPr>
                <w:rFonts w:ascii="Arial" w:cs="Arial" w:eastAsia="Arial" w:hAnsi="Arial"/>
                <w:color w:val="1A3A4A"/>
                <w:sz w:val="22"/>
                <w:szCs w:val="22"/>
              </w:rPr>
              <w:t xml:space="preserve"/>
            </w:r>
          </w:p>
          <w:p>
            <w:pPr>
              <w:spacing w:after="30" w:before="30"/>
              <w:jc w:val="both"/>
            </w:pPr>
            <w:r>
              <w:rPr>
                <w:rFonts w:ascii="Arial" w:cs="Arial" w:eastAsia="Arial" w:hAnsi="Arial"/>
                <w:color w:val="1A3A4A"/>
                <w:sz w:val="22"/>
                <w:szCs w:val="22"/>
              </w:rPr>
              <w:t xml:space="preserve">A working example plugin (taxi domain transformer) is delivered alongside as reference.</w:t>
            </w:r>
          </w:p>
        </w:tc>
      </w:tr>
    </w:tbl>
    <w:p>
      <w:pPr>
        <w:spacing w:after="80" w:before="80"/>
      </w:pPr>
    </w:p>
    <w:p>
      <w:pPr>
        <w:pStyle w:val="Heading2"/>
        <w:spacing w:after="120" w:before="260"/>
      </w:pPr>
      <w:r>
        <w:rPr>
          <w:rFonts w:ascii="Arial" w:cs="Arial" w:eastAsia="Arial" w:hAnsi="Arial"/>
          <w:b/>
          <w:bCs/>
          <w:color w:val="2E75B6"/>
          <w:sz w:val="26"/>
          <w:szCs w:val="26"/>
        </w:rPr>
        <w:t xml:space="preserve">Completion 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0"/>
        <w:gridCol w:w="3600"/>
      </w:tblGrid>
      <w:tr>
        <w:trPr>
          <w:tblHeader/>
        </w:trPr>
        <w:tc>
          <w:tcPr>
            <w:tcW w:type="dxa" w:w="5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2"/>
                <w:szCs w:val="22"/>
              </w:rPr>
              <w:t xml:space="preserve">Task</w:t>
            </w:r>
          </w:p>
        </w:tc>
        <w:tc>
          <w:tcPr>
            <w:tcW w:type="dxa" w:w="3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2"/>
                <w:szCs w:val="22"/>
              </w:rPr>
              <w:t xml:space="preserve">Date</w:t>
            </w:r>
          </w:p>
        </w:tc>
      </w:tr>
      <w:tr>
        <w:tc>
          <w:tcPr>
            <w:tcW w:type="dxa" w:w="5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Design and write BaseTransformer interface + plugin loader/discovery module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27 May</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Integrate plugin loader into Silver pipeline, write example plugin, integration test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2"/>
                <w:szCs w:val="22"/>
              </w:rPr>
              <w:t xml:space="preserve">28 May</w:t>
            </w:r>
          </w:p>
        </w:tc>
      </w:tr>
      <w:tr>
        <w:tc>
          <w:tcPr>
            <w:tcW w:type="dxa" w:w="5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SDK documentation + final full-system smoke test (all 3 features together)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r>
              <w:rPr>
                <w:rFonts w:ascii="Arial" w:cs="Arial" w:eastAsia="Arial" w:hAnsi="Arial"/>
                <w:sz w:val="22"/>
                <w:szCs w:val="22"/>
              </w:rPr>
              <w:t xml:space="preserve">29 May</w:t>
            </w:r>
          </w:p>
        </w:tc>
      </w:tr>
    </w:tbl>
    <w:p>
      <w:pPr>
        <w:spacing w:after="80" w:before="120"/>
      </w:pPr>
      <w:r>
        <w:rPr>
          <w:rFonts w:ascii="Arial" w:cs="Arial" w:eastAsia="Arial" w:hAnsi="Arial"/>
          <w:b/>
          <w:bCs/>
          <w:color w:val="145A32"/>
          <w:sz w:val="24"/>
          <w:szCs w:val="24"/>
        </w:rPr>
        <w:t xml:space="preserve">  ✅  Feature 3 complete by:  29 May 2026</w:t>
      </w:r>
    </w:p>
    <w:p>
      <w:pPr>
        <w:pBdr>
          <w:bottom w:val="single" w:color="2E75B6" w:sz="5" w:space="1"/>
        </w:pBdr>
        <w:spacing w:after="200" w:before="200"/>
      </w:pPr>
    </w:p>
    <w:p>
      <w:pPr>
        <w:pStyle w:val="Heading1"/>
        <w:spacing w:after="180" w:before="440"/>
      </w:pPr>
      <w:r>
        <w:rPr>
          <w:rFonts w:ascii="Arial" w:cs="Arial" w:eastAsia="Arial" w:hAnsi="Arial"/>
          <w:b/>
          <w:bCs/>
          <w:color w:val="1F4E79"/>
          <w:sz w:val="34"/>
          <w:szCs w:val="34"/>
        </w:rPr>
        <w:t xml:space="preserve">Timeline Overview</w:t>
      </w:r>
    </w:p>
    <w:p>
      <w:pPr>
        <w:spacing w:after="80" w:before="60"/>
        <w:jc w:val="both"/>
      </w:pPr>
      <w:r>
        <w:rPr>
          <w:rFonts w:ascii="Arial" w:cs="Arial" w:eastAsia="Arial" w:hAnsi="Arial"/>
          <w:sz w:val="24"/>
          <w:szCs w:val="24"/>
        </w:rPr>
        <w:t xml:space="preserve">Grey = weekend. Red = deadline (31 May).</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80"/>
            </w:tcMar>
          </w:tcPr>
          <w:p>
            <w:r>
              <w:rPr>
                <w:rFonts w:ascii="Arial" w:cs="Arial" w:eastAsia="Arial" w:hAnsi="Arial"/>
                <w:b/>
                <w:bCs/>
                <w:color w:val="FFFFFF"/>
                <w:sz w:val="20"/>
                <w:szCs w:val="20"/>
              </w:rPr>
              <w:t xml:space="preserve">Task</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13/5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14/5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15/5</w:t>
            </w:r>
          </w:p>
        </w:tc>
        <w:tc>
          <w:tcPr>
            <w:tcW w:type="dxa" w:w="380"/>
            <w:tcBorders>
              <w:top w:val="single" w:color="CCCCCC" w:sz="1"/>
              <w:left w:val="single" w:color="CCCCCC" w:sz="1"/>
              <w:bottom w:val="single" w:color="CCCCCC" w:sz="1"/>
              <w:right w:val="single" w:color="CCCCCC" w:sz="1"/>
            </w:tcBorders>
            <w:shd w:fill="808B9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16/5</w:t>
            </w:r>
          </w:p>
        </w:tc>
        <w:tc>
          <w:tcPr>
            <w:tcW w:type="dxa" w:w="380"/>
            <w:tcBorders>
              <w:top w:val="single" w:color="CCCCCC" w:sz="1"/>
              <w:left w:val="single" w:color="CCCCCC" w:sz="1"/>
              <w:bottom w:val="single" w:color="CCCCCC" w:sz="1"/>
              <w:right w:val="single" w:color="CCCCCC" w:sz="1"/>
            </w:tcBorders>
            <w:shd w:fill="808B9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17/5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18/5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19/5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20/5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21/5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22/5</w:t>
            </w:r>
          </w:p>
        </w:tc>
        <w:tc>
          <w:tcPr>
            <w:tcW w:type="dxa" w:w="380"/>
            <w:tcBorders>
              <w:top w:val="single" w:color="CCCCCC" w:sz="1"/>
              <w:left w:val="single" w:color="CCCCCC" w:sz="1"/>
              <w:bottom w:val="single" w:color="CCCCCC" w:sz="1"/>
              <w:right w:val="single" w:color="CCCCCC" w:sz="1"/>
            </w:tcBorders>
            <w:shd w:fill="808B9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23/5</w:t>
            </w:r>
          </w:p>
        </w:tc>
        <w:tc>
          <w:tcPr>
            <w:tcW w:type="dxa" w:w="380"/>
            <w:tcBorders>
              <w:top w:val="single" w:color="CCCCCC" w:sz="1"/>
              <w:left w:val="single" w:color="CCCCCC" w:sz="1"/>
              <w:bottom w:val="single" w:color="CCCCCC" w:sz="1"/>
              <w:right w:val="single" w:color="CCCCCC" w:sz="1"/>
            </w:tcBorders>
            <w:shd w:fill="808B9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24/5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25/5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26/5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27/5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28/5</w:t>
            </w:r>
          </w:p>
        </w:tc>
        <w:tc>
          <w:tcPr>
            <w:tcW w:type="dxa" w:w="380"/>
            <w:tcBorders>
              <w:top w:val="single" w:color="CCCCCC" w:sz="1"/>
              <w:left w:val="single" w:color="CCCCCC" w:sz="1"/>
              <w:bottom w:val="single" w:color="CCCCCC" w:sz="1"/>
              <w:right w:val="single" w:color="CCCCCC" w:sz="1"/>
            </w:tcBorders>
            <w:shd w:fill="2E75B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29/5</w:t>
            </w:r>
          </w:p>
        </w:tc>
        <w:tc>
          <w:tcPr>
            <w:tcW w:type="dxa" w:w="380"/>
            <w:tcBorders>
              <w:top w:val="single" w:color="CCCCCC" w:sz="1"/>
              <w:left w:val="single" w:color="CCCCCC" w:sz="1"/>
              <w:bottom w:val="single" w:color="CCCCCC" w:sz="1"/>
              <w:right w:val="single" w:color="CCCCCC" w:sz="1"/>
            </w:tcBorders>
            <w:shd w:fill="808B96" w:val="clear"/>
            <w:tcMar>
              <w:top w:type="dxa" w:w="50"/>
              <w:left w:type="dxa" w:w="10"/>
              <w:bottom w:type="dxa" w:w="50"/>
              <w:right w:type="dxa" w:w="10"/>
            </w:tcMar>
          </w:tcPr>
          <w:p>
            <w:pPr>
              <w:jc w:val="center"/>
            </w:pPr>
            <w:r>
              <w:rPr>
                <w:rFonts w:ascii="Arial" w:cs="Arial" w:eastAsia="Arial" w:hAnsi="Arial"/>
                <w:b/>
                <w:bCs/>
                <w:color w:val="FFFFFF"/>
                <w:sz w:val="14"/>
                <w:szCs w:val="14"/>
              </w:rPr>
              <w:t xml:space="preserve">30/5</w:t>
            </w:r>
          </w:p>
        </w:tc>
        <w:tc>
          <w:tcPr>
            <w:tcW w:type="dxa" w:w="380"/>
            <w:tcBorders>
              <w:top w:val="single" w:color="CCCCCC" w:sz="1"/>
              <w:left w:val="single" w:color="CCCCCC" w:sz="1"/>
              <w:bottom w:val="single" w:color="CCCCCC" w:sz="1"/>
              <w:right w:val="single" w:color="CCCCCC" w:sz="1"/>
            </w:tcBorders>
            <w:shd w:fill="C0392B" w:val="clear"/>
            <w:tcMar>
              <w:top w:type="dxa" w:w="50"/>
              <w:left w:type="dxa" w:w="10"/>
              <w:bottom w:type="dxa" w:w="50"/>
              <w:right w:type="dxa" w:w="10"/>
            </w:tcMar>
          </w:tcPr>
          <w:p>
            <w:pPr>
              <w:jc w:val="center"/>
            </w:pPr>
            <w:r>
              <w:rPr>
                <w:rFonts w:ascii="Arial" w:cs="Arial" w:eastAsia="Arial" w:hAnsi="Arial"/>
                <w:b/>
                <w:bCs/>
                <w:color w:val="FFFFFF"/>
                <w:sz w:val="14"/>
                <w:szCs w:val="14"/>
              </w:rPr>
              <w:t xml:space="preserve">31/5</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80"/>
            </w:tcMar>
          </w:tcPr>
          <w:p>
            <w:r>
              <w:rPr>
                <w:rFonts w:ascii="Arial" w:cs="Arial" w:eastAsia="Arial" w:hAnsi="Arial"/>
                <w:b/>
                <w:bCs/>
                <w:color w:val="1F4E79"/>
                <w:sz w:val="21"/>
                <w:szCs w:val="21"/>
              </w:rPr>
              <w:t xml:space="preserve">LICENSING</w:t>
            </w: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1A"/>
                <w:sz w:val="19"/>
                <w:szCs w:val="19"/>
              </w:rPr>
              <w:t xml:space="preserve">  API integration + startup module</w:t>
            </w:r>
          </w:p>
        </w:tc>
        <w:tc>
          <w:tcPr>
            <w:tcW w:type="dxa" w:w="380"/>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80"/>
            </w:tcMar>
          </w:tcPr>
          <w:p>
            <w:r>
              <w:rPr>
                <w:rFonts w:ascii="Arial" w:cs="Arial" w:eastAsia="Arial" w:hAnsi="Arial"/>
                <w:b w:val="false"/>
                <w:bCs w:val="false"/>
                <w:color w:val="1A1A1A"/>
                <w:sz w:val="19"/>
                <w:szCs w:val="19"/>
              </w:rPr>
              <w:t xml:space="preserve">  Tier / node enforcement</w:t>
            </w: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1A"/>
                <w:sz w:val="19"/>
                <w:szCs w:val="19"/>
              </w:rPr>
              <w:t xml:space="preserve">  Grace period + error handling</w:t>
            </w: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AEB6B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80"/>
            </w:tcMar>
          </w:tcPr>
          <w:p>
            <w:r>
              <w:rPr>
                <w:rFonts w:ascii="Arial" w:cs="Arial" w:eastAsia="Arial" w:hAnsi="Arial"/>
                <w:b w:val="false"/>
                <w:bCs w:val="false"/>
                <w:color w:val="1A1A1A"/>
                <w:sz w:val="19"/>
                <w:szCs w:val="19"/>
              </w:rPr>
              <w:t xml:space="preserve">  Testing</w:t>
            </w: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AEB6B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45A32"/>
                <w:sz w:val="21"/>
                <w:szCs w:val="21"/>
              </w:rPr>
              <w:t xml:space="preserve">PACKAGING</w:t>
            </w: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80"/>
            </w:tcMar>
          </w:tcPr>
          <w:p>
            <w:r>
              <w:rPr>
                <w:rFonts w:ascii="Arial" w:cs="Arial" w:eastAsia="Arial" w:hAnsi="Arial"/>
                <w:b w:val="false"/>
                <w:bCs w:val="false"/>
                <w:color w:val="1A1A1A"/>
                <w:sz w:val="19"/>
                <w:szCs w:val="19"/>
              </w:rPr>
              <w:t xml:space="preserve">  Cython build pipeline + first compile</w:t>
            </w: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1E8449"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1A"/>
                <w:sz w:val="19"/>
                <w:szCs w:val="19"/>
              </w:rPr>
              <w:t xml:space="preserve">  Compile all core modules + tests</w:t>
            </w: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1E8449"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80"/>
            </w:tcMar>
          </w:tcPr>
          <w:p>
            <w:r>
              <w:rPr>
                <w:rFonts w:ascii="Arial" w:cs="Arial" w:eastAsia="Arial" w:hAnsi="Arial"/>
                <w:b w:val="false"/>
                <w:bCs w:val="false"/>
                <w:color w:val="1A1A1A"/>
                <w:sz w:val="19"/>
                <w:szCs w:val="19"/>
              </w:rPr>
              <w:t xml:space="preserve">  Write install.sh</w:t>
            </w: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1E8449"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1A"/>
                <w:sz w:val="19"/>
                <w:szCs w:val="19"/>
              </w:rPr>
              <w:t xml:space="preserve">  End-to-end clean install test</w:t>
            </w: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AEB6B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80"/>
            </w:tcMar>
          </w:tcPr>
          <w:p>
            <w:r>
              <w:rPr>
                <w:rFonts w:ascii="Arial" w:cs="Arial" w:eastAsia="Arial" w:hAnsi="Arial"/>
                <w:b/>
                <w:bCs/>
                <w:color w:val="6C3483"/>
                <w:sz w:val="21"/>
                <w:szCs w:val="21"/>
              </w:rPr>
              <w:t xml:space="preserve">PLUGIN ARCHITECTURE</w:t>
            </w: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1A"/>
                <w:sz w:val="19"/>
                <w:szCs w:val="19"/>
              </w:rPr>
              <w:t xml:space="preserve">  BaseTransformer + loader</w:t>
            </w: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8E44AD"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80"/>
            </w:tcMar>
          </w:tcPr>
          <w:p>
            <w:r>
              <w:rPr>
                <w:rFonts w:ascii="Arial" w:cs="Arial" w:eastAsia="Arial" w:hAnsi="Arial"/>
                <w:b w:val="false"/>
                <w:bCs w:val="false"/>
                <w:color w:val="1A1A1A"/>
                <w:sz w:val="19"/>
                <w:szCs w:val="19"/>
              </w:rPr>
              <w:t xml:space="preserve">  Silver integration + example plugin</w:t>
            </w: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8E44AD"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1A"/>
                <w:sz w:val="19"/>
                <w:szCs w:val="19"/>
              </w:rPr>
              <w:t xml:space="preserve">  SDK docs + smoke test</w:t>
            </w: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C39BD3"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80"/>
            </w:tcMar>
          </w:tcPr>
          <w:p>
            <w:r>
              <w:rPr>
                <w:rFonts w:ascii="Arial" w:cs="Arial" w:eastAsia="Arial" w:hAnsi="Arial"/>
                <w:b/>
                <w:bCs/>
                <w:color w:val="C0392B"/>
                <w:sz w:val="21"/>
                <w:szCs w:val="21"/>
              </w:rPr>
              <w:t xml:space="preserve">BUFFER / DEADLINE</w:t>
            </w: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8FB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1A"/>
                <w:sz w:val="19"/>
                <w:szCs w:val="19"/>
              </w:rPr>
              <w:t xml:space="preserve">  Emergency buffer + final handover</w:t>
            </w: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EAECEE"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AEB6BF" w:val="clear"/>
            <w:tcMar>
              <w:top w:type="dxa" w:w="0"/>
              <w:left w:type="dxa" w:w="0"/>
              <w:bottom w:type="dxa" w:w="0"/>
              <w:right w:type="dxa" w:w="0"/>
            </w:tcMar>
          </w:tcPr>
          <w:p/>
        </w:tc>
        <w:tc>
          <w:tcPr>
            <w:tcW w:type="dxa" w:w="380"/>
            <w:tcBorders>
              <w:top w:val="single" w:color="CCCCCC" w:sz="1"/>
              <w:left w:val="single" w:color="CCCCCC" w:sz="1"/>
              <w:bottom w:val="single" w:color="CCCCCC" w:sz="1"/>
              <w:right w:val="single" w:color="CCCCCC" w:sz="1"/>
            </w:tcBorders>
            <w:shd w:fill="AEB6BF" w:val="clear"/>
            <w:tcMar>
              <w:top w:type="dxa" w:w="0"/>
              <w:left w:type="dxa" w:w="0"/>
              <w:bottom w:type="dxa" w:w="0"/>
              <w:right w:type="dxa" w:w="0"/>
            </w:tcMar>
          </w:tcPr>
          <w:p/>
        </w:tc>
      </w:tr>
    </w:tbl>
    <w:p>
      <w:pPr>
        <w:spacing w:after="80" w:before="80"/>
      </w:pPr>
    </w:p>
    <w:p>
      <w:pPr>
        <w:spacing w:after="80" w:before="80"/>
      </w:pPr>
      <w:r>
        <w:rPr>
          <w:rFonts w:ascii="Arial" w:cs="Arial" w:eastAsia="Arial" w:hAnsi="Arial"/>
          <w:b/>
          <w:bCs/>
          <w:sz w:val="20"/>
          <w:szCs w:val="20"/>
        </w:rPr>
        <w:t xml:space="preserve">Legend:  </w:t>
      </w:r>
      <w:r>
        <w:rPr>
          <w:rFonts w:ascii="Arial" w:cs="Arial" w:eastAsia="Arial" w:hAnsi="Arial"/>
          <w:color w:val="2E75B6"/>
          <w:sz w:val="20"/>
          <w:szCs w:val="20"/>
        </w:rPr>
        <w:t xml:space="preserve">■ </w:t>
      </w:r>
      <w:r>
        <w:rPr>
          <w:rFonts w:ascii="Arial" w:cs="Arial" w:eastAsia="Arial" w:hAnsi="Arial"/>
          <w:sz w:val="20"/>
          <w:szCs w:val="20"/>
        </w:rPr>
        <w:t xml:space="preserve">Licensing   </w:t>
      </w:r>
      <w:r>
        <w:rPr>
          <w:rFonts w:ascii="Arial" w:cs="Arial" w:eastAsia="Arial" w:hAnsi="Arial"/>
          <w:color w:val="1E8449"/>
          <w:sz w:val="20"/>
          <w:szCs w:val="20"/>
        </w:rPr>
        <w:t xml:space="preserve">■ </w:t>
      </w:r>
      <w:r>
        <w:rPr>
          <w:rFonts w:ascii="Arial" w:cs="Arial" w:eastAsia="Arial" w:hAnsi="Arial"/>
          <w:sz w:val="20"/>
          <w:szCs w:val="20"/>
        </w:rPr>
        <w:t xml:space="preserve">Packaging   </w:t>
      </w:r>
      <w:r>
        <w:rPr>
          <w:rFonts w:ascii="Arial" w:cs="Arial" w:eastAsia="Arial" w:hAnsi="Arial"/>
          <w:color w:val="8E44AD"/>
          <w:sz w:val="20"/>
          <w:szCs w:val="20"/>
        </w:rPr>
        <w:t xml:space="preserve">■ </w:t>
      </w:r>
      <w:r>
        <w:rPr>
          <w:rFonts w:ascii="Arial" w:cs="Arial" w:eastAsia="Arial" w:hAnsi="Arial"/>
          <w:sz w:val="20"/>
          <w:szCs w:val="20"/>
        </w:rPr>
        <w:t xml:space="preserve">Plugin   </w:t>
      </w:r>
      <w:r>
        <w:rPr>
          <w:rFonts w:ascii="Arial" w:cs="Arial" w:eastAsia="Arial" w:hAnsi="Arial"/>
          <w:color w:val="E74C3C"/>
          <w:sz w:val="20"/>
          <w:szCs w:val="20"/>
        </w:rPr>
        <w:t xml:space="preserve">■ </w:t>
      </w:r>
      <w:r>
        <w:rPr>
          <w:rFonts w:ascii="Arial" w:cs="Arial" w:eastAsia="Arial" w:hAnsi="Arial"/>
          <w:sz w:val="20"/>
          <w:szCs w:val="20"/>
        </w:rPr>
        <w:t xml:space="preserve">Buffer / Deadline   </w:t>
      </w:r>
      <w:r>
        <w:rPr>
          <w:rFonts w:ascii="Arial" w:cs="Arial" w:eastAsia="Arial" w:hAnsi="Arial"/>
          <w:color w:val="808B96"/>
          <w:sz w:val="20"/>
          <w:szCs w:val="20"/>
        </w:rPr>
        <w:t xml:space="preserve">■ </w:t>
      </w:r>
      <w:r>
        <w:rPr>
          <w:rFonts w:ascii="Arial" w:cs="Arial" w:eastAsia="Arial" w:hAnsi="Arial"/>
          <w:sz w:val="20"/>
          <w:szCs w:val="20"/>
        </w:rPr>
        <w:t xml:space="preserve">Weekend</w:t>
      </w:r>
    </w:p>
    <w:p>
      <w:pPr>
        <w:spacing w:after="80" w:before="80"/>
      </w:pPr>
    </w:p>
    <w:p>
      <w:pPr>
        <w:pBdr>
          <w:top w:val="single" w:color="2E75B6" w:sz="4" w:space="1"/>
        </w:pBdr>
        <w:spacing w:after="60" w:before="180"/>
        <w:jc w:val="center"/>
      </w:pPr>
      <w:r>
        <w:rPr>
          <w:rFonts w:ascii="Arial" w:cs="Arial" w:eastAsia="Arial" w:hAnsi="Arial"/>
          <w:i/>
          <w:iCs/>
          <w:color w:val="AAAAAA"/>
          <w:sz w:val="20"/>
          <w:szCs w:val="20"/>
        </w:rPr>
        <w:t xml:space="preserve">— End of Plan —</w:t>
      </w:r>
    </w:p>
    <w:sectPr>
      <w:headerReference w:type="default" r:id="rId7"/>
      <w:footerReference w:type="default" r:id="rId8"/>
      <w:pgSz w:w="16838" w:h="11906"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FoxAI Internal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Arial" w:cs="Arial" w:eastAsia="Arial" w:hAnsi="Arial"/>
        <w:color w:val="888888"/>
        <w:sz w:val="18"/>
        <w:szCs w:val="18"/>
      </w:rPr>
      <w:t xml:space="preserve">FoxAI — Implementation Plan  |  13 May – 31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2026-05-13T09:02:20.326Z</dcterms:created>
  <dcterms:modified xsi:type="dcterms:W3CDTF">2026-05-13T09:02:20.327Z</dcterms:modified>
</cp:coreProperties>
</file>

<file path=docProps/custom.xml><?xml version="1.0" encoding="utf-8"?>
<Properties xmlns="http://schemas.openxmlformats.org/officeDocument/2006/custom-properties" xmlns:vt="http://schemas.openxmlformats.org/officeDocument/2006/docPropsVTypes"/>
</file>