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1AD" w:rsidRPr="00C63626" w:rsidRDefault="002A21AD" w:rsidP="002A21AD">
      <w:pPr>
        <w:pStyle w:val="Heading1"/>
        <w:jc w:val="center"/>
        <w:rPr>
          <w:color w:val="31849B" w:themeColor="accent5" w:themeShade="BF"/>
          <w:sz w:val="48"/>
          <w:szCs w:val="48"/>
          <w:u w:val="single"/>
          <w:lang w:val="fr-CA"/>
        </w:rPr>
      </w:pPr>
      <w:r w:rsidRPr="00C63626">
        <w:rPr>
          <w:color w:val="31849B" w:themeColor="accent5" w:themeShade="BF"/>
          <w:sz w:val="48"/>
          <w:szCs w:val="48"/>
          <w:u w:val="single"/>
          <w:lang w:val="fr-CA"/>
        </w:rPr>
        <w:t>Rapport de méthodologie</w:t>
      </w:r>
    </w:p>
    <w:p w:rsidR="00C63626" w:rsidRDefault="00C63626" w:rsidP="00C63626">
      <w:pPr>
        <w:rPr>
          <w:lang w:val="fr-CA"/>
        </w:rPr>
      </w:pPr>
    </w:p>
    <w:p w:rsidR="00C63626" w:rsidRPr="00C63626" w:rsidRDefault="00C63626" w:rsidP="00C63626">
      <w:pPr>
        <w:rPr>
          <w:lang w:val="fr-CA"/>
        </w:rPr>
      </w:pPr>
    </w:p>
    <w:p w:rsidR="00C63626" w:rsidRPr="00F03967" w:rsidRDefault="00C63626" w:rsidP="00C63626">
      <w:pPr>
        <w:jc w:val="center"/>
        <w:rPr>
          <w:color w:val="943634" w:themeColor="accent2" w:themeShade="BF"/>
          <w:sz w:val="44"/>
          <w:szCs w:val="44"/>
          <w:lang w:val="fr-FR"/>
        </w:rPr>
      </w:pPr>
      <w:r w:rsidRPr="00F03967">
        <w:rPr>
          <w:color w:val="943634" w:themeColor="accent2" w:themeShade="BF"/>
          <w:sz w:val="44"/>
          <w:szCs w:val="44"/>
          <w:lang w:val="fr-FR"/>
        </w:rPr>
        <w:t>Détection de pneumonie à partir d’images radiographiques (</w:t>
      </w:r>
      <w:proofErr w:type="spellStart"/>
      <w:r w:rsidRPr="00F03967">
        <w:rPr>
          <w:color w:val="943634" w:themeColor="accent2" w:themeShade="BF"/>
          <w:sz w:val="44"/>
          <w:szCs w:val="44"/>
          <w:lang w:val="fr-FR"/>
        </w:rPr>
        <w:t>Chest</w:t>
      </w:r>
      <w:proofErr w:type="spellEnd"/>
      <w:r w:rsidRPr="00F03967">
        <w:rPr>
          <w:color w:val="943634" w:themeColor="accent2" w:themeShade="BF"/>
          <w:sz w:val="44"/>
          <w:szCs w:val="44"/>
          <w:lang w:val="fr-FR"/>
        </w:rPr>
        <w:t xml:space="preserve"> X-ray</w:t>
      </w:r>
      <w:proofErr w:type="gramStart"/>
      <w:r w:rsidRPr="00F03967">
        <w:rPr>
          <w:color w:val="943634" w:themeColor="accent2" w:themeShade="BF"/>
          <w:sz w:val="44"/>
          <w:szCs w:val="44"/>
          <w:lang w:val="fr-FR"/>
        </w:rPr>
        <w:t>)</w:t>
      </w:r>
      <w:proofErr w:type="gramEnd"/>
      <w:r w:rsidRPr="00F03967">
        <w:rPr>
          <w:color w:val="943634" w:themeColor="accent2" w:themeShade="BF"/>
          <w:sz w:val="44"/>
          <w:szCs w:val="44"/>
          <w:lang w:val="fr-FR"/>
        </w:rPr>
        <w:br/>
        <w:t xml:space="preserve">via </w:t>
      </w:r>
      <w:proofErr w:type="spellStart"/>
      <w:r w:rsidRPr="00F03967">
        <w:rPr>
          <w:color w:val="943634" w:themeColor="accent2" w:themeShade="BF"/>
          <w:sz w:val="44"/>
          <w:szCs w:val="44"/>
          <w:lang w:val="fr-FR"/>
        </w:rPr>
        <w:t>Deep</w:t>
      </w:r>
      <w:proofErr w:type="spellEnd"/>
      <w:r w:rsidRPr="00F03967">
        <w:rPr>
          <w:color w:val="943634" w:themeColor="accent2" w:themeShade="BF"/>
          <w:sz w:val="44"/>
          <w:szCs w:val="44"/>
          <w:lang w:val="fr-FR"/>
        </w:rPr>
        <w:t xml:space="preserve"> Learning et modèles pré‑entraînés</w:t>
      </w:r>
    </w:p>
    <w:p w:rsidR="002A21AD" w:rsidRPr="007C7905" w:rsidRDefault="002A21AD" w:rsidP="002A21AD">
      <w:pPr>
        <w:rPr>
          <w:lang w:val="fr-FR"/>
        </w:rPr>
      </w:pPr>
    </w:p>
    <w:p w:rsidR="0068497F" w:rsidRPr="00F03967" w:rsidRDefault="0068497F" w:rsidP="0068497F">
      <w:pPr>
        <w:pStyle w:val="Heading1"/>
        <w:rPr>
          <w:lang w:val="fr-FR"/>
        </w:rPr>
      </w:pPr>
      <w:r w:rsidRPr="00F03967">
        <w:rPr>
          <w:lang w:val="fr-FR"/>
        </w:rPr>
        <w:t>1. Problématique</w:t>
      </w:r>
    </w:p>
    <w:p w:rsidR="0068497F" w:rsidRPr="00F03967" w:rsidRDefault="0068497F" w:rsidP="0068497F">
      <w:pPr>
        <w:rPr>
          <w:lang w:val="fr-FR"/>
        </w:rPr>
      </w:pPr>
      <w:r w:rsidRPr="00F03967">
        <w:rPr>
          <w:lang w:val="fr-FR"/>
        </w:rPr>
        <w:t>La pneumonie constitue une pathologie respiratoire fréquente et potentiellement grave, en particulier dans les contextes à ressources limitées où l’accès à une expertise radiologique demeure restreint. Le diagnostic repose principalement sur l’interprétation de radiographies thoraciques (</w:t>
      </w:r>
      <w:proofErr w:type="spellStart"/>
      <w:r w:rsidRPr="00F03967">
        <w:rPr>
          <w:lang w:val="fr-FR"/>
        </w:rPr>
        <w:t>Chest</w:t>
      </w:r>
      <w:proofErr w:type="spellEnd"/>
      <w:r w:rsidRPr="00F03967">
        <w:rPr>
          <w:lang w:val="fr-FR"/>
        </w:rPr>
        <w:t xml:space="preserve"> X‑ray), un processus exposé à une variabilité inter‑lecteurs et à des difficultés d’interprétation liées à la qualité hétérogène des images et à la similarité visuelle avec d’autres atteintes pulmonaires. L’objectif de ce projet est de proposer une approche d’aide au diagnostic fondée sur l’apprentissage profond, permettant d’identifier automatiquement la présence de pneumonie et de fournir un score de confiance interprétable.</w:t>
      </w:r>
    </w:p>
    <w:p w:rsidR="0068497F" w:rsidRPr="00F03967" w:rsidRDefault="0068497F" w:rsidP="0068497F">
      <w:pPr>
        <w:pStyle w:val="Heading1"/>
        <w:rPr>
          <w:lang w:val="fr-FR"/>
        </w:rPr>
      </w:pPr>
      <w:r w:rsidRPr="00F03967">
        <w:rPr>
          <w:lang w:val="fr-FR"/>
        </w:rPr>
        <w:t>2. Objectifs du projet</w:t>
      </w:r>
      <w:bookmarkStart w:id="0" w:name="_GoBack"/>
      <w:bookmarkEnd w:id="0"/>
    </w:p>
    <w:p w:rsidR="0068497F" w:rsidRPr="00F03967" w:rsidRDefault="0068497F" w:rsidP="0068497F">
      <w:pPr>
        <w:rPr>
          <w:lang w:val="fr-FR"/>
        </w:rPr>
      </w:pPr>
      <w:r w:rsidRPr="00F03967">
        <w:rPr>
          <w:lang w:val="fr-FR"/>
        </w:rPr>
        <w:t>- Construire un pipeline reproductible de vision par ordinateur pour la classification binaire (</w:t>
      </w:r>
      <w:proofErr w:type="spellStart"/>
      <w:r w:rsidRPr="00F03967">
        <w:rPr>
          <w:lang w:val="fr-FR"/>
        </w:rPr>
        <w:t>Pneumonia</w:t>
      </w:r>
      <w:proofErr w:type="spellEnd"/>
      <w:r w:rsidRPr="00F03967">
        <w:rPr>
          <w:lang w:val="fr-FR"/>
        </w:rPr>
        <w:t xml:space="preserve"> vs Normal) sur radiographies thoraciques.</w:t>
      </w:r>
    </w:p>
    <w:p w:rsidR="0068497F" w:rsidRPr="00F03967" w:rsidRDefault="0068497F" w:rsidP="0068497F">
      <w:pPr>
        <w:rPr>
          <w:lang w:val="fr-FR"/>
        </w:rPr>
      </w:pPr>
      <w:r w:rsidRPr="00F03967">
        <w:rPr>
          <w:lang w:val="fr-FR"/>
        </w:rPr>
        <w:t>- Exploiter des modèles pré‑entraînés (</w:t>
      </w:r>
      <w:proofErr w:type="spellStart"/>
      <w:r w:rsidRPr="00F03967">
        <w:rPr>
          <w:lang w:val="fr-FR"/>
        </w:rPr>
        <w:t>transfer</w:t>
      </w:r>
      <w:proofErr w:type="spellEnd"/>
      <w:r w:rsidRPr="00F03967">
        <w:rPr>
          <w:lang w:val="fr-FR"/>
        </w:rPr>
        <w:t xml:space="preserve"> </w:t>
      </w:r>
      <w:proofErr w:type="spellStart"/>
      <w:r w:rsidRPr="00F03967">
        <w:rPr>
          <w:lang w:val="fr-FR"/>
        </w:rPr>
        <w:t>learning</w:t>
      </w:r>
      <w:proofErr w:type="spellEnd"/>
      <w:r w:rsidRPr="00F03967">
        <w:rPr>
          <w:lang w:val="fr-FR"/>
        </w:rPr>
        <w:t>) pour améliorer la performance avec des données annotées limitées.</w:t>
      </w:r>
    </w:p>
    <w:p w:rsidR="0068497F" w:rsidRPr="00F03967" w:rsidRDefault="0068497F" w:rsidP="0068497F">
      <w:pPr>
        <w:rPr>
          <w:lang w:val="fr-FR"/>
        </w:rPr>
      </w:pPr>
      <w:r w:rsidRPr="00F03967">
        <w:rPr>
          <w:lang w:val="fr-FR"/>
        </w:rPr>
        <w:t xml:space="preserve">- Comparer deux familles d’approches : </w:t>
      </w:r>
      <w:proofErr w:type="spellStart"/>
      <w:r w:rsidRPr="00F03967">
        <w:rPr>
          <w:lang w:val="fr-FR"/>
        </w:rPr>
        <w:t>Embeddings</w:t>
      </w:r>
      <w:proofErr w:type="spellEnd"/>
      <w:r w:rsidRPr="00F03967">
        <w:rPr>
          <w:lang w:val="fr-FR"/>
        </w:rPr>
        <w:t xml:space="preserve"> + modèles légers (régression logistique / SVM) et Fine‑</w:t>
      </w:r>
      <w:proofErr w:type="spellStart"/>
      <w:r w:rsidRPr="00F03967">
        <w:rPr>
          <w:lang w:val="fr-FR"/>
        </w:rPr>
        <w:t>tuning</w:t>
      </w:r>
      <w:proofErr w:type="spellEnd"/>
      <w:r w:rsidRPr="00F03967">
        <w:rPr>
          <w:lang w:val="fr-FR"/>
        </w:rPr>
        <w:t xml:space="preserve"> de CNN pré‑entraînés (</w:t>
      </w:r>
      <w:proofErr w:type="spellStart"/>
      <w:r w:rsidRPr="00F03967">
        <w:rPr>
          <w:lang w:val="fr-FR"/>
        </w:rPr>
        <w:t>ResNet</w:t>
      </w:r>
      <w:proofErr w:type="spellEnd"/>
      <w:r w:rsidRPr="00F03967">
        <w:rPr>
          <w:lang w:val="fr-FR"/>
        </w:rPr>
        <w:t xml:space="preserve">, </w:t>
      </w:r>
      <w:proofErr w:type="spellStart"/>
      <w:r w:rsidRPr="00F03967">
        <w:rPr>
          <w:lang w:val="fr-FR"/>
        </w:rPr>
        <w:t>EfficientNet</w:t>
      </w:r>
      <w:proofErr w:type="spellEnd"/>
      <w:r w:rsidRPr="00F03967">
        <w:rPr>
          <w:lang w:val="fr-FR"/>
        </w:rPr>
        <w:t xml:space="preserve">, </w:t>
      </w:r>
      <w:proofErr w:type="spellStart"/>
      <w:r w:rsidRPr="00F03967">
        <w:rPr>
          <w:lang w:val="fr-FR"/>
        </w:rPr>
        <w:t>DenseNet</w:t>
      </w:r>
      <w:proofErr w:type="spellEnd"/>
      <w:r w:rsidRPr="00F03967">
        <w:rPr>
          <w:lang w:val="fr-FR"/>
        </w:rPr>
        <w:t>).</w:t>
      </w:r>
    </w:p>
    <w:p w:rsidR="0068497F" w:rsidRPr="00F03967" w:rsidRDefault="0068497F" w:rsidP="0068497F">
      <w:pPr>
        <w:rPr>
          <w:lang w:val="fr-FR"/>
        </w:rPr>
      </w:pPr>
      <w:r w:rsidRPr="00F03967">
        <w:rPr>
          <w:lang w:val="fr-FR"/>
        </w:rPr>
        <w:t xml:space="preserve">- Conduire une étude d’ablation afin d’identifier les composants déterminants (data augmentation, choix du </w:t>
      </w:r>
      <w:proofErr w:type="spellStart"/>
      <w:r w:rsidRPr="00F03967">
        <w:rPr>
          <w:lang w:val="fr-FR"/>
        </w:rPr>
        <w:t>backbone</w:t>
      </w:r>
      <w:proofErr w:type="spellEnd"/>
      <w:r w:rsidRPr="00F03967">
        <w:rPr>
          <w:lang w:val="fr-FR"/>
        </w:rPr>
        <w:t>, profondeur de fine‑</w:t>
      </w:r>
      <w:proofErr w:type="spellStart"/>
      <w:r w:rsidRPr="00F03967">
        <w:rPr>
          <w:lang w:val="fr-FR"/>
        </w:rPr>
        <w:t>tuning</w:t>
      </w:r>
      <w:proofErr w:type="spellEnd"/>
      <w:r w:rsidRPr="00F03967">
        <w:rPr>
          <w:lang w:val="fr-FR"/>
        </w:rPr>
        <w:t>).</w:t>
      </w:r>
    </w:p>
    <w:p w:rsidR="0068497F" w:rsidRPr="00F03967" w:rsidRDefault="0068497F" w:rsidP="0068497F">
      <w:pPr>
        <w:rPr>
          <w:lang w:val="fr-FR"/>
        </w:rPr>
      </w:pPr>
      <w:r w:rsidRPr="00F03967">
        <w:rPr>
          <w:lang w:val="fr-FR"/>
        </w:rPr>
        <w:t xml:space="preserve">- Optimiser l’inférence pour contrainte GPU (T4 </w:t>
      </w:r>
      <w:proofErr w:type="spellStart"/>
      <w:r w:rsidRPr="00F03967">
        <w:rPr>
          <w:lang w:val="fr-FR"/>
        </w:rPr>
        <w:t>Colab</w:t>
      </w:r>
      <w:proofErr w:type="spellEnd"/>
      <w:r w:rsidRPr="00F03967">
        <w:rPr>
          <w:lang w:val="fr-FR"/>
        </w:rPr>
        <w:t xml:space="preserve">) via </w:t>
      </w:r>
      <w:proofErr w:type="spellStart"/>
      <w:r w:rsidRPr="00F03967">
        <w:rPr>
          <w:lang w:val="fr-FR"/>
        </w:rPr>
        <w:t>quantization</w:t>
      </w:r>
      <w:proofErr w:type="spellEnd"/>
      <w:r w:rsidRPr="00F03967">
        <w:rPr>
          <w:lang w:val="fr-FR"/>
        </w:rPr>
        <w:t xml:space="preserve"> (FP16/INT8) et bonnes pratiques de test‑time.</w:t>
      </w:r>
    </w:p>
    <w:p w:rsidR="0068497F" w:rsidRPr="00F03967" w:rsidRDefault="0068497F" w:rsidP="0068497F">
      <w:pPr>
        <w:rPr>
          <w:lang w:val="fr-FR"/>
        </w:rPr>
      </w:pPr>
      <w:r w:rsidRPr="00F03967">
        <w:rPr>
          <w:lang w:val="fr-FR"/>
        </w:rPr>
        <w:lastRenderedPageBreak/>
        <w:t xml:space="preserve">- Évaluer la solution avec des métriques robustes (AUC, F1‑score, rappel, précision) et une </w:t>
      </w:r>
      <w:proofErr w:type="spellStart"/>
      <w:r w:rsidRPr="00F03967">
        <w:rPr>
          <w:lang w:val="fr-FR"/>
        </w:rPr>
        <w:t>explicabilité</w:t>
      </w:r>
      <w:proofErr w:type="spellEnd"/>
      <w:r w:rsidRPr="00F03967">
        <w:rPr>
          <w:lang w:val="fr-FR"/>
        </w:rPr>
        <w:t xml:space="preserve"> (</w:t>
      </w:r>
      <w:proofErr w:type="spellStart"/>
      <w:r w:rsidRPr="00F03967">
        <w:rPr>
          <w:lang w:val="fr-FR"/>
        </w:rPr>
        <w:t>Grad</w:t>
      </w:r>
      <w:proofErr w:type="spellEnd"/>
      <w:r w:rsidRPr="00F03967">
        <w:rPr>
          <w:lang w:val="fr-FR"/>
        </w:rPr>
        <w:t>‑CAM) adaptée au cadre médical.</w:t>
      </w:r>
    </w:p>
    <w:p w:rsidR="0068497F" w:rsidRPr="00F03967" w:rsidRDefault="0068497F" w:rsidP="0068497F">
      <w:pPr>
        <w:pStyle w:val="Heading1"/>
        <w:rPr>
          <w:lang w:val="fr-FR"/>
        </w:rPr>
      </w:pPr>
      <w:r w:rsidRPr="00F03967">
        <w:rPr>
          <w:lang w:val="fr-FR"/>
        </w:rPr>
        <w:t>3. Données utilisées</w:t>
      </w:r>
    </w:p>
    <w:p w:rsidR="00C63626" w:rsidRPr="00F03967" w:rsidRDefault="00C63626" w:rsidP="00C63626">
      <w:pPr>
        <w:rPr>
          <w:lang w:val="fr-FR"/>
        </w:rPr>
      </w:pPr>
      <w:r w:rsidRPr="00F03967">
        <w:rPr>
          <w:lang w:val="fr-FR"/>
        </w:rPr>
        <w:t xml:space="preserve">Le projet s’appuie sur des jeux de données publics de radiographies thoraciques, notamment le </w:t>
      </w:r>
      <w:proofErr w:type="spellStart"/>
      <w:r w:rsidRPr="00F03967">
        <w:rPr>
          <w:lang w:val="fr-FR"/>
        </w:rPr>
        <w:t>dataset</w:t>
      </w:r>
      <w:proofErr w:type="spellEnd"/>
      <w:r w:rsidRPr="00F03967">
        <w:rPr>
          <w:lang w:val="fr-FR"/>
        </w:rPr>
        <w:t xml:space="preserve"> </w:t>
      </w:r>
      <w:proofErr w:type="spellStart"/>
      <w:r w:rsidRPr="00F03967">
        <w:rPr>
          <w:lang w:val="fr-FR"/>
        </w:rPr>
        <w:t>Chest</w:t>
      </w:r>
      <w:proofErr w:type="spellEnd"/>
      <w:r w:rsidRPr="00F03967">
        <w:rPr>
          <w:lang w:val="fr-FR"/>
        </w:rPr>
        <w:t xml:space="preserve"> X‑Ray </w:t>
      </w:r>
      <w:proofErr w:type="spellStart"/>
      <w:r w:rsidRPr="00F03967">
        <w:rPr>
          <w:lang w:val="fr-FR"/>
        </w:rPr>
        <w:t>Pneumonia</w:t>
      </w:r>
      <w:proofErr w:type="spellEnd"/>
      <w:r w:rsidRPr="00F03967">
        <w:rPr>
          <w:lang w:val="fr-FR"/>
        </w:rPr>
        <w:t xml:space="preserve"> (deux classes : Normal / </w:t>
      </w:r>
      <w:proofErr w:type="spellStart"/>
      <w:r w:rsidRPr="00F03967">
        <w:rPr>
          <w:lang w:val="fr-FR"/>
        </w:rPr>
        <w:t>Pneumonia</w:t>
      </w:r>
      <w:proofErr w:type="spellEnd"/>
      <w:r w:rsidRPr="00F03967">
        <w:rPr>
          <w:lang w:val="fr-FR"/>
        </w:rPr>
        <w:t>). Les données feront l’objet d’un contrôle de qualité (résolution, doublons) et d’une préparation standardisée (conversion d’images, harmonisation du format), puis seront partitionnées en jeux d’entraînement, validation et test en respectant, si possible, une séparation par patient pour prévenir les fuites de données.</w:t>
      </w:r>
    </w:p>
    <w:p w:rsidR="00B63777" w:rsidRPr="007C7905" w:rsidRDefault="002A21AD">
      <w:pPr>
        <w:pStyle w:val="Heading2"/>
        <w:rPr>
          <w:lang w:val="fr-FR"/>
        </w:rPr>
      </w:pPr>
      <w:r w:rsidRPr="007C7905">
        <w:rPr>
          <w:lang w:val="fr-FR"/>
        </w:rPr>
        <w:t>4. Méthodologie prévue</w:t>
      </w:r>
    </w:p>
    <w:p w:rsidR="00C63626" w:rsidRPr="00F03967" w:rsidRDefault="00C63626" w:rsidP="00C63626">
      <w:pPr>
        <w:pStyle w:val="Heading2"/>
        <w:rPr>
          <w:lang w:val="fr-FR"/>
        </w:rPr>
      </w:pPr>
      <w:r w:rsidRPr="00F03967">
        <w:rPr>
          <w:lang w:val="fr-FR"/>
        </w:rPr>
        <w:t>4.1. Prétraitement et augmentation</w:t>
      </w:r>
    </w:p>
    <w:p w:rsidR="00C63626" w:rsidRPr="00F03967" w:rsidRDefault="00C63626" w:rsidP="00C63626">
      <w:pPr>
        <w:rPr>
          <w:lang w:val="fr-FR"/>
        </w:rPr>
      </w:pPr>
      <w:r w:rsidRPr="00F03967">
        <w:rPr>
          <w:lang w:val="fr-FR"/>
        </w:rPr>
        <w:t xml:space="preserve">Redimensionnement (224×224 ou 256×256 selon le </w:t>
      </w:r>
      <w:proofErr w:type="spellStart"/>
      <w:r w:rsidRPr="00F03967">
        <w:rPr>
          <w:lang w:val="fr-FR"/>
        </w:rPr>
        <w:t>backbone</w:t>
      </w:r>
      <w:proofErr w:type="spellEnd"/>
      <w:r w:rsidRPr="00F03967">
        <w:rPr>
          <w:lang w:val="fr-FR"/>
        </w:rPr>
        <w:t xml:space="preserve">), normalisation par statistiques </w:t>
      </w:r>
      <w:proofErr w:type="spellStart"/>
      <w:r w:rsidRPr="00F03967">
        <w:rPr>
          <w:lang w:val="fr-FR"/>
        </w:rPr>
        <w:t>ImageNet</w:t>
      </w:r>
      <w:proofErr w:type="spellEnd"/>
      <w:r w:rsidRPr="00F03967">
        <w:rPr>
          <w:lang w:val="fr-FR"/>
        </w:rPr>
        <w:t>, et data augmentation contrôlée (flip horizontal, rotations légères ≤ 10°, translations, variations de luminosité/contraste). Ces transformations ne seront appliquées que sur le jeu d’entraînement.</w:t>
      </w:r>
    </w:p>
    <w:p w:rsidR="00C63626" w:rsidRPr="00F03967" w:rsidRDefault="00C63626" w:rsidP="00C63626">
      <w:pPr>
        <w:pStyle w:val="Heading2"/>
        <w:rPr>
          <w:lang w:val="fr-FR"/>
        </w:rPr>
      </w:pPr>
      <w:r w:rsidRPr="00F03967">
        <w:rPr>
          <w:lang w:val="fr-FR"/>
        </w:rPr>
        <w:t xml:space="preserve">4.2. Approche A — </w:t>
      </w:r>
      <w:proofErr w:type="spellStart"/>
      <w:r w:rsidRPr="00F03967">
        <w:rPr>
          <w:lang w:val="fr-FR"/>
        </w:rPr>
        <w:t>Embeddings</w:t>
      </w:r>
      <w:proofErr w:type="spellEnd"/>
      <w:r w:rsidRPr="00F03967">
        <w:rPr>
          <w:lang w:val="fr-FR"/>
        </w:rPr>
        <w:t xml:space="preserve"> + modèles légers (</w:t>
      </w:r>
      <w:proofErr w:type="spellStart"/>
      <w:r w:rsidRPr="00F03967">
        <w:rPr>
          <w:lang w:val="fr-FR"/>
        </w:rPr>
        <w:t>baseline</w:t>
      </w:r>
      <w:proofErr w:type="spellEnd"/>
      <w:r w:rsidRPr="00F03967">
        <w:rPr>
          <w:lang w:val="fr-FR"/>
        </w:rPr>
        <w:t xml:space="preserve"> CPU)</w:t>
      </w:r>
    </w:p>
    <w:p w:rsidR="00C63626" w:rsidRPr="00F03967" w:rsidRDefault="00C63626" w:rsidP="00C63626">
      <w:pPr>
        <w:rPr>
          <w:lang w:val="fr-FR"/>
        </w:rPr>
      </w:pPr>
      <w:r w:rsidRPr="00F03967">
        <w:rPr>
          <w:lang w:val="fr-FR"/>
        </w:rPr>
        <w:t>Extraction d’</w:t>
      </w:r>
      <w:proofErr w:type="spellStart"/>
      <w:r w:rsidRPr="00F03967">
        <w:rPr>
          <w:lang w:val="fr-FR"/>
        </w:rPr>
        <w:t>embeddings</w:t>
      </w:r>
      <w:proofErr w:type="spellEnd"/>
      <w:r w:rsidRPr="00F03967">
        <w:rPr>
          <w:lang w:val="fr-FR"/>
        </w:rPr>
        <w:t xml:space="preserve"> via des </w:t>
      </w:r>
      <w:proofErr w:type="spellStart"/>
      <w:r w:rsidRPr="00F03967">
        <w:rPr>
          <w:lang w:val="fr-FR"/>
        </w:rPr>
        <w:t>backbones</w:t>
      </w:r>
      <w:proofErr w:type="spellEnd"/>
      <w:r w:rsidRPr="00F03967">
        <w:rPr>
          <w:lang w:val="fr-FR"/>
        </w:rPr>
        <w:t xml:space="preserve"> gelés (ResNet50, EfficientNet‑B0, DenseNet121) en utilisant la couche de Global </w:t>
      </w:r>
      <w:proofErr w:type="spellStart"/>
      <w:r w:rsidRPr="00F03967">
        <w:rPr>
          <w:lang w:val="fr-FR"/>
        </w:rPr>
        <w:t>Average</w:t>
      </w:r>
      <w:proofErr w:type="spellEnd"/>
      <w:r w:rsidRPr="00F03967">
        <w:rPr>
          <w:lang w:val="fr-FR"/>
        </w:rPr>
        <w:t xml:space="preserve"> </w:t>
      </w:r>
      <w:proofErr w:type="spellStart"/>
      <w:r w:rsidRPr="00F03967">
        <w:rPr>
          <w:lang w:val="fr-FR"/>
        </w:rPr>
        <w:t>Pooling</w:t>
      </w:r>
      <w:proofErr w:type="spellEnd"/>
      <w:r w:rsidRPr="00F03967">
        <w:rPr>
          <w:lang w:val="fr-FR"/>
        </w:rPr>
        <w:t xml:space="preserve"> ; classification par régression logistique ou SVM linéaire. Cette approche sert de référence simple et légère pour quantifier l’apport du fine‑</w:t>
      </w:r>
      <w:proofErr w:type="spellStart"/>
      <w:r w:rsidRPr="00F03967">
        <w:rPr>
          <w:lang w:val="fr-FR"/>
        </w:rPr>
        <w:t>tuning</w:t>
      </w:r>
      <w:proofErr w:type="spellEnd"/>
      <w:r w:rsidRPr="00F03967">
        <w:rPr>
          <w:lang w:val="fr-FR"/>
        </w:rPr>
        <w:t>.</w:t>
      </w:r>
    </w:p>
    <w:p w:rsidR="00C63626" w:rsidRPr="00C63626" w:rsidRDefault="00C63626" w:rsidP="00C63626">
      <w:pPr>
        <w:pStyle w:val="Heading2"/>
      </w:pPr>
      <w:r>
        <w:t xml:space="preserve">4.3. </w:t>
      </w:r>
      <w:proofErr w:type="spellStart"/>
      <w:r>
        <w:t>Approche</w:t>
      </w:r>
      <w:proofErr w:type="spellEnd"/>
      <w:r>
        <w:t xml:space="preserve"> B — Transfer learning (fine</w:t>
      </w:r>
      <w:r>
        <w:rPr>
          <w:rFonts w:ascii="Cambria Math" w:hAnsi="Cambria Math" w:cs="Cambria Math"/>
        </w:rPr>
        <w:t>‑</w:t>
      </w:r>
      <w:r>
        <w:t>tuning CNN)</w:t>
      </w:r>
    </w:p>
    <w:p w:rsidR="00C63626" w:rsidRPr="00F03967" w:rsidRDefault="00C63626" w:rsidP="00C63626">
      <w:pPr>
        <w:rPr>
          <w:lang w:val="fr-FR"/>
        </w:rPr>
      </w:pPr>
      <w:r>
        <w:t xml:space="preserve">Backbones </w:t>
      </w:r>
      <w:proofErr w:type="spellStart"/>
      <w:proofErr w:type="gramStart"/>
      <w:r>
        <w:t>candidats</w:t>
      </w:r>
      <w:proofErr w:type="spellEnd"/>
      <w:r>
        <w:t xml:space="preserve"> :</w:t>
      </w:r>
      <w:proofErr w:type="gramEnd"/>
      <w:r>
        <w:t xml:space="preserve"> ResNet50, EfficientNet‑B0/B3, DenseNet121 (</w:t>
      </w:r>
      <w:proofErr w:type="spellStart"/>
      <w:r>
        <w:t>poids</w:t>
      </w:r>
      <w:proofErr w:type="spellEnd"/>
      <w:r>
        <w:t xml:space="preserve"> </w:t>
      </w:r>
      <w:proofErr w:type="spellStart"/>
      <w:r>
        <w:t>ImageNet</w:t>
      </w:r>
      <w:proofErr w:type="spellEnd"/>
      <w:r>
        <w:t xml:space="preserve">). Tête de </w:t>
      </w:r>
      <w:proofErr w:type="gramStart"/>
      <w:r>
        <w:t>classification :</w:t>
      </w:r>
      <w:proofErr w:type="gramEnd"/>
      <w:r>
        <w:t xml:space="preserve"> Global Average Pooling → Dropout → </w:t>
      </w:r>
      <w:proofErr w:type="spellStart"/>
      <w:r>
        <w:t>Couche</w:t>
      </w:r>
      <w:proofErr w:type="spellEnd"/>
      <w:r>
        <w:t xml:space="preserve"> fully‑connected (1 </w:t>
      </w:r>
      <w:proofErr w:type="spellStart"/>
      <w:r>
        <w:t>logit</w:t>
      </w:r>
      <w:proofErr w:type="spellEnd"/>
      <w:r>
        <w:t xml:space="preserve">) → </w:t>
      </w:r>
      <w:proofErr w:type="spellStart"/>
      <w:r>
        <w:t>Sigmoïde</w:t>
      </w:r>
      <w:proofErr w:type="spellEnd"/>
      <w:r>
        <w:t xml:space="preserve">. </w:t>
      </w:r>
      <w:r w:rsidRPr="00F03967">
        <w:rPr>
          <w:lang w:val="fr-FR"/>
        </w:rPr>
        <w:t xml:space="preserve">Schéma d’entraînement : Phase 1, gel complet du </w:t>
      </w:r>
      <w:proofErr w:type="spellStart"/>
      <w:r w:rsidRPr="00F03967">
        <w:rPr>
          <w:lang w:val="fr-FR"/>
        </w:rPr>
        <w:t>backbone</w:t>
      </w:r>
      <w:proofErr w:type="spellEnd"/>
      <w:r w:rsidRPr="00F03967">
        <w:rPr>
          <w:lang w:val="fr-FR"/>
        </w:rPr>
        <w:t xml:space="preserve"> et entraînement de la tête ; Phase 2, dégel des derniers blocs avec un taux d’apprentissage réduit et </w:t>
      </w:r>
      <w:proofErr w:type="spellStart"/>
      <w:r w:rsidRPr="00F03967">
        <w:rPr>
          <w:lang w:val="fr-FR"/>
        </w:rPr>
        <w:t>scheduler</w:t>
      </w:r>
      <w:proofErr w:type="spellEnd"/>
      <w:r w:rsidRPr="00F03967">
        <w:rPr>
          <w:lang w:val="fr-FR"/>
        </w:rPr>
        <w:t xml:space="preserve"> (</w:t>
      </w:r>
      <w:proofErr w:type="spellStart"/>
      <w:r w:rsidRPr="00F03967">
        <w:rPr>
          <w:lang w:val="fr-FR"/>
        </w:rPr>
        <w:t>Cosine</w:t>
      </w:r>
      <w:proofErr w:type="spellEnd"/>
      <w:r w:rsidRPr="00F03967">
        <w:rPr>
          <w:lang w:val="fr-FR"/>
        </w:rPr>
        <w:t>/</w:t>
      </w:r>
      <w:proofErr w:type="spellStart"/>
      <w:r w:rsidRPr="00F03967">
        <w:rPr>
          <w:lang w:val="fr-FR"/>
        </w:rPr>
        <w:t>Step</w:t>
      </w:r>
      <w:proofErr w:type="spellEnd"/>
      <w:r w:rsidRPr="00F03967">
        <w:rPr>
          <w:lang w:val="fr-FR"/>
        </w:rPr>
        <w:t xml:space="preserve">), optimisation </w:t>
      </w:r>
      <w:proofErr w:type="spellStart"/>
      <w:r w:rsidRPr="00F03967">
        <w:rPr>
          <w:lang w:val="fr-FR"/>
        </w:rPr>
        <w:t>AdamW</w:t>
      </w:r>
      <w:proofErr w:type="spellEnd"/>
      <w:r w:rsidRPr="00F03967">
        <w:rPr>
          <w:lang w:val="fr-FR"/>
        </w:rPr>
        <w:t xml:space="preserve"> et arrêt anticipé. Utilisation de la précision mixte (AMP) pour réduire l’empreinte mémoire sur T4.</w:t>
      </w:r>
    </w:p>
    <w:p w:rsidR="00C63626" w:rsidRPr="00C63626" w:rsidRDefault="00C63626" w:rsidP="00C63626">
      <w:pPr>
        <w:pStyle w:val="Heading2"/>
        <w:rPr>
          <w:lang w:val="fr-FR"/>
        </w:rPr>
      </w:pPr>
      <w:r w:rsidRPr="00F03967">
        <w:rPr>
          <w:lang w:val="fr-FR"/>
        </w:rPr>
        <w:t>4.4. Étude d’ablation (dessin expérimental)</w:t>
      </w:r>
    </w:p>
    <w:p w:rsidR="00C63626" w:rsidRPr="00F03967" w:rsidRDefault="00C63626" w:rsidP="00C63626">
      <w:pPr>
        <w:rPr>
          <w:lang w:val="fr-FR"/>
        </w:rPr>
      </w:pPr>
      <w:r w:rsidRPr="00F03967">
        <w:rPr>
          <w:lang w:val="fr-FR"/>
        </w:rPr>
        <w:t xml:space="preserve">A1 — Data augmentation : sans vs avec ; A2 — </w:t>
      </w:r>
      <w:proofErr w:type="spellStart"/>
      <w:r w:rsidRPr="00F03967">
        <w:rPr>
          <w:lang w:val="fr-FR"/>
        </w:rPr>
        <w:t>Backbone</w:t>
      </w:r>
      <w:proofErr w:type="spellEnd"/>
      <w:r w:rsidRPr="00F03967">
        <w:rPr>
          <w:lang w:val="fr-FR"/>
        </w:rPr>
        <w:t xml:space="preserve"> : ResNet50 vs EfficientNet‑B0 vs DenseNet121 ; A3 — Profondeur de fine‑</w:t>
      </w:r>
      <w:proofErr w:type="spellStart"/>
      <w:r w:rsidRPr="00F03967">
        <w:rPr>
          <w:lang w:val="fr-FR"/>
        </w:rPr>
        <w:t>tuning</w:t>
      </w:r>
      <w:proofErr w:type="spellEnd"/>
      <w:r w:rsidRPr="00F03967">
        <w:rPr>
          <w:lang w:val="fr-FR"/>
        </w:rPr>
        <w:t xml:space="preserve"> : tête seule vs derniers blocs vs fine‑</w:t>
      </w:r>
      <w:proofErr w:type="spellStart"/>
      <w:r w:rsidRPr="00F03967">
        <w:rPr>
          <w:lang w:val="fr-FR"/>
        </w:rPr>
        <w:t>tuning</w:t>
      </w:r>
      <w:proofErr w:type="spellEnd"/>
      <w:r w:rsidRPr="00F03967">
        <w:rPr>
          <w:lang w:val="fr-FR"/>
        </w:rPr>
        <w:t xml:space="preserve"> complet ; A4 — Stratégie de décision : seuil fixe (0,5) vs seuil optimisé sur la courbe </w:t>
      </w:r>
      <w:proofErr w:type="spellStart"/>
      <w:r w:rsidRPr="00F03967">
        <w:rPr>
          <w:lang w:val="fr-FR"/>
        </w:rPr>
        <w:t>Precision‑Recall</w:t>
      </w:r>
      <w:proofErr w:type="spellEnd"/>
      <w:r w:rsidRPr="00F03967">
        <w:rPr>
          <w:lang w:val="fr-FR"/>
        </w:rPr>
        <w:t xml:space="preserve"> (maximisation du F1 ou du rappel).</w:t>
      </w:r>
    </w:p>
    <w:p w:rsidR="00C63626" w:rsidRPr="00F03967" w:rsidRDefault="00C63626" w:rsidP="00C63626">
      <w:pPr>
        <w:pStyle w:val="Heading2"/>
        <w:rPr>
          <w:lang w:val="fr-FR"/>
        </w:rPr>
      </w:pPr>
      <w:r w:rsidRPr="00F03967">
        <w:rPr>
          <w:lang w:val="fr-FR"/>
        </w:rPr>
        <w:t>4.5. Optimisation pour l’inférence (test</w:t>
      </w:r>
      <w:r w:rsidRPr="00F03967">
        <w:rPr>
          <w:rFonts w:ascii="Cambria Math" w:hAnsi="Cambria Math" w:cs="Cambria Math"/>
          <w:lang w:val="fr-FR"/>
        </w:rPr>
        <w:t>‑</w:t>
      </w:r>
      <w:r w:rsidRPr="00F03967">
        <w:rPr>
          <w:lang w:val="fr-FR"/>
        </w:rPr>
        <w:t>time)</w:t>
      </w:r>
    </w:p>
    <w:p w:rsidR="00C63626" w:rsidRPr="00F03967" w:rsidRDefault="00C63626" w:rsidP="00C63626">
      <w:pPr>
        <w:rPr>
          <w:lang w:val="fr-FR"/>
        </w:rPr>
      </w:pPr>
      <w:proofErr w:type="spellStart"/>
      <w:r w:rsidRPr="00F03967">
        <w:rPr>
          <w:lang w:val="fr-FR"/>
        </w:rPr>
        <w:t>Quantization</w:t>
      </w:r>
      <w:proofErr w:type="spellEnd"/>
      <w:r w:rsidRPr="00F03967">
        <w:rPr>
          <w:lang w:val="fr-FR"/>
        </w:rPr>
        <w:t xml:space="preserve"> FP16/INT8 (ONNX </w:t>
      </w:r>
      <w:proofErr w:type="spellStart"/>
      <w:r w:rsidRPr="00F03967">
        <w:rPr>
          <w:lang w:val="fr-FR"/>
        </w:rPr>
        <w:t>Runtime</w:t>
      </w:r>
      <w:proofErr w:type="spellEnd"/>
      <w:r w:rsidRPr="00F03967">
        <w:rPr>
          <w:lang w:val="fr-FR"/>
        </w:rPr>
        <w:t xml:space="preserve"> ou </w:t>
      </w:r>
      <w:proofErr w:type="spellStart"/>
      <w:r w:rsidRPr="00F03967">
        <w:rPr>
          <w:lang w:val="fr-FR"/>
        </w:rPr>
        <w:t>TensorRT</w:t>
      </w:r>
      <w:proofErr w:type="spellEnd"/>
      <w:r w:rsidRPr="00F03967">
        <w:rPr>
          <w:lang w:val="fr-FR"/>
        </w:rPr>
        <w:t xml:space="preserve">) avec calibration sur un sous‑ensemble de validation ; </w:t>
      </w:r>
      <w:proofErr w:type="spellStart"/>
      <w:r w:rsidRPr="00F03967">
        <w:rPr>
          <w:lang w:val="fr-FR"/>
        </w:rPr>
        <w:t>batching</w:t>
      </w:r>
      <w:proofErr w:type="spellEnd"/>
      <w:r w:rsidRPr="00F03967">
        <w:rPr>
          <w:lang w:val="fr-FR"/>
        </w:rPr>
        <w:t xml:space="preserve"> raisonnable, fusions de couches, </w:t>
      </w:r>
      <w:proofErr w:type="spellStart"/>
      <w:r w:rsidRPr="00F03967">
        <w:rPr>
          <w:lang w:val="fr-FR"/>
        </w:rPr>
        <w:t>pré‑chauffage</w:t>
      </w:r>
      <w:proofErr w:type="spellEnd"/>
      <w:r w:rsidRPr="00F03967">
        <w:rPr>
          <w:lang w:val="fr-FR"/>
        </w:rPr>
        <w:t xml:space="preserve">, et </w:t>
      </w:r>
      <w:r w:rsidRPr="00F03967">
        <w:rPr>
          <w:lang w:val="fr-FR"/>
        </w:rPr>
        <w:lastRenderedPageBreak/>
        <w:t>verrouillage du thread‑pool CPU pour la stabilité. Cible matérielle : GPU T4 (</w:t>
      </w:r>
      <w:proofErr w:type="spellStart"/>
      <w:r w:rsidRPr="00F03967">
        <w:rPr>
          <w:lang w:val="fr-FR"/>
        </w:rPr>
        <w:t>Colab</w:t>
      </w:r>
      <w:proofErr w:type="spellEnd"/>
      <w:r w:rsidRPr="00F03967">
        <w:rPr>
          <w:lang w:val="fr-FR"/>
        </w:rPr>
        <w:t xml:space="preserve">) ; option CPU via la </w:t>
      </w:r>
      <w:proofErr w:type="spellStart"/>
      <w:r w:rsidRPr="00F03967">
        <w:rPr>
          <w:lang w:val="fr-FR"/>
        </w:rPr>
        <w:t>baseline</w:t>
      </w:r>
      <w:proofErr w:type="spellEnd"/>
      <w:r w:rsidRPr="00F03967">
        <w:rPr>
          <w:lang w:val="fr-FR"/>
        </w:rPr>
        <w:t xml:space="preserve"> </w:t>
      </w:r>
      <w:proofErr w:type="spellStart"/>
      <w:r w:rsidRPr="00F03967">
        <w:rPr>
          <w:lang w:val="fr-FR"/>
        </w:rPr>
        <w:t>embeddings</w:t>
      </w:r>
      <w:proofErr w:type="spellEnd"/>
      <w:r w:rsidRPr="00F03967">
        <w:rPr>
          <w:lang w:val="fr-FR"/>
        </w:rPr>
        <w:t xml:space="preserve"> + </w:t>
      </w:r>
      <w:proofErr w:type="spellStart"/>
      <w:r w:rsidRPr="00F03967">
        <w:rPr>
          <w:lang w:val="fr-FR"/>
        </w:rPr>
        <w:t>classifieurs</w:t>
      </w:r>
      <w:proofErr w:type="spellEnd"/>
      <w:r w:rsidRPr="00F03967">
        <w:rPr>
          <w:lang w:val="fr-FR"/>
        </w:rPr>
        <w:t>.</w:t>
      </w:r>
    </w:p>
    <w:p w:rsidR="00C63626" w:rsidRDefault="00C63626" w:rsidP="00C63626">
      <w:pPr>
        <w:pStyle w:val="Heading2"/>
        <w:rPr>
          <w:lang w:val="fr-FR"/>
        </w:rPr>
      </w:pPr>
      <w:r w:rsidRPr="00F03967">
        <w:rPr>
          <w:lang w:val="fr-FR"/>
        </w:rPr>
        <w:t>4.6. Évaluation et validation</w:t>
      </w:r>
    </w:p>
    <w:p w:rsidR="00C63626" w:rsidRPr="00C63626" w:rsidRDefault="00C63626" w:rsidP="00C63626">
      <w:pPr>
        <w:rPr>
          <w:lang w:val="fr-FR"/>
        </w:rPr>
      </w:pPr>
    </w:p>
    <w:p w:rsidR="00C63626" w:rsidRDefault="00C63626" w:rsidP="00C63626">
      <w:pPr>
        <w:rPr>
          <w:lang w:val="fr-FR"/>
        </w:rPr>
      </w:pPr>
      <w:r w:rsidRPr="00F03967">
        <w:rPr>
          <w:lang w:val="fr-FR"/>
        </w:rPr>
        <w:t xml:space="preserve">Métriques principales : AUC‑ROC, F1‑score, rappel, précision, </w:t>
      </w:r>
      <w:proofErr w:type="spellStart"/>
      <w:r w:rsidRPr="00F03967">
        <w:rPr>
          <w:lang w:val="fr-FR"/>
        </w:rPr>
        <w:t>accuracy</w:t>
      </w:r>
      <w:proofErr w:type="spellEnd"/>
      <w:r w:rsidRPr="00F03967">
        <w:rPr>
          <w:lang w:val="fr-FR"/>
        </w:rPr>
        <w:t xml:space="preserve"> ; courbe </w:t>
      </w:r>
      <w:proofErr w:type="spellStart"/>
      <w:r w:rsidRPr="00F03967">
        <w:rPr>
          <w:lang w:val="fr-FR"/>
        </w:rPr>
        <w:t>Precision‑Recall</w:t>
      </w:r>
      <w:proofErr w:type="spellEnd"/>
      <w:r w:rsidRPr="00F03967">
        <w:rPr>
          <w:lang w:val="fr-FR"/>
        </w:rPr>
        <w:t xml:space="preserve"> en cas de déséquilibre de classes. Analyse d’erreurs par matrice de confusion et revue qualitative d’images. </w:t>
      </w:r>
      <w:proofErr w:type="spellStart"/>
      <w:r w:rsidRPr="00F03967">
        <w:rPr>
          <w:lang w:val="fr-FR"/>
        </w:rPr>
        <w:t>Explicabilité</w:t>
      </w:r>
      <w:proofErr w:type="spellEnd"/>
      <w:r w:rsidRPr="00F03967">
        <w:rPr>
          <w:lang w:val="fr-FR"/>
        </w:rPr>
        <w:t xml:space="preserve"> par </w:t>
      </w:r>
      <w:proofErr w:type="spellStart"/>
      <w:r w:rsidRPr="00F03967">
        <w:rPr>
          <w:lang w:val="fr-FR"/>
        </w:rPr>
        <w:t>Grad</w:t>
      </w:r>
      <w:proofErr w:type="spellEnd"/>
      <w:r w:rsidRPr="00F03967">
        <w:rPr>
          <w:lang w:val="fr-FR"/>
        </w:rPr>
        <w:t>‑CAM afin d’assurer la plausibilité clinique des zones mises en évidence.</w:t>
      </w:r>
    </w:p>
    <w:p w:rsidR="00C63626" w:rsidRDefault="00C63626" w:rsidP="00C63626">
      <w:pPr>
        <w:rPr>
          <w:lang w:val="fr-FR"/>
        </w:rPr>
      </w:pPr>
    </w:p>
    <w:p w:rsidR="00C63626" w:rsidRDefault="00C63626" w:rsidP="00C63626">
      <w:pPr>
        <w:pStyle w:val="Heading2"/>
        <w:rPr>
          <w:lang w:val="fr-FR"/>
        </w:rPr>
      </w:pPr>
      <w:r w:rsidRPr="00F03967">
        <w:rPr>
          <w:lang w:val="fr-FR"/>
        </w:rPr>
        <w:t>Schéma du pipeline (option O5)</w:t>
      </w:r>
    </w:p>
    <w:p w:rsidR="00C63626" w:rsidRDefault="00C63626" w:rsidP="00C63626">
      <w:pPr>
        <w:rPr>
          <w:lang w:val="fr-FR"/>
        </w:rPr>
      </w:pPr>
    </w:p>
    <w:p w:rsidR="00C63626" w:rsidRDefault="00C63626" w:rsidP="00C63626">
      <w:pPr>
        <w:rPr>
          <w:lang w:val="fr-FR"/>
        </w:rPr>
      </w:pPr>
      <w:r>
        <w:rPr>
          <w:noProof/>
          <w:lang w:val="fr-FR" w:eastAsia="fr-FR"/>
        </w:rPr>
        <w:drawing>
          <wp:inline distT="0" distB="0" distL="0" distR="0" wp14:anchorId="18B22ACE" wp14:editId="0620EC84">
            <wp:extent cx="548640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line_diagram.png"/>
                    <pic:cNvPicPr/>
                  </pic:nvPicPr>
                  <pic:blipFill>
                    <a:blip r:embed="rId8"/>
                    <a:stretch>
                      <a:fillRect/>
                    </a:stretch>
                  </pic:blipFill>
                  <pic:spPr>
                    <a:xfrm>
                      <a:off x="0" y="0"/>
                      <a:ext cx="5486400" cy="1607820"/>
                    </a:xfrm>
                    <a:prstGeom prst="rect">
                      <a:avLst/>
                    </a:prstGeom>
                  </pic:spPr>
                </pic:pic>
              </a:graphicData>
            </a:graphic>
          </wp:inline>
        </w:drawing>
      </w:r>
    </w:p>
    <w:p w:rsidR="00C63626" w:rsidRPr="00F03967" w:rsidRDefault="00C63626" w:rsidP="00C63626">
      <w:pPr>
        <w:rPr>
          <w:lang w:val="fr-FR"/>
        </w:rPr>
      </w:pPr>
    </w:p>
    <w:p w:rsidR="00B63777" w:rsidRPr="002A21AD" w:rsidRDefault="002A21AD">
      <w:pPr>
        <w:pStyle w:val="Heading2"/>
        <w:rPr>
          <w:lang w:val="fr-CA"/>
        </w:rPr>
      </w:pPr>
      <w:r>
        <w:rPr>
          <w:lang w:val="fr-CA"/>
        </w:rPr>
        <w:t>5</w:t>
      </w:r>
      <w:r w:rsidRPr="002A21AD">
        <w:rPr>
          <w:lang w:val="fr-CA"/>
        </w:rPr>
        <w:t>. Conclusion</w:t>
      </w:r>
    </w:p>
    <w:p w:rsidR="00C63626" w:rsidRDefault="00C63626" w:rsidP="00C63626">
      <w:pPr>
        <w:rPr>
          <w:lang w:val="fr-FR"/>
        </w:rPr>
      </w:pPr>
      <w:r w:rsidRPr="00F03967">
        <w:rPr>
          <w:lang w:val="fr-FR"/>
        </w:rPr>
        <w:t xml:space="preserve">Le projet propose un système d’aide au diagnostic pour la détection de la pneumonie sur radiographies thoraciques fondé sur des réseaux </w:t>
      </w:r>
      <w:proofErr w:type="spellStart"/>
      <w:r w:rsidRPr="00F03967">
        <w:rPr>
          <w:lang w:val="fr-FR"/>
        </w:rPr>
        <w:t>convolutifs</w:t>
      </w:r>
      <w:proofErr w:type="spellEnd"/>
      <w:r w:rsidRPr="00F03967">
        <w:rPr>
          <w:lang w:val="fr-FR"/>
        </w:rPr>
        <w:t xml:space="preserve"> pré‑entraînés. La combinaison d’une </w:t>
      </w:r>
      <w:proofErr w:type="spellStart"/>
      <w:r w:rsidRPr="00F03967">
        <w:rPr>
          <w:lang w:val="fr-FR"/>
        </w:rPr>
        <w:t>baseline</w:t>
      </w:r>
      <w:proofErr w:type="spellEnd"/>
      <w:r w:rsidRPr="00F03967">
        <w:rPr>
          <w:lang w:val="fr-FR"/>
        </w:rPr>
        <w:t xml:space="preserve"> par </w:t>
      </w:r>
      <w:proofErr w:type="spellStart"/>
      <w:r w:rsidRPr="00F03967">
        <w:rPr>
          <w:lang w:val="fr-FR"/>
        </w:rPr>
        <w:t>embeddings</w:t>
      </w:r>
      <w:proofErr w:type="spellEnd"/>
      <w:r w:rsidRPr="00F03967">
        <w:rPr>
          <w:lang w:val="fr-FR"/>
        </w:rPr>
        <w:t xml:space="preserve"> et de stratégies de fine‑</w:t>
      </w:r>
      <w:proofErr w:type="spellStart"/>
      <w:r w:rsidRPr="00F03967">
        <w:rPr>
          <w:lang w:val="fr-FR"/>
        </w:rPr>
        <w:t>tuning</w:t>
      </w:r>
      <w:proofErr w:type="spellEnd"/>
      <w:r w:rsidRPr="00F03967">
        <w:rPr>
          <w:lang w:val="fr-FR"/>
        </w:rPr>
        <w:t xml:space="preserve"> permet une évaluation méthodologiquement rigoureuse, tandis que les optimisations d’inférence (FP16/INT8) garantissent une utilisation efficace des ressources (T4). Les métriques robustes et l’</w:t>
      </w:r>
      <w:proofErr w:type="spellStart"/>
      <w:r w:rsidRPr="00F03967">
        <w:rPr>
          <w:lang w:val="fr-FR"/>
        </w:rPr>
        <w:t>explicabilité</w:t>
      </w:r>
      <w:proofErr w:type="spellEnd"/>
      <w:r w:rsidRPr="00F03967">
        <w:rPr>
          <w:lang w:val="fr-FR"/>
        </w:rPr>
        <w:t xml:space="preserve"> (</w:t>
      </w:r>
      <w:proofErr w:type="spellStart"/>
      <w:r w:rsidRPr="00F03967">
        <w:rPr>
          <w:lang w:val="fr-FR"/>
        </w:rPr>
        <w:t>Grad</w:t>
      </w:r>
      <w:proofErr w:type="spellEnd"/>
      <w:r w:rsidRPr="00F03967">
        <w:rPr>
          <w:lang w:val="fr-FR"/>
        </w:rPr>
        <w:t>‑CAM) renforcent la crédibilité clinique de l’approche.</w:t>
      </w:r>
    </w:p>
    <w:p w:rsidR="00C63626" w:rsidRDefault="00C63626" w:rsidP="00C63626">
      <w:pPr>
        <w:rPr>
          <w:lang w:val="fr-FR"/>
        </w:rPr>
      </w:pPr>
    </w:p>
    <w:p w:rsidR="00C63626" w:rsidRDefault="00C63626" w:rsidP="00C63626">
      <w:pPr>
        <w:pStyle w:val="Heading1"/>
      </w:pPr>
      <w:r>
        <w:t xml:space="preserve">6. </w:t>
      </w:r>
      <w:proofErr w:type="spellStart"/>
      <w:r>
        <w:t>Bibliographie</w:t>
      </w:r>
      <w:proofErr w:type="spellEnd"/>
      <w:r>
        <w:t xml:space="preserve"> (option O3)</w:t>
      </w:r>
    </w:p>
    <w:p w:rsidR="00C63626" w:rsidRPr="00C63626" w:rsidRDefault="00C63626" w:rsidP="00C63626"/>
    <w:p w:rsidR="00C63626" w:rsidRDefault="00C63626" w:rsidP="00C63626">
      <w:r>
        <w:t xml:space="preserve">- He, K., Zhang, X., </w:t>
      </w:r>
      <w:proofErr w:type="spellStart"/>
      <w:r>
        <w:t>Ren</w:t>
      </w:r>
      <w:proofErr w:type="spellEnd"/>
      <w:r>
        <w:t>, S., &amp; Sun, J. (2016). Deep Residual Learning for Image Recognition (</w:t>
      </w:r>
      <w:proofErr w:type="spellStart"/>
      <w:r>
        <w:t>ResNet</w:t>
      </w:r>
      <w:proofErr w:type="spellEnd"/>
      <w:r>
        <w:t>). CVPR.</w:t>
      </w:r>
    </w:p>
    <w:p w:rsidR="00C63626" w:rsidRDefault="00C63626" w:rsidP="00C63626">
      <w:r>
        <w:lastRenderedPageBreak/>
        <w:t xml:space="preserve">- Tan, M., &amp; Le, Q. (2019). </w:t>
      </w:r>
      <w:proofErr w:type="spellStart"/>
      <w:r>
        <w:t>EfficientNet</w:t>
      </w:r>
      <w:proofErr w:type="spellEnd"/>
      <w:r>
        <w:t>: Rethinking Model Scaling for Convolutional Neural Networks. ICML.</w:t>
      </w:r>
    </w:p>
    <w:p w:rsidR="00C63626" w:rsidRDefault="00C63626" w:rsidP="00C63626">
      <w:r>
        <w:t xml:space="preserve">- Huang, G., Liu, Z., Van Der </w:t>
      </w:r>
      <w:proofErr w:type="spellStart"/>
      <w:r>
        <w:t>Maaten</w:t>
      </w:r>
      <w:proofErr w:type="spellEnd"/>
      <w:r>
        <w:t>, L., &amp; Weinberger, K. Q. (2017). Densely Connected Convolutional Networks (</w:t>
      </w:r>
      <w:proofErr w:type="spellStart"/>
      <w:r>
        <w:t>DenseNet</w:t>
      </w:r>
      <w:proofErr w:type="spellEnd"/>
      <w:r>
        <w:t>). CVPR.</w:t>
      </w:r>
    </w:p>
    <w:p w:rsidR="00C63626" w:rsidRDefault="00C63626" w:rsidP="00C63626">
      <w:r>
        <w:t xml:space="preserve">- </w:t>
      </w:r>
      <w:proofErr w:type="spellStart"/>
      <w:r>
        <w:t>Selvaraju</w:t>
      </w:r>
      <w:proofErr w:type="spellEnd"/>
      <w:r>
        <w:t xml:space="preserve">, R. R., </w:t>
      </w:r>
      <w:proofErr w:type="spellStart"/>
      <w:r>
        <w:t>Cogswell</w:t>
      </w:r>
      <w:proofErr w:type="spellEnd"/>
      <w:r>
        <w:t>, M., et al. (2017). Grad‑CAM: Visual Explanations from Deep Networks via Gradient‑based Localization. ICCV.</w:t>
      </w:r>
    </w:p>
    <w:p w:rsidR="00C63626" w:rsidRDefault="00C63626" w:rsidP="00C63626">
      <w:r>
        <w:t xml:space="preserve">- </w:t>
      </w:r>
      <w:proofErr w:type="spellStart"/>
      <w:r>
        <w:t>Kaggle</w:t>
      </w:r>
      <w:proofErr w:type="spellEnd"/>
      <w:r>
        <w:t>. Chest X‑Ray Pneumonia Dataset. https://www.kaggle.com/paultimothymooney/chest-xray-pneumonia</w:t>
      </w:r>
    </w:p>
    <w:p w:rsidR="00C63626" w:rsidRPr="00F03967" w:rsidRDefault="00C63626" w:rsidP="00C63626">
      <w:pPr>
        <w:rPr>
          <w:lang w:val="fr-FR"/>
        </w:rPr>
      </w:pPr>
      <w:r w:rsidRPr="00F03967">
        <w:rPr>
          <w:lang w:val="fr-FR"/>
        </w:rPr>
        <w:t xml:space="preserve">- ONNX </w:t>
      </w:r>
      <w:proofErr w:type="spellStart"/>
      <w:r w:rsidRPr="00F03967">
        <w:rPr>
          <w:lang w:val="fr-FR"/>
        </w:rPr>
        <w:t>Runtime</w:t>
      </w:r>
      <w:proofErr w:type="spellEnd"/>
      <w:r w:rsidRPr="00F03967">
        <w:rPr>
          <w:lang w:val="fr-FR"/>
        </w:rPr>
        <w:t xml:space="preserve">. </w:t>
      </w:r>
      <w:proofErr w:type="spellStart"/>
      <w:r w:rsidRPr="00F03967">
        <w:rPr>
          <w:lang w:val="fr-FR"/>
        </w:rPr>
        <w:t>Quantization</w:t>
      </w:r>
      <w:proofErr w:type="spellEnd"/>
      <w:r w:rsidRPr="00F03967">
        <w:rPr>
          <w:lang w:val="fr-FR"/>
        </w:rPr>
        <w:t>. https://onnxruntime.ai/</w:t>
      </w:r>
    </w:p>
    <w:p w:rsidR="00C63626" w:rsidRDefault="00C63626" w:rsidP="00C63626">
      <w:r>
        <w:t xml:space="preserve">- NVIDIA </w:t>
      </w:r>
      <w:proofErr w:type="spellStart"/>
      <w:r>
        <w:t>TensorRT</w:t>
      </w:r>
      <w:proofErr w:type="spellEnd"/>
      <w:r>
        <w:t>. Developer Guide. https://developer.nvidia.com/tensorrt</w:t>
      </w:r>
    </w:p>
    <w:p w:rsidR="00C63626" w:rsidRPr="00C63626" w:rsidRDefault="00C63626" w:rsidP="00C63626"/>
    <w:p w:rsidR="00B63777" w:rsidRPr="00C63626" w:rsidRDefault="00B63777" w:rsidP="00C63626"/>
    <w:sectPr w:rsidR="00B63777" w:rsidRPr="00C63626"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CC3" w:rsidRDefault="003A4CC3" w:rsidP="00D91963">
      <w:pPr>
        <w:spacing w:after="0" w:line="240" w:lineRule="auto"/>
      </w:pPr>
      <w:r>
        <w:separator/>
      </w:r>
    </w:p>
  </w:endnote>
  <w:endnote w:type="continuationSeparator" w:id="0">
    <w:p w:rsidR="003A4CC3" w:rsidRDefault="003A4CC3" w:rsidP="00D9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CC3" w:rsidRDefault="003A4CC3" w:rsidP="00D91963">
      <w:pPr>
        <w:spacing w:after="0" w:line="240" w:lineRule="auto"/>
      </w:pPr>
      <w:r>
        <w:separator/>
      </w:r>
    </w:p>
  </w:footnote>
  <w:footnote w:type="continuationSeparator" w:id="0">
    <w:p w:rsidR="003A4CC3" w:rsidRDefault="003A4CC3" w:rsidP="00D91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963" w:rsidRDefault="00D91963">
    <w:pPr>
      <w:pStyle w:val="Header"/>
    </w:pPr>
    <w:r w:rsidRPr="00C63626">
      <w:rPr>
        <w:rFonts w:ascii="Times New Roman"/>
        <w:noProof/>
        <w:color w:val="31849B" w:themeColor="accent5" w:themeShade="BF"/>
        <w:sz w:val="20"/>
        <w:lang w:val="fr-FR" w:eastAsia="fr-FR"/>
      </w:rPr>
      <w:drawing>
        <wp:anchor distT="0" distB="0" distL="114300" distR="114300" simplePos="0" relativeHeight="251661312" behindDoc="1" locked="0" layoutInCell="1" allowOverlap="1" wp14:anchorId="40FD38F0" wp14:editId="4D7E1D6A">
          <wp:simplePos x="0" y="0"/>
          <wp:positionH relativeFrom="column">
            <wp:posOffset>5648960</wp:posOffset>
          </wp:positionH>
          <wp:positionV relativeFrom="paragraph">
            <wp:posOffset>-396240</wp:posOffset>
          </wp:positionV>
          <wp:extent cx="762000" cy="723900"/>
          <wp:effectExtent l="0" t="0" r="0" b="0"/>
          <wp:wrapSquare wrapText="bothSides"/>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23900"/>
                  </a:xfrm>
                  <a:prstGeom prst="rect">
                    <a:avLst/>
                  </a:prstGeom>
                </pic:spPr>
              </pic:pic>
            </a:graphicData>
          </a:graphic>
          <wp14:sizeRelH relativeFrom="margin">
            <wp14:pctWidth>0</wp14:pctWidth>
          </wp14:sizeRelH>
          <wp14:sizeRelV relativeFrom="margin">
            <wp14:pctHeight>0</wp14:pctHeight>
          </wp14:sizeRelV>
        </wp:anchor>
      </w:drawing>
    </w:r>
    <w:r w:rsidRPr="00C63626">
      <w:rPr>
        <w:noProof/>
        <w:color w:val="31849B" w:themeColor="accent5" w:themeShade="BF"/>
        <w:lang w:val="fr-FR" w:eastAsia="fr-FR"/>
      </w:rPr>
      <mc:AlternateContent>
        <mc:Choice Requires="wps">
          <w:drawing>
            <wp:anchor distT="45720" distB="45720" distL="114300" distR="114300" simplePos="0" relativeHeight="251659264" behindDoc="0" locked="0" layoutInCell="1" allowOverlap="1" wp14:anchorId="1518888C" wp14:editId="693B2E89">
              <wp:simplePos x="0" y="0"/>
              <wp:positionH relativeFrom="page">
                <wp:align>left</wp:align>
              </wp:positionH>
              <wp:positionV relativeFrom="paragraph">
                <wp:posOffset>-457200</wp:posOffset>
              </wp:positionV>
              <wp:extent cx="3873500" cy="75438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0" cy="754380"/>
                      </a:xfrm>
                      <a:prstGeom prst="rect">
                        <a:avLst/>
                      </a:prstGeom>
                      <a:noFill/>
                      <a:ln w="9525">
                        <a:noFill/>
                        <a:miter lim="800000"/>
                        <a:headEnd/>
                        <a:tailEnd/>
                      </a:ln>
                    </wps:spPr>
                    <wps:txbx>
                      <w:txbxContent>
                        <w:p w:rsidR="00D91963" w:rsidRDefault="00D91963" w:rsidP="00D91963">
                          <w:pPr>
                            <w:spacing w:after="0" w:line="240" w:lineRule="auto"/>
                            <w:rPr>
                              <w:b/>
                              <w:bCs/>
                              <w:color w:val="1F497D" w:themeColor="text2"/>
                              <w:sz w:val="18"/>
                              <w:szCs w:val="18"/>
                              <w:u w:val="single"/>
                              <w:lang w:val="fr-CA"/>
                            </w:rPr>
                          </w:pPr>
                          <w:r w:rsidRPr="00C63626">
                            <w:rPr>
                              <w:b/>
                              <w:bCs/>
                              <w:color w:val="1F497D" w:themeColor="text2"/>
                              <w:sz w:val="18"/>
                              <w:szCs w:val="18"/>
                              <w:u w:val="single"/>
                              <w:lang w:val="fr-CA"/>
                            </w:rPr>
                            <w:t xml:space="preserve">Membres de groupe : </w:t>
                          </w:r>
                        </w:p>
                        <w:p w:rsidR="00D91963" w:rsidRPr="00D91963" w:rsidRDefault="00D91963" w:rsidP="00D91963">
                          <w:pPr>
                            <w:spacing w:after="0" w:line="240" w:lineRule="auto"/>
                            <w:rPr>
                              <w:sz w:val="18"/>
                              <w:szCs w:val="18"/>
                              <w:lang w:val="fr-FR"/>
                            </w:rPr>
                          </w:pPr>
                          <w:r w:rsidRPr="00D91963">
                            <w:rPr>
                              <w:sz w:val="18"/>
                              <w:szCs w:val="18"/>
                              <w:lang w:val="fr-FR"/>
                            </w:rPr>
                            <w:t>Nabil MICHRAF – BOUKHERYS Hamza – AARABI Ismail – El MRABET Mohamed</w:t>
                          </w:r>
                        </w:p>
                        <w:p w:rsidR="00D91963" w:rsidRPr="00C63626" w:rsidRDefault="00D91963" w:rsidP="00D91963">
                          <w:pPr>
                            <w:spacing w:after="0" w:line="240" w:lineRule="auto"/>
                            <w:rPr>
                              <w:b/>
                              <w:bCs/>
                              <w:color w:val="1F497D" w:themeColor="text2"/>
                              <w:sz w:val="18"/>
                              <w:szCs w:val="18"/>
                              <w:u w:val="single"/>
                              <w:lang w:val="fr-CA"/>
                            </w:rPr>
                          </w:pPr>
                          <w:r w:rsidRPr="00C63626">
                            <w:rPr>
                              <w:b/>
                              <w:bCs/>
                              <w:color w:val="1F497D" w:themeColor="text2"/>
                              <w:sz w:val="18"/>
                              <w:szCs w:val="18"/>
                              <w:u w:val="single"/>
                              <w:lang w:val="fr-CA"/>
                            </w:rPr>
                            <w:t>Encadré par :</w:t>
                          </w:r>
                        </w:p>
                        <w:p w:rsidR="00D91963" w:rsidRPr="002A21AD" w:rsidRDefault="00D91963" w:rsidP="00D91963">
                          <w:pPr>
                            <w:spacing w:after="0" w:line="240" w:lineRule="auto"/>
                            <w:rPr>
                              <w:sz w:val="18"/>
                              <w:szCs w:val="18"/>
                              <w:lang w:val="fr-CA"/>
                            </w:rPr>
                          </w:pPr>
                          <w:r w:rsidRPr="002A21AD">
                            <w:rPr>
                              <w:sz w:val="18"/>
                              <w:szCs w:val="18"/>
                              <w:lang w:val="fr-CA"/>
                            </w:rPr>
                            <w:t xml:space="preserve">Mr Hicham JANATI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8888C" id="_x0000_t202" coordsize="21600,21600" o:spt="202" path="m,l,21600r21600,l21600,xe">
              <v:stroke joinstyle="miter"/>
              <v:path gradientshapeok="t" o:connecttype="rect"/>
            </v:shapetype>
            <v:shape id="Zone de texte 2" o:spid="_x0000_s1026" type="#_x0000_t202" style="position:absolute;margin-left:0;margin-top:-36pt;width:305pt;height:59.4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VCEQIAAPkDAAAOAAAAZHJzL2Uyb0RvYy54bWysU02P2yAQvVfqf0DcGztO0mStkNV2t1tV&#10;2n5I2156IxjHqMBQILGzv74Dzmaj9lbVBwSemce8N4/19WA0OUgfFFhGp5OSEmkFNMruGP3+7f7N&#10;ipIQuW24BisZPcpArzevX617V8sKOtCN9ARBbKh7x2gXo6uLIohOGh4m4KTFYAve8IhHvysaz3tE&#10;N7qoyvJt0YNvnAchQ8C/d2OQbjJ+20oRv7RtkJFoRrG3mFef121ai82a1zvPXafEqQ3+D10Yrixe&#10;eoa645GTvVd/QRklPARo40SAKaBtlZCZA7KZln+weey4k5kLihPcWabw/2DF58NXT1TDaDVdUmK5&#10;wSH9wFGRRpIohyhJlUTqXagx99FhdhzewYDDzoSDewDxMxALtx23O3njPfSd5A02OU2VxUXpiBMS&#10;yLb/BA3exfcRMtDQepMURE0IouOwjucBYR9E4M/ZajlblBgSGFsu5rNVnmDB6+dq50P8IMGQtGHU&#10;owEyOj88hJi64fVzSrrMwr3SOptAW9IzerWoFrngImJURI9qZRhdlekbXZNIvrdNLo5c6XGPF2h7&#10;Yp2IjpTjsB0wMUmxheaI/D2MXsS3g5sO/BMlPfqQ0fBrz72kRH+0qOHVdD5Pxs2H+WJZ4cFfRraX&#10;EW4FQjEaKRm3tzGbfeR6g1q3Ksvw0smpV/RXVuf0FpKBL8856+XFbn4DAAD//wMAUEsDBBQABgAI&#10;AAAAIQBMV7fG2wAAAAcBAAAPAAAAZHJzL2Rvd25yZXYueG1sTI/NTsMwEITvSLyDtUjcWrtVCW3I&#10;pkIgriDKj9SbG2+TiHgdxW4T3p7lBLdZzWrmm2I7+U6daYhtYITF3IAiroJruUZ4f3uarUHFZNnZ&#10;LjAhfFOEbXl5UdjchZFf6bxLtZIQjrlFaFLqc61j1ZC3cR56YvGOYfA2yTnU2g12lHDf6aUxmfa2&#10;ZWlobE8PDVVfu5NH+Hg+7j9X5qV+9Df9GCaj2W804vXVdH8HKtGU/p7hF1/QoRSmQzixi6pDkCEJ&#10;YXa7FCF2tjAiDgirbA26LPR//vIHAAD//wMAUEsBAi0AFAAGAAgAAAAhALaDOJL+AAAA4QEAABMA&#10;AAAAAAAAAAAAAAAAAAAAAFtDb250ZW50X1R5cGVzXS54bWxQSwECLQAUAAYACAAAACEAOP0h/9YA&#10;AACUAQAACwAAAAAAAAAAAAAAAAAvAQAAX3JlbHMvLnJlbHNQSwECLQAUAAYACAAAACEAQBiFQhEC&#10;AAD5AwAADgAAAAAAAAAAAAAAAAAuAgAAZHJzL2Uyb0RvYy54bWxQSwECLQAUAAYACAAAACEATFe3&#10;xtsAAAAHAQAADwAAAAAAAAAAAAAAAABrBAAAZHJzL2Rvd25yZXYueG1sUEsFBgAAAAAEAAQA8wAA&#10;AHMFAAAAAA==&#10;" filled="f" stroked="f">
              <v:textbox>
                <w:txbxContent>
                  <w:p w:rsidR="00D91963" w:rsidRDefault="00D91963" w:rsidP="00D91963">
                    <w:pPr>
                      <w:spacing w:after="0" w:line="240" w:lineRule="auto"/>
                      <w:rPr>
                        <w:b/>
                        <w:bCs/>
                        <w:color w:val="1F497D" w:themeColor="text2"/>
                        <w:sz w:val="18"/>
                        <w:szCs w:val="18"/>
                        <w:u w:val="single"/>
                        <w:lang w:val="fr-CA"/>
                      </w:rPr>
                    </w:pPr>
                    <w:r w:rsidRPr="00C63626">
                      <w:rPr>
                        <w:b/>
                        <w:bCs/>
                        <w:color w:val="1F497D" w:themeColor="text2"/>
                        <w:sz w:val="18"/>
                        <w:szCs w:val="18"/>
                        <w:u w:val="single"/>
                        <w:lang w:val="fr-CA"/>
                      </w:rPr>
                      <w:t xml:space="preserve">Membres de groupe : </w:t>
                    </w:r>
                  </w:p>
                  <w:p w:rsidR="00D91963" w:rsidRPr="00D91963" w:rsidRDefault="00D91963" w:rsidP="00D91963">
                    <w:pPr>
                      <w:spacing w:after="0" w:line="240" w:lineRule="auto"/>
                      <w:rPr>
                        <w:sz w:val="18"/>
                        <w:szCs w:val="18"/>
                        <w:lang w:val="fr-FR"/>
                      </w:rPr>
                    </w:pPr>
                    <w:r w:rsidRPr="00D91963">
                      <w:rPr>
                        <w:sz w:val="18"/>
                        <w:szCs w:val="18"/>
                        <w:lang w:val="fr-FR"/>
                      </w:rPr>
                      <w:t>Nabil MICHRAF – BOUKHERYS Hamza – AARABI Ismail – El MRABET Mohamed</w:t>
                    </w:r>
                  </w:p>
                  <w:p w:rsidR="00D91963" w:rsidRPr="00C63626" w:rsidRDefault="00D91963" w:rsidP="00D91963">
                    <w:pPr>
                      <w:spacing w:after="0" w:line="240" w:lineRule="auto"/>
                      <w:rPr>
                        <w:b/>
                        <w:bCs/>
                        <w:color w:val="1F497D" w:themeColor="text2"/>
                        <w:sz w:val="18"/>
                        <w:szCs w:val="18"/>
                        <w:u w:val="single"/>
                        <w:lang w:val="fr-CA"/>
                      </w:rPr>
                    </w:pPr>
                    <w:r w:rsidRPr="00C63626">
                      <w:rPr>
                        <w:b/>
                        <w:bCs/>
                        <w:color w:val="1F497D" w:themeColor="text2"/>
                        <w:sz w:val="18"/>
                        <w:szCs w:val="18"/>
                        <w:u w:val="single"/>
                        <w:lang w:val="fr-CA"/>
                      </w:rPr>
                      <w:t>Encadré par :</w:t>
                    </w:r>
                  </w:p>
                  <w:p w:rsidR="00D91963" w:rsidRPr="002A21AD" w:rsidRDefault="00D91963" w:rsidP="00D91963">
                    <w:pPr>
                      <w:spacing w:after="0" w:line="240" w:lineRule="auto"/>
                      <w:rPr>
                        <w:sz w:val="18"/>
                        <w:szCs w:val="18"/>
                        <w:lang w:val="fr-CA"/>
                      </w:rPr>
                    </w:pPr>
                    <w:r w:rsidRPr="002A21AD">
                      <w:rPr>
                        <w:sz w:val="18"/>
                        <w:szCs w:val="18"/>
                        <w:lang w:val="fr-CA"/>
                      </w:rPr>
                      <w:t xml:space="preserve">Mr Hicham JANATI </w:t>
                    </w:r>
                  </w:p>
                </w:txbxContent>
              </v:textbox>
              <w10:wrap type="square"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A21AD"/>
    <w:rsid w:val="00326F90"/>
    <w:rsid w:val="003A4CC3"/>
    <w:rsid w:val="00435E4D"/>
    <w:rsid w:val="0068497F"/>
    <w:rsid w:val="007C7905"/>
    <w:rsid w:val="009A4054"/>
    <w:rsid w:val="00AA1D8D"/>
    <w:rsid w:val="00B47730"/>
    <w:rsid w:val="00B63777"/>
    <w:rsid w:val="00C63626"/>
    <w:rsid w:val="00CB0664"/>
    <w:rsid w:val="00D70791"/>
    <w:rsid w:val="00D919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53344FFD-6668-4C50-B552-A0756827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91928">
      <w:bodyDiv w:val="1"/>
      <w:marLeft w:val="0"/>
      <w:marRight w:val="0"/>
      <w:marTop w:val="0"/>
      <w:marBottom w:val="0"/>
      <w:divBdr>
        <w:top w:val="none" w:sz="0" w:space="0" w:color="auto"/>
        <w:left w:val="none" w:sz="0" w:space="0" w:color="auto"/>
        <w:bottom w:val="none" w:sz="0" w:space="0" w:color="auto"/>
        <w:right w:val="none" w:sz="0" w:space="0" w:color="auto"/>
      </w:divBdr>
    </w:div>
    <w:div w:id="1438450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C0E7E-7E4B-40D0-B045-145BCFFC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900</Words>
  <Characters>4952</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5841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2025-10-20T19:20:00Z</dcterms:created>
  <dcterms:modified xsi:type="dcterms:W3CDTF">2025-10-20T19:21:00Z</dcterms:modified>
  <cp:category/>
</cp:coreProperties>
</file>