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[to be completed]</w:t>
        <w:br/>
      </w:r>
      <w:r>
        <w:rPr>
          <w:i/>
          <w:sz w:val="18"/>
        </w:rPr>
        <w:t>Queen Mary University of London</w:t>
        <w:br/>
      </w:r>
      <w:r>
        <w:rPr>
          <w:i/>
          <w:sz w:val="18"/>
        </w:rPr>
        <w:t>London, UK</w:t>
      </w:r>
      <w:r>
        <w:br w:type="column"/>
      </w:r>
      <w:r>
        <w:rPr>
          <w:i w:val="0"/>
          <w:sz w:val="18"/>
        </w:rPr>
        <w:t>[Group member 2]</w:t>
        <w:br/>
      </w:r>
      <w:r>
        <w:rPr>
          <w:i w:val="0"/>
          <w:sz w:val="18"/>
        </w:rPr>
        <w:t>Student no. [to be completed]</w:t>
        <w:br/>
      </w:r>
      <w:r>
        <w:rPr>
          <w:i/>
          <w:sz w:val="18"/>
        </w:rPr>
        <w:t>Queen Mary University of London</w:t>
        <w:br/>
      </w:r>
      <w:r>
        <w:rPr>
          <w:i/>
          <w:sz w:val="18"/>
        </w:rPr>
        <w:t>London, UK</w:t>
      </w:r>
      <w:r>
        <w:br w:type="column"/>
      </w:r>
      <w:r>
        <w:rPr>
          <w:i w:val="0"/>
          <w:sz w:val="18"/>
        </w:rPr>
        <w:t>[Group member 3]</w:t>
        <w:br/>
      </w:r>
      <w:r>
        <w:rPr>
          <w:i w:val="0"/>
          <w:sz w:val="18"/>
        </w:rPr>
        <w:t>Student no. [to be completed]</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In </w:t>
      </w:r>
      <w:r>
        <w:rPr>
          <w:i/>
        </w:rPr>
        <w:t>Sushi Go!</w:t>
      </w:r>
      <w:r>
        <w:t>, players pick cards simultaneously from hidden, rotating hands, which basic Monte Carlo tree search (MCTS) ignores. We extended BasicMCTS of the Tabletop Games framework (TAG) with card-value rollouts, a lead-based evaluation, round-end rollouts, max-n backups and a decoupled information-set tree. On held-out deals it wins 52.6%, 47.2% and [pending]% of three-player games (100, 500 and 900 ms) against TAG's information-set MCTS (ISMCTS) and our previous agent, and 44.4% and 36.5% of four-player games (100 and 500 ms; chance 33.3% and 25%). Every ablated component raises the score margin significantly, the evaluation and decoupled tree also the win rate. Longer budgets favoured ISMCTS over our agent; four-player settings hurt three-player play (exploratory).</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implemented the game in TAG and described it as combining simultaneous action selection with complete information; in the TAG version we use, an agent's copy of the state re-deals every card it has not seen.</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4 096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experiments of 500 games per condition (250 in some long runs). Our contributions are:</w:t>
      </w:r>
    </w:p>
    <w:p>
      <w:pPr>
        <w:pStyle w:val="bulletlist"/>
        <w:numPr>
          <w:ilvl w:val="0"/>
          <w:numId w:val="2"/>
        </w:numPr>
        <w:ind w:left="576" w:hanging="288"/>
      </w:pPr>
      <w:r>
        <w:t xml:space="preserve">a model of </w:t>
      </w:r>
      <w:r>
        <w:rPr>
          <w:i/>
        </w:rPr>
        <w:t>Sushi Go!</w:t>
      </w:r>
      <w:r>
        <w:t>'s scoring that estimates every card's marginal value, used as the rollout policy of all players, and every player's final score, used in a bounded, lead-based evaluation;</w:t>
      </w:r>
    </w:p>
    <w:p>
      <w:pPr>
        <w:pStyle w:val="bulletlist"/>
        <w:numPr>
          <w:ilvl w:val="0"/>
          <w:numId w:val="2"/>
        </w:numPr>
        <w:ind w:left="576" w:hanging="288"/>
      </w:pPr>
      <w:r>
        <w:t>its combination with round-end rollouts, max-n backups, decoupled UCT and information sets, compared with TAG's own decoupled information-set MCTS;</w:t>
      </w:r>
    </w:p>
    <w:p>
      <w:pPr>
        <w:pStyle w:val="bulletlist"/>
        <w:numPr>
          <w:ilvl w:val="0"/>
          <w:numId w:val="2"/>
        </w:numPr>
        <w:ind w:left="576" w:hanging="288"/>
      </w:pPr>
      <w:r>
        <w:t>exploratory evidence that settings tuned for four players hurt with three, and that with four players time beyond 500 ms rarely changes the decision of a wide, shallow joint-move tree;</w:t>
      </w:r>
    </w:p>
    <w:p>
      <w:pPr>
        <w:pStyle w:val="bulletlist"/>
        <w:numPr>
          <w:ilvl w:val="0"/>
          <w:numId w:val="2"/>
        </w:numPr>
        <w:ind w:left="576" w:hanging="288"/>
      </w:pPr>
      <w:r>
        <w:t>leave-one-out and factorial ablations with validation on held-out deals.</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Each round deals 12 − </w:t>
      </w:r>
      <w:r>
        <w:rPr>
          <w:i/>
        </w:rPr>
        <w:t>n</w:t>
      </w:r>
      <w:r>
        <w:t xml:space="preserve"> cards to each of </w:t>
      </w:r>
      <w:r>
        <w:rPr>
          <w:i/>
        </w:rPr>
        <w:t>n</w:t>
      </w:r>
      <w:r>
        <w:t xml:space="preserve"> players. As the hands rotate, every hand of a round has been seen after </w:t>
      </w:r>
      <w:r>
        <w:rPr>
          <w:i/>
        </w:rPr>
        <w:t>n</w:t>
      </w:r>
      <w:r>
        <w:t xml:space="preserve"> − 1 passes,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w:t>
      </w:r>
      <w:r>
        <w:rPr>
          <w:i/>
        </w:rPr>
        <w:t>n</w:t>
      </w:r>
      <w:r>
        <w:t xml:space="preserve"> − 1 turns. Its known flaws are strategy fusion – the search assumes that it can act differently in states it cannot tell apart – and non-locality.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an idea TAG's advanced MCTS agent offers as MultiTree MCTS [8].</w:t>
      </w:r>
    </w:p>
    <w:p>
      <w:pPr>
        <w:pStyle w:val="BodyText"/>
      </w:pPr>
      <w:r>
        <w:t>Simultaneous moves are usually handled by decoupled UCT (DUCT): every player chooses its own action at a node from its own bandit statistics and the joint action leads to a child [9]. UCB-based DUCT need not converge to an equilibrium, so Lanctot et al. [9] compared it in Goofspiel with EXP3, regret matching and their online outcome sampling: regret matching and outcome sampling played best, and decoupled UCT's strategies were the most exploitable. Tak et al. [10] found across nine games that the best variant depends on the game and the opponent, although decoupled UCT was best overall. With several players, UCT with max-n backups (every player maximises its own value) computes a mixed-strategy equilibrium and played at least as well as earlier algorithms [11].</w:t>
      </w:r>
    </w:p>
    <w:p>
      <w:pPr>
        <w:pStyle w:val="BodyText"/>
      </w:pPr>
      <w:r>
        <w:t xml:space="preserve">MCTS has also been applied to the drafting game 7 Wonders, which passes hands in the same way; many results known from classic games held there too, but card values depend on the stage of the game and on the other players' choices [12], which our card-value model estimates explicitly. We build on BasicMCTS, which lacks these features (unlike TAG's advanced MCTS agent), to measure each one's contribution. For </w:t>
      </w:r>
      <w:r>
        <w:rPr>
          <w:i/>
        </w:rPr>
        <w:t>Sushi Go!</w:t>
      </w:r>
      <w:r>
        <w:t xml:space="preserve"> and similar drafting games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πω</w:t>
      </w:r>
      <w:r>
        <w:rPr>
          <w:rFonts w:ascii="Times New Roman" w:hAnsi="Times New Roman" w:cs="Times New Roman" w:eastAsia="Times New Roman"/>
          <w:i/>
          <w:vertAlign w:val="subscript"/>
        </w:rPr>
        <w:t>t</w:t>
      </w:r>
      <w:r>
        <w:rPr>
          <w:rFonts w:ascii="Times New Roman" w:hAnsi="Times New Roman" w:cs="Times New Roman" w:eastAsia="Times New Roman"/>
          <w:i/>
        </w:rPr>
        <w:t>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ω</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50" w:type="dxa"/>
              <w:right w:w="50" w:type="dxa"/>
            </w:tcMar>
            <w:tcBorders>
              <w:bottom w:val="single" w:sz="6" w:space="0" w:color="000000"/>
            </w:tcBorders>
          </w:tcPr>
          <w:p>
            <w:pPr>
              <w:pStyle w:val="tablecolhead"/>
              <w:keepNext/>
              <w:jc w:val="left"/>
            </w:pPr>
            <w:r>
              <w:t>Id</w:t>
            </w:r>
          </w:p>
        </w:tc>
        <w:tc>
          <w:tcPr>
            <w:tcW w:type="dxa" w:w="3053"/>
            <w:tcMar>
              <w:left w:w="50" w:type="dxa"/>
              <w:right w:w="50" w:type="dxa"/>
            </w:tcMar>
            <w:tcBorders>
              <w:bottom w:val="single" w:sz="6" w:space="0" w:color="000000"/>
            </w:tcBorders>
          </w:tcPr>
          <w:p>
            <w:pPr>
              <w:pStyle w:val="tablecolhead"/>
              <w:keepNext/>
              <w:jc w:val="left"/>
            </w:pPr>
            <w:r>
              <w:t>Modification</w:t>
            </w:r>
          </w:p>
        </w:tc>
        <w:tc>
          <w:tcPr>
            <w:tcW w:type="dxa" w:w="1094"/>
            <w:tcMar>
              <w:left w:w="50" w:type="dxa"/>
              <w:right w:w="50" w:type="dxa"/>
            </w:tcMar>
            <w:tcBorders>
              <w:bottom w:val="single" w:sz="6" w:space="0" w:color="000000"/>
            </w:tcBorders>
          </w:tcPr>
          <w:p>
            <w:pPr>
              <w:pStyle w:val="tablecolhead"/>
              <w:keepNext/>
              <w:jc w:val="center"/>
            </w:pPr>
            <w:r>
              <w:t>3 p / 4 p</w:t>
            </w:r>
          </w:p>
        </w:tc>
      </w:tr>
      <w:tr>
        <w:trPr>
          <w:cantSplit/>
        </w:trPr>
        <w:tc>
          <w:tcPr>
            <w:tcW w:type="dxa" w:w="720"/>
            <w:tcMar>
              <w:left w:w="50" w:type="dxa"/>
              <w:right w:w="50" w:type="dxa"/>
            </w:tcMar>
          </w:tcPr>
          <w:p>
            <w:pPr>
              <w:pStyle w:val="tablecopy"/>
              <w:keepNext/>
              <w:jc w:val="left"/>
            </w:pPr>
            <w:r>
              <w:t>H</w:t>
            </w:r>
          </w:p>
        </w:tc>
        <w:tc>
          <w:tcPr>
            <w:tcW w:type="dxa" w:w="3053"/>
            <w:tcMar>
              <w:left w:w="50" w:type="dxa"/>
              <w:right w:w="50" w:type="dxa"/>
            </w:tcMar>
          </w:tcPr>
          <w:p>
            <w:pPr>
              <w:pStyle w:val="tablecopy"/>
              <w:keepNext/>
              <w:jc w:val="left"/>
            </w:pPr>
            <w:r>
              <w:t>heuristic (2)–(3) from model (1)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B</w:t>
            </w:r>
          </w:p>
        </w:tc>
        <w:tc>
          <w:tcPr>
            <w:tcW w:type="dxa" w:w="3053"/>
            <w:tcMar>
              <w:left w:w="50" w:type="dxa"/>
              <w:right w:w="50" w:type="dxa"/>
            </w:tcMar>
          </w:tcPr>
          <w:p>
            <w:pPr>
              <w:pStyle w:val="tablecopy"/>
              <w:keepNext/>
              <w:jc w:val="left"/>
            </w:pPr>
            <w:r>
              <w:t>ε-greedy card-value rollouts for every player</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R</w:t>
            </w:r>
          </w:p>
        </w:tc>
        <w:tc>
          <w:tcPr>
            <w:tcW w:type="dxa" w:w="3053"/>
            <w:tcMar>
              <w:left w:w="50" w:type="dxa"/>
              <w:right w:w="50" w:type="dxa"/>
            </w:tcMar>
          </w:tcPr>
          <w:p>
            <w:pPr>
              <w:pStyle w:val="tablecopy"/>
              <w:keepNext/>
              <w:jc w:val="left"/>
            </w:pPr>
            <w:r>
              <w:t>rollouts end when the round is scored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P</w:t>
            </w:r>
          </w:p>
        </w:tc>
        <w:tc>
          <w:tcPr>
            <w:tcW w:type="dxa" w:w="3053"/>
            <w:tcMar>
              <w:left w:w="50" w:type="dxa"/>
              <w:right w:w="50" w:type="dxa"/>
            </w:tcMar>
          </w:tcPr>
          <w:p>
            <w:pPr>
              <w:pStyle w:val="tablecopy"/>
              <w:keepNext/>
              <w:jc w:val="left"/>
            </w:pPr>
            <w:r>
              <w:t>one branch per distinct card</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M</w:t>
            </w:r>
          </w:p>
        </w:tc>
        <w:tc>
          <w:tcPr>
            <w:tcW w:type="dxa" w:w="3053"/>
            <w:tcMar>
              <w:left w:w="50" w:type="dxa"/>
              <w:right w:w="50" w:type="dxa"/>
            </w:tcMar>
          </w:tcPr>
          <w:p>
            <w:pPr>
              <w:pStyle w:val="tablecopy"/>
              <w:keepNext/>
              <w:jc w:val="left"/>
            </w:pPr>
            <w:r>
              <w:t>max-n backups [11]</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S</w:t>
            </w:r>
          </w:p>
        </w:tc>
        <w:tc>
          <w:tcPr>
            <w:tcW w:type="dxa" w:w="3053"/>
            <w:tcMar>
              <w:left w:w="50" w:type="dxa"/>
              <w:right w:w="50" w:type="dxa"/>
            </w:tcMar>
          </w:tcPr>
          <w:p>
            <w:pPr>
              <w:pStyle w:val="tablecopy"/>
              <w:keepNext/>
              <w:jc w:val="left"/>
            </w:pPr>
            <w:r>
              <w:t>decoupled UCT, one node per turn [9]</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I</w:t>
            </w:r>
          </w:p>
        </w:tc>
        <w:tc>
          <w:tcPr>
            <w:tcW w:type="dxa" w:w="3053"/>
            <w:tcMar>
              <w:left w:w="50" w:type="dxa"/>
              <w:right w:w="50" w:type="dxa"/>
            </w:tcMar>
          </w:tcPr>
          <w:p>
            <w:pPr>
              <w:pStyle w:val="tablecopy"/>
              <w:keepNext/>
              <w:jc w:val="left"/>
            </w:pPr>
            <w:r>
              <w:t>single-observer information-set search [3]</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X0</w:t>
            </w:r>
          </w:p>
        </w:tc>
        <w:tc>
          <w:tcPr>
            <w:tcW w:type="dxa" w:w="3053"/>
            <w:tcMar>
              <w:left w:w="50" w:type="dxa"/>
              <w:right w:w="50" w:type="dxa"/>
            </w:tcMar>
          </w:tcPr>
          <w:p>
            <w:pPr>
              <w:pStyle w:val="tablecopy"/>
              <w:keepNext/>
              <w:jc w:val="left"/>
            </w:pPr>
            <w:r>
              <w:t xml:space="preserve">four-player card constants </w:t>
            </w:r>
            <w:r>
              <w:rPr>
                <w:vertAlign w:val="superscript"/>
              </w:rPr>
              <w:t>a</w:t>
            </w:r>
          </w:p>
        </w:tc>
        <w:tc>
          <w:tcPr>
            <w:tcW w:type="dxa" w:w="1094"/>
            <w:tcMar>
              <w:left w:w="50" w:type="dxa"/>
              <w:right w:w="50" w:type="dxa"/>
            </w:tcMar>
          </w:tcPr>
          <w:p>
            <w:pPr>
              <w:pStyle w:val="tablecopy"/>
              <w:keepNext/>
              <w:jc w:val="center"/>
            </w:pPr>
            <w:r>
              <w:t>– / ✓</w:t>
            </w:r>
          </w:p>
        </w:tc>
      </w:tr>
      <w:tr>
        <w:trPr>
          <w:cantSplit/>
        </w:trPr>
        <w:tc>
          <w:tcPr>
            <w:tcW w:type="dxa" w:w="720"/>
            <w:tcMar>
              <w:left w:w="50" w:type="dxa"/>
              <w:right w:w="50" w:type="dxa"/>
            </w:tcMar>
          </w:tcPr>
          <w:p>
            <w:pPr>
              <w:pStyle w:val="tablecopy"/>
              <w:keepNext/>
              <w:jc w:val="left"/>
            </w:pPr>
            <w:r>
              <w:t>W2</w:t>
            </w:r>
          </w:p>
        </w:tc>
        <w:tc>
          <w:tcPr>
            <w:tcW w:type="dxa" w:w="3053"/>
            <w:tcMar>
              <w:left w:w="50" w:type="dxa"/>
              <w:right w:w="50" w:type="dxa"/>
            </w:tcMar>
          </w:tcPr>
          <w:p>
            <w:pPr>
              <w:pStyle w:val="tablecopy"/>
              <w:keepNext/>
              <w:jc w:val="left"/>
            </w:pPr>
            <w:r>
              <w:t>win-gap value for 4 players (Section III-D)</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F, L</w:t>
            </w:r>
          </w:p>
        </w:tc>
        <w:tc>
          <w:tcPr>
            <w:tcW w:type="dxa" w:w="3053"/>
            <w:tcMar>
              <w:left w:w="50" w:type="dxa"/>
              <w:right w:w="50" w:type="dxa"/>
            </w:tcMar>
          </w:tcPr>
          <w:p>
            <w:pPr>
              <w:pStyle w:val="tablecopy"/>
              <w:keepNext/>
              <w:jc w:val="left"/>
            </w:pPr>
            <w:r>
              <w:t>fast simulator, 8 rollouts per leaf</w:t>
            </w:r>
          </w:p>
        </w:tc>
        <w:tc>
          <w:tcPr>
            <w:tcW w:type="dxa" w:w="1094"/>
            <w:tcMar>
              <w:left w:w="50" w:type="dxa"/>
              <w:right w:w="50" w:type="dxa"/>
            </w:tcMar>
          </w:tcPr>
          <w:p>
            <w:pPr>
              <w:pStyle w:val="tablecopy"/>
              <w:keepNext/>
              <w:jc w:val="center"/>
            </w:pPr>
            <w:r>
              <w:t xml:space="preserve">– / ✓ </w:t>
            </w:r>
            <w:r>
              <w:rPr>
                <w:vertAlign w:val="superscript"/>
              </w:rPr>
              <w:t>b</w:t>
            </w:r>
          </w:p>
        </w:tc>
      </w:tr>
      <w:tr>
        <w:trPr>
          <w:cantSplit/>
        </w:trPr>
        <w:tc>
          <w:tcPr>
            <w:tcW w:type="dxa" w:w="720"/>
            <w:tcMar>
              <w:left w:w="50" w:type="dxa"/>
              <w:right w:w="50" w:type="dxa"/>
            </w:tcMar>
          </w:tcPr>
          <w:p>
            <w:pPr>
              <w:pStyle w:val="tablecopy"/>
              <w:keepNext/>
              <w:jc w:val="left"/>
            </w:pPr>
            <w:r>
              <w:t>A</w:t>
            </w:r>
          </w:p>
        </w:tc>
        <w:tc>
          <w:tcPr>
            <w:tcW w:type="dxa" w:w="3053"/>
            <w:tcMar>
              <w:left w:w="50" w:type="dxa"/>
              <w:right w:w="50" w:type="dxa"/>
            </w:tcMar>
          </w:tcPr>
          <w:p>
            <w:pPr>
              <w:pStyle w:val="tablecopy"/>
              <w:keepNext/>
              <w:jc w:val="left"/>
            </w:pPr>
            <w:r>
              <w:t>progressive bias [2]</w:t>
            </w:r>
          </w:p>
        </w:tc>
        <w:tc>
          <w:tcPr>
            <w:tcW w:type="dxa" w:w="1094"/>
            <w:tcMar>
              <w:left w:w="50" w:type="dxa"/>
              <w:right w:w="50" w:type="dxa"/>
            </w:tcMar>
          </w:tcPr>
          <w:p>
            <w:pPr>
              <w:pStyle w:val="tablecopy"/>
              <w:keepNext/>
              <w:jc w:val="center"/>
            </w:pPr>
            <w:r>
              <w:t>dropped in v3</w:t>
            </w:r>
          </w:p>
        </w:tc>
      </w:tr>
      <w:tr>
        <w:tc>
          <w:tcPr>
            <w:tcW w:type="dxa" w:w="720"/>
            <w:tcMar>
              <w:left w:w="50" w:type="dxa"/>
              <w:right w:w="50" w:type="dxa"/>
            </w:tcMar>
          </w:tcPr>
          <w:p>
            <w:pPr>
              <w:pStyle w:val="tablecopy"/>
              <w:keepNext/>
              <w:jc w:val="left"/>
            </w:pPr>
            <w:r>
              <w:t>D</w:t>
            </w:r>
          </w:p>
        </w:tc>
        <w:tc>
          <w:tcPr>
            <w:tcW w:type="dxa" w:w="3053"/>
            <w:tcMar>
              <w:left w:w="50" w:type="dxa"/>
              <w:right w:w="50" w:type="dxa"/>
            </w:tcMar>
          </w:tcPr>
          <w:p>
            <w:pPr>
              <w:pStyle w:val="tablecopy"/>
              <w:keepNext/>
              <w:jc w:val="left"/>
            </w:pPr>
            <w:r>
              <w:t>ensemble of up to 4 determinised trees [3]</w:t>
            </w:r>
          </w:p>
        </w:tc>
        <w:tc>
          <w:tcPr>
            <w:tcW w:type="dxa" w:w="1094"/>
            <w:tcMar>
              <w:left w:w="50" w:type="dxa"/>
              <w:right w:w="5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Sashimi triple needing two cards; Maki standing weight 1/(1 + </w:t>
      </w:r>
      <w:r>
        <w:rPr>
          <w:i/>
        </w:rPr>
        <w:t>r</w:t>
      </w:r>
      <w:r>
        <w:t>/</w:t>
      </w:r>
      <w:r>
        <w:rPr>
          <w:i/>
        </w:rPr>
        <w:t>T</w:t>
      </w:r>
      <w:r>
        <w:rPr>
          <w:vertAlign w:val="subscript"/>
        </w:rPr>
        <w:t>m</w:t>
      </w:r>
      <w:r>
        <w:t xml:space="preserve">) (1 if </w:t>
      </w:r>
      <w:r>
        <w:rPr>
          <w:i/>
        </w:rPr>
        <w:t>T</w:t>
      </w:r>
      <w:r>
        <w:rPr>
          <w:vertAlign w:val="subscript"/>
        </w:rPr>
        <w:t>m</w:t>
      </w:r>
      <w:r>
        <w:t xml:space="preserve"> = 0), κ per icon otherwise; δ: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371600"/>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371600"/>
                    </a:xfrm>
                    <a:prstGeom prst="rect"/>
                  </pic:spPr>
                </pic:pic>
              </a:graphicData>
            </a:graphic>
          </wp:inline>
        </w:drawing>
      </w:r>
    </w:p>
    <w:p>
      <w:pPr>
        <w:pStyle w:val="figurecaption"/>
        <w:keepLines/>
      </w:pPr>
      <w:r>
        <w:t>The sequential tree of v3 (left) and a turn node of the final agent (right), where every player picks by UCB on its own card statistics (S, P) and the hidden cards are re-sampled in every iteration (I).</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[11],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[9];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From 500 ms it also uses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50" w:type="dxa"/>
              <w:right w:w="50" w:type="dxa"/>
            </w:tcMar>
            <w:tcBorders>
              <w:bottom w:val="single" w:sz="6" w:space="0" w:color="000000"/>
            </w:tcBorders>
          </w:tcPr>
          <w:p>
            <w:pPr>
              <w:pStyle w:val="tablecolhead"/>
              <w:keepNext/>
              <w:jc w:val="left"/>
            </w:pPr>
            <w:r>
              <w:t>Item</w:t>
            </w:r>
          </w:p>
        </w:tc>
        <w:tc>
          <w:tcPr>
            <w:tcW w:type="dxa" w:w="3830"/>
            <w:tcMar>
              <w:left w:w="50" w:type="dxa"/>
              <w:right w:w="50" w:type="dxa"/>
            </w:tcMar>
            <w:tcBorders>
              <w:bottom w:val="single" w:sz="6" w:space="0" w:color="000000"/>
            </w:tcBorders>
          </w:tcPr>
          <w:p>
            <w:pPr>
              <w:pStyle w:val="tablecolhead"/>
              <w:keepNext/>
              <w:jc w:val="left"/>
            </w:pPr>
            <w:r>
              <w:t>Setting</w:t>
            </w:r>
          </w:p>
        </w:tc>
      </w:tr>
      <w:tr>
        <w:trPr>
          <w:cantSplit/>
        </w:trPr>
        <w:tc>
          <w:tcPr>
            <w:tcW w:type="dxa" w:w="1037"/>
            <w:tcMar>
              <w:left w:w="50" w:type="dxa"/>
              <w:right w:w="50" w:type="dxa"/>
            </w:tcMar>
          </w:tcPr>
          <w:p>
            <w:pPr>
              <w:pStyle w:val="tablecopy"/>
              <w:keepNext/>
              <w:jc w:val="left"/>
            </w:pPr>
            <w:r>
              <w:t>Framework</w:t>
            </w:r>
          </w:p>
        </w:tc>
        <w:tc>
          <w:tcPr>
            <w:tcW w:type="dxa" w:w="3830"/>
            <w:tcMar>
              <w:left w:w="50" w:type="dxa"/>
              <w:right w:w="50" w:type="dxa"/>
            </w:tcMar>
          </w:tcPr>
          <w:p>
            <w:pPr>
              <w:pStyle w:val="tablecopy"/>
              <w:keepNext/>
              <w:jc w:val="left"/>
            </w:pPr>
            <w:r>
              <w:t xml:space="preserve">TAG as provided for the module, </w:t>
            </w:r>
            <w:r>
              <w:rPr>
                <w:i/>
              </w:rPr>
              <w:t>Sushi Go!</w:t>
            </w:r>
            <w:r>
              <w:t xml:space="preserve"> with its default rules; OpenJDK 21</w:t>
            </w:r>
          </w:p>
        </w:tc>
      </w:tr>
      <w:tr>
        <w:trPr>
          <w:cantSplit/>
        </w:trPr>
        <w:tc>
          <w:tcPr>
            <w:tcW w:type="dxa" w:w="1037"/>
            <w:tcMar>
              <w:left w:w="50" w:type="dxa"/>
              <w:right w:w="50" w:type="dxa"/>
            </w:tcMar>
          </w:tcPr>
          <w:p>
            <w:pPr>
              <w:pStyle w:val="tablecopy"/>
              <w:keepNext/>
              <w:jc w:val="left"/>
            </w:pPr>
            <w:r>
              <w:t>Opponents</w:t>
            </w:r>
          </w:p>
        </w:tc>
        <w:tc>
          <w:tcPr>
            <w:tcW w:type="dxa" w:w="3830"/>
            <w:tcMar>
              <w:left w:w="50" w:type="dxa"/>
              <w:right w:w="50" w:type="dxa"/>
            </w:tcMar>
          </w:tcPr>
          <w:p>
            <w:pPr>
              <w:pStyle w:val="tablecopy"/>
              <w:keepNext/>
              <w:jc w:val="left"/>
            </w:pPr>
            <w:r>
              <w:t xml:space="preserve">v2: our previous agent (H, A, B, D, </w:t>
            </w:r>
            <w:r>
              <w:rPr>
                <w:i/>
              </w:rPr>
              <w:t>K</w:t>
            </w:r>
            <w:r>
              <w:t xml:space="preserve"> 1.41). TAG ISMCTS: SushiGo_3+P_HiBudget at our budget (one tree per player [8], UCB-Tuned [2], </w:t>
            </w:r>
            <w:r>
              <w:rPr>
                <w:i/>
              </w:rPr>
              <w:t>K</w:t>
            </w:r>
            <w:r>
              <w:t xml:space="preserve"> 1, random rollouts to the end,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50" w:type="dxa"/>
              <w:right w:w="50" w:type="dxa"/>
            </w:tcMar>
          </w:tcPr>
          <w:p>
            <w:pPr>
              <w:pStyle w:val="tablecopy"/>
              <w:keepNext/>
              <w:jc w:val="left"/>
            </w:pPr>
            <w:r>
              <w:t>Budget</w:t>
            </w:r>
          </w:p>
        </w:tc>
        <w:tc>
          <w:tcPr>
            <w:tcW w:type="dxa" w:w="3830"/>
            <w:tcMar>
              <w:left w:w="50" w:type="dxa"/>
              <w:right w:w="5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50" w:type="dxa"/>
              <w:right w:w="50" w:type="dxa"/>
            </w:tcMar>
          </w:tcPr>
          <w:p>
            <w:pPr>
              <w:pStyle w:val="tablecopy"/>
              <w:keepNext/>
              <w:jc w:val="left"/>
            </w:pPr>
            <w:r>
              <w:t>Seating</w:t>
            </w:r>
          </w:p>
        </w:tc>
        <w:tc>
          <w:tcPr>
            <w:tcW w:type="dxa" w:w="3830"/>
            <w:tcMar>
              <w:left w:w="50" w:type="dxa"/>
              <w:right w:w="50" w:type="dxa"/>
            </w:tcMar>
          </w:tcPr>
          <w:p>
            <w:pPr>
              <w:pStyle w:val="tablecopy"/>
              <w:keepNext/>
              <w:jc w:val="left"/>
            </w:pPr>
            <w:r>
              <w:t xml:space="preserve">our agent in seat </w:t>
            </w:r>
            <w:r>
              <w:rPr>
                <w:i/>
              </w:rPr>
              <w:t>g</w:t>
            </w:r>
            <w:r>
              <w:t xml:space="preserve"> mod </w:t>
            </w:r>
            <w:r>
              <w:rPr>
                <w:i/>
              </w:rPr>
              <w:t>n</w:t>
            </w:r>
            <w:r>
              <w:t xml:space="preserve"> in game </w:t>
            </w:r>
            <w:r>
              <w:rPr>
                <w:i/>
              </w:rPr>
              <w:t>g</w:t>
            </w:r>
            <w:r>
              <w:t>; the opponents alternate (4 players: 2 + 1, swapped every 4 games)</w:t>
            </w:r>
          </w:p>
        </w:tc>
      </w:tr>
      <w:tr>
        <w:trPr>
          <w:cantSplit/>
        </w:trPr>
        <w:tc>
          <w:tcPr>
            <w:tcW w:type="dxa" w:w="1037"/>
            <w:tcMar>
              <w:left w:w="50" w:type="dxa"/>
              <w:right w:w="50" w:type="dxa"/>
            </w:tcMar>
          </w:tcPr>
          <w:p>
            <w:pPr>
              <w:pStyle w:val="tablecopy"/>
              <w:keepNext/>
              <w:jc w:val="left"/>
            </w:pPr>
            <w:r>
              <w:t>Deals</w:t>
            </w:r>
          </w:p>
        </w:tc>
        <w:tc>
          <w:tcPr>
            <w:tcW w:type="dxa" w:w="3830"/>
            <w:tcMar>
              <w:left w:w="50" w:type="dxa"/>
              <w:right w:w="5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from 19 October (all seed-7 and held-out runs) a fixed deck order is shuffled with it (equal </w:t>
            </w:r>
            <w:r>
              <w:rPr>
                <w:i/>
              </w:rPr>
              <w:t>s</w:t>
            </w:r>
            <w:r>
              <w:t>, equal deals: paired runs); earlier runs used TAG's own deal (independent samples)</w:t>
            </w:r>
          </w:p>
        </w:tc>
      </w:tr>
      <w:tr>
        <w:trPr>
          <w:cantSplit/>
        </w:trPr>
        <w:tc>
          <w:tcPr>
            <w:tcW w:type="dxa" w:w="1037"/>
            <w:tcMar>
              <w:left w:w="50" w:type="dxa"/>
              <w:right w:w="50" w:type="dxa"/>
            </w:tcMar>
          </w:tcPr>
          <w:p>
            <w:pPr>
              <w:pStyle w:val="tablecopy"/>
              <w:keepNext/>
              <w:jc w:val="left"/>
            </w:pPr>
            <w:r>
              <w:t>Seeds</w:t>
            </w:r>
          </w:p>
        </w:tc>
        <w:tc>
          <w:tcPr>
            <w:tcW w:type="dxa" w:w="3830"/>
            <w:tcMar>
              <w:left w:w="50" w:type="dxa"/>
              <w:right w:w="5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50" w:type="dxa"/>
              <w:right w:w="50" w:type="dxa"/>
            </w:tcMar>
          </w:tcPr>
          <w:p>
            <w:pPr>
              <w:pStyle w:val="tablecopy"/>
              <w:keepNext/>
              <w:jc w:val="left"/>
            </w:pPr>
            <w:r>
              <w:t>Games</w:t>
            </w:r>
          </w:p>
        </w:tc>
        <w:tc>
          <w:tcPr>
            <w:tcW w:type="dxa" w:w="3830"/>
            <w:tcMar>
              <w:left w:w="50" w:type="dxa"/>
              <w:right w:w="50" w:type="dxa"/>
            </w:tcMar>
          </w:tcPr>
          <w:p>
            <w:pPr>
              <w:pStyle w:val="tablecopy"/>
              <w:keepNext/>
              <w:jc w:val="left"/>
            </w:pPr>
            <w:r>
              <w:t>500 per condition; 250 at 900 ms (development and seed block 7) and in four-player development at 500 ms (nominally 45–70 s of CPU time per game)</w:t>
            </w:r>
          </w:p>
        </w:tc>
      </w:tr>
      <w:tr>
        <w:tc>
          <w:tcPr>
            <w:tcW w:type="dxa" w:w="1037"/>
            <w:tcMar>
              <w:left w:w="50" w:type="dxa"/>
              <w:right w:w="50" w:type="dxa"/>
            </w:tcMar>
          </w:tcPr>
          <w:p>
            <w:pPr>
              <w:pStyle w:val="tablecopy"/>
              <w:jc w:val="left"/>
            </w:pPr>
            <w:r>
              <w:t>Hardware, records</w:t>
            </w:r>
          </w:p>
        </w:tc>
        <w:tc>
          <w:tcPr>
            <w:tcW w:type="dxa" w:w="3830"/>
            <w:tcMar>
              <w:left w:w="50" w:type="dxa"/>
              <w:right w:w="50" w:type="dxa"/>
            </w:tcMar>
          </w:tcPr>
          <w:p>
            <w:pPr>
              <w:pStyle w:val="tablecopy"/>
              <w:jc w:val="left"/>
            </w:pPr>
            <w:r>
              <w:t>18-core laptop (6–16 games in parallel); candidate tests and validation: 4-core machine (4 in parallel)</w:t>
            </w:r>
          </w:p>
        </w:tc>
      </w:tr>
    </w:tbl>
    <w:p>
      <w:pPr>
        <w:pStyle w:val="tablecopy"/>
        <w:spacing w:after="80"/>
      </w:pPr>
    </w:p>
    <w:p>
      <w:pPr>
        <w:pStyle w:val="BodyText"/>
      </w:pPr>
      <w:r>
        <w:t>Table II summarises the setup. Each game is an independent trial whose outcome for our agent is 1 for a win, 1/</w:t>
      </w:r>
      <w:r>
        <w:rPr>
          <w:i/>
        </w:rPr>
        <w:t>j</w:t>
      </w:r>
      <w:r>
        <w:t xml:space="preserve"> for a </w:t>
      </w:r>
      <w:r>
        <w:rPr>
          <w:i/>
        </w:rPr>
        <w:t>j</w:t>
      </w:r>
      <w:r>
        <w:t xml:space="preserve">-way shared first place and 0 otherwise. Win rates are reported with Wilson 95% confidence intervals (CI) [13]; the score margin (our score minus the best opponent's) as mean ± 1.96 standard errors (SE); differences between runs as the mean of the per-game differences on the same deals ± 1.96 SE (for independent samples, the difference of the means with the two-sample SE) and </w:t>
      </w:r>
      <w:r>
        <w:rPr>
          <w:i/>
        </w:rPr>
        <w:t>z</w:t>
      </w:r>
      <w:r>
        <w:t xml:space="preserve"> = |difference|/SE, in percentage points (pp) for win rates. With 500 games a win rate near 50% has a 95% interval of ±4.4 pp, and a difference between two runs about ±5.7 pp even when paired, because the outcomes of two agents on the same deal correlate only weakly (0.0–0.2); such a comparison detects a difference of about 8 pp with 80% power. The score margin, usually the more sensitive measure, served to screen ideas. We report unadjusted intervals, apply a Holm correction [14] within the ablation and within the later candidate tests, and treat the four-player comparisons (60 of our 165 runs) as exploratory. We expected (E1) every component to improve both measures, (E2) the decoupled information-set tree to matter more at longer budgets and (E3) the best settings to depend on the number of players; E2 arose from the development runs and is tested on the held-out deals.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604"/>
        <w:gridCol w:w="1526"/>
        <w:gridCol w:w="403"/>
        <w:gridCol w:w="1353"/>
        <w:gridCol w:w="993"/>
      </w:tblGrid>
      <w:tr>
        <w:trPr>
          <w:cantSplit/>
        </w:trPr>
        <w:tc>
          <w:tcPr>
            <w:tcW w:type="dxa" w:w="605"/>
            <w:tcMar>
              <w:left w:w="50" w:type="dxa"/>
              <w:right w:w="50" w:type="dxa"/>
            </w:tcMar>
            <w:tcBorders>
              <w:bottom w:val="single" w:sz="6" w:space="0" w:color="000000"/>
            </w:tcBorders>
          </w:tcPr>
          <w:p>
            <w:pPr>
              <w:pStyle w:val="tablecolhead"/>
              <w:keepNext/>
              <w:jc w:val="left"/>
            </w:pPr>
            <w:r>
              <w:t>Setting</w:t>
            </w:r>
          </w:p>
        </w:tc>
        <w:tc>
          <w:tcPr>
            <w:tcW w:type="dxa" w:w="1526"/>
            <w:tcMar>
              <w:left w:w="50" w:type="dxa"/>
              <w:right w:w="50" w:type="dxa"/>
            </w:tcMar>
            <w:tcBorders>
              <w:bottom w:val="single" w:sz="6" w:space="0" w:color="000000"/>
            </w:tcBorders>
          </w:tcPr>
          <w:p>
            <w:pPr>
              <w:pStyle w:val="tablecolhead"/>
              <w:keepNext/>
              <w:jc w:val="left"/>
            </w:pPr>
            <w:r>
              <w:t>Opponents</w:t>
            </w:r>
          </w:p>
        </w:tc>
        <w:tc>
          <w:tcPr>
            <w:tcW w:type="dxa" w:w="403"/>
            <w:tcMar>
              <w:left w:w="50" w:type="dxa"/>
              <w:right w:w="50" w:type="dxa"/>
            </w:tcMar>
            <w:tcBorders>
              <w:bottom w:val="single" w:sz="6" w:space="0" w:color="000000"/>
            </w:tcBorders>
          </w:tcPr>
          <w:p>
            <w:pPr>
              <w:pStyle w:val="tablecolhead"/>
              <w:keepNext/>
              <w:jc w:val="center"/>
            </w:pPr>
            <w:r>
              <w:rPr>
                <w:i/>
              </w:rPr>
              <w:t>n</w:t>
            </w:r>
          </w:p>
        </w:tc>
        <w:tc>
          <w:tcPr>
            <w:tcW w:type="dxa" w:w="1354"/>
            <w:tcMar>
              <w:left w:w="50" w:type="dxa"/>
              <w:right w:w="50" w:type="dxa"/>
            </w:tcMar>
            <w:tcBorders>
              <w:bottom w:val="single" w:sz="6" w:space="0" w:color="000000"/>
            </w:tcBorders>
          </w:tcPr>
          <w:p>
            <w:pPr>
              <w:pStyle w:val="tablecolhead"/>
              <w:keepNext/>
              <w:jc w:val="center"/>
            </w:pPr>
            <w:r>
              <w:t>Win % [95% CI]</w:t>
            </w:r>
          </w:p>
        </w:tc>
        <w:tc>
          <w:tcPr>
            <w:tcW w:type="dxa" w:w="994"/>
            <w:tcMar>
              <w:left w:w="50" w:type="dxa"/>
              <w:right w:w="50" w:type="dxa"/>
            </w:tcMar>
            <w:tcBorders>
              <w:bottom w:val="single" w:sz="6" w:space="0" w:color="000000"/>
            </w:tcBorders>
          </w:tcPr>
          <w:p>
            <w:pPr>
              <w:pStyle w:val="tablecolhead"/>
              <w:keepNext/>
              <w:jc w:val="center"/>
            </w:pPr>
            <w:r>
              <w:t>Margin</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52.6 [48.2, 56.9]</w:t>
            </w:r>
          </w:p>
        </w:tc>
        <w:tc>
          <w:tcPr>
            <w:tcW w:type="dxa" w:w="994"/>
            <w:tcMar>
              <w:left w:w="50" w:type="dxa"/>
              <w:right w:w="50" w:type="dxa"/>
            </w:tcMar>
          </w:tcPr>
          <w:p>
            <w:pPr>
              <w:pStyle w:val="tablecopy"/>
              <w:keepNext/>
              <w:jc w:val="center"/>
            </w:pPr>
            <w:r>
              <w:t>+0.73 ± 0.46</w:t>
            </w:r>
          </w:p>
        </w:tc>
      </w:tr>
      <w:tr>
        <w:trPr>
          <w:cantSplit/>
        </w:trPr>
        <w:tc>
          <w:tcPr>
            <w:tcW w:type="dxa" w:w="605"/>
            <w:tcMar>
              <w:left w:w="50" w:type="dxa"/>
              <w:right w:w="50" w:type="dxa"/>
            </w:tcMar>
          </w:tcPr>
          <w:p>
            <w:pPr>
              <w:pStyle w:val="tablecopy"/>
              <w:keepNext/>
              <w:jc w:val="left"/>
            </w:pPr>
            <w:r>
              <w:t>3p/500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47.2 [42.9, 51.6]</w:t>
            </w:r>
          </w:p>
        </w:tc>
        <w:tc>
          <w:tcPr>
            <w:tcW w:type="dxa" w:w="994"/>
            <w:tcMar>
              <w:left w:w="50" w:type="dxa"/>
              <w:right w:w="50" w:type="dxa"/>
            </w:tcMar>
          </w:tcPr>
          <w:p>
            <w:pPr>
              <w:pStyle w:val="tablecopy"/>
              <w:keepNext/>
              <w:jc w:val="center"/>
            </w:pPr>
            <w:r>
              <w:t>−0.10 ± 0.40</w:t>
            </w:r>
          </w:p>
        </w:tc>
      </w:tr>
      <w:tr>
        <w:trPr>
          <w:cantSplit/>
        </w:trPr>
        <w:tc>
          <w:tcPr>
            <w:tcW w:type="dxa" w:w="605"/>
            <w:tcMar>
              <w:left w:w="50" w:type="dxa"/>
              <w:right w:w="50" w:type="dxa"/>
            </w:tcMar>
          </w:tcPr>
          <w:p>
            <w:pPr>
              <w:pStyle w:val="tablecopy"/>
              <w:keepNext/>
              <w:jc w:val="left"/>
            </w:pPr>
            <w:r>
              <w:t>3p/900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pending</w:t>
            </w:r>
          </w:p>
        </w:tc>
        <w:tc>
          <w:tcPr>
            <w:tcW w:type="dxa" w:w="994"/>
            <w:tcMar>
              <w:left w:w="50" w:type="dxa"/>
              <w:right w:w="50" w:type="dxa"/>
            </w:tcMar>
          </w:tcPr>
          <w:p>
            <w:pPr>
              <w:pStyle w:val="tablecopy"/>
              <w:keepNext/>
              <w:jc w:val="center"/>
            </w:pPr>
            <w:r>
              <w:t>pending</w:t>
            </w:r>
          </w:p>
        </w:tc>
      </w:tr>
      <w:tr>
        <w:trPr>
          <w:cantSplit/>
        </w:trPr>
        <w:tc>
          <w:tcPr>
            <w:tcW w:type="dxa" w:w="605"/>
            <w:tcMar>
              <w:left w:w="50" w:type="dxa"/>
              <w:right w:w="50" w:type="dxa"/>
            </w:tcMar>
          </w:tcPr>
          <w:p>
            <w:pPr>
              <w:pStyle w:val="tablecopy"/>
              <w:keepNext/>
              <w:jc w:val="left"/>
            </w:pPr>
            <w:r>
              <w:t>4p/100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44.4 [40.1, 48.8]</w:t>
            </w:r>
          </w:p>
        </w:tc>
        <w:tc>
          <w:tcPr>
            <w:tcW w:type="dxa" w:w="994"/>
            <w:tcMar>
              <w:left w:w="50" w:type="dxa"/>
              <w:right w:w="50" w:type="dxa"/>
            </w:tcMar>
          </w:tcPr>
          <w:p>
            <w:pPr>
              <w:pStyle w:val="tablecopy"/>
              <w:keepNext/>
              <w:jc w:val="center"/>
            </w:pPr>
            <w:r>
              <w:t>−0.61 ± 0.43</w:t>
            </w:r>
          </w:p>
        </w:tc>
      </w:tr>
      <w:tr>
        <w:trPr>
          <w:cantSplit/>
        </w:trPr>
        <w:tc>
          <w:tcPr>
            <w:tcW w:type="dxa" w:w="605"/>
            <w:tcMar>
              <w:left w:w="50" w:type="dxa"/>
              <w:right w:w="50" w:type="dxa"/>
            </w:tcMar>
          </w:tcPr>
          <w:p>
            <w:pPr>
              <w:pStyle w:val="tablecopy"/>
              <w:keepNext/>
              <w:jc w:val="left"/>
            </w:pPr>
            <w:r>
              <w:t>4p/500</w:t>
            </w:r>
          </w:p>
        </w:tc>
        <w:tc>
          <w:tcPr>
            <w:tcW w:type="dxa" w:w="1526"/>
            <w:tcMar>
              <w:left w:w="50" w:type="dxa"/>
              <w:right w:w="50" w:type="dxa"/>
            </w:tcMar>
          </w:tcPr>
          <w:p>
            <w:pPr>
              <w:pStyle w:val="tablecopy"/>
              <w:keepNext/>
              <w:jc w:val="left"/>
            </w:pPr>
            <w:r>
              <w:t>v2,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36.5 [32.4, 40.8]</w:t>
            </w:r>
          </w:p>
        </w:tc>
        <w:tc>
          <w:tcPr>
            <w:tcW w:type="dxa" w:w="994"/>
            <w:tcMar>
              <w:left w:w="50" w:type="dxa"/>
              <w:right w:w="50" w:type="dxa"/>
            </w:tcMar>
          </w:tcPr>
          <w:p>
            <w:pPr>
              <w:pStyle w:val="tablecopy"/>
              <w:keepNext/>
              <w:jc w:val="center"/>
            </w:pPr>
            <w:r>
              <w:t>−1.83 ± 0.45</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DUCT, ISMCTS</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55.0 [50.6, 59.3]</w:t>
            </w:r>
          </w:p>
        </w:tc>
        <w:tc>
          <w:tcPr>
            <w:tcW w:type="dxa" w:w="994"/>
            <w:tcMar>
              <w:left w:w="50" w:type="dxa"/>
              <w:right w:w="50" w:type="dxa"/>
            </w:tcMar>
          </w:tcPr>
          <w:p>
            <w:pPr>
              <w:pStyle w:val="tablecopy"/>
              <w:keepNext/>
              <w:jc w:val="center"/>
            </w:pPr>
            <w:r>
              <w:t>+0.72 ± 0.40</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ISMCTS × 2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51.3 [46.9, 55.7]</w:t>
            </w:r>
          </w:p>
        </w:tc>
        <w:tc>
          <w:tcPr>
            <w:tcW w:type="dxa" w:w="994"/>
            <w:tcMar>
              <w:left w:w="50" w:type="dxa"/>
              <w:right w:w="50" w:type="dxa"/>
            </w:tcMar>
          </w:tcPr>
          <w:p>
            <w:pPr>
              <w:pStyle w:val="tablecopy"/>
              <w:keepNext/>
              <w:jc w:val="center"/>
            </w:pPr>
            <w:r>
              <w:t>+1.41 ± 0.51</w:t>
            </w:r>
          </w:p>
        </w:tc>
      </w:tr>
      <w:tr>
        <w:trPr>
          <w:cantSplit/>
        </w:trP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BasicMCTS, RHEA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84.2 [80.7, 87.1]</w:t>
            </w:r>
          </w:p>
        </w:tc>
        <w:tc>
          <w:tcPr>
            <w:tcW w:type="dxa" w:w="994"/>
            <w:tcMar>
              <w:left w:w="50" w:type="dxa"/>
              <w:right w:w="50" w:type="dxa"/>
            </w:tcMar>
          </w:tcPr>
          <w:p>
            <w:pPr>
              <w:pStyle w:val="tablecopy"/>
              <w:keepNext/>
              <w:jc w:val="center"/>
            </w:pPr>
            <w:r>
              <w:t>+6.68 ± 0.60</w:t>
            </w:r>
          </w:p>
        </w:tc>
      </w:tr>
      <w:tr>
        <w:tc>
          <w:tcPr>
            <w:tcW w:type="dxa" w:w="605"/>
            <w:tcMar>
              <w:left w:w="50" w:type="dxa"/>
              <w:right w:w="50" w:type="dxa"/>
            </w:tcMar>
          </w:tcPr>
          <w:p>
            <w:pPr>
              <w:pStyle w:val="tablecopy"/>
              <w:keepNext/>
              <w:jc w:val="left"/>
            </w:pPr>
            <w:r>
              <w:t>3p/100</w:t>
            </w:r>
          </w:p>
        </w:tc>
        <w:tc>
          <w:tcPr>
            <w:tcW w:type="dxa" w:w="1526"/>
            <w:tcMar>
              <w:left w:w="50" w:type="dxa"/>
              <w:right w:w="50" w:type="dxa"/>
            </w:tcMar>
          </w:tcPr>
          <w:p>
            <w:pPr>
              <w:pStyle w:val="tablecopy"/>
              <w:keepNext/>
              <w:jc w:val="left"/>
            </w:pPr>
            <w:r>
              <w:t xml:space="preserve">OSLA, BasicMCTS </w:t>
            </w:r>
            <w:r>
              <w:rPr>
                <w:vertAlign w:val="superscript"/>
              </w:rPr>
              <w:t>a</w:t>
            </w:r>
          </w:p>
        </w:tc>
        <w:tc>
          <w:tcPr>
            <w:tcW w:type="dxa" w:w="403"/>
            <w:tcMar>
              <w:left w:w="50" w:type="dxa"/>
              <w:right w:w="50" w:type="dxa"/>
            </w:tcMar>
          </w:tcPr>
          <w:p>
            <w:pPr>
              <w:pStyle w:val="tablecopy"/>
              <w:keepNext/>
              <w:jc w:val="center"/>
            </w:pPr>
            <w:r>
              <w:t>500</w:t>
            </w:r>
          </w:p>
        </w:tc>
        <w:tc>
          <w:tcPr>
            <w:tcW w:type="dxa" w:w="1354"/>
            <w:tcMar>
              <w:left w:w="50" w:type="dxa"/>
              <w:right w:w="50" w:type="dxa"/>
            </w:tcMar>
          </w:tcPr>
          <w:p>
            <w:pPr>
              <w:pStyle w:val="tablecopy"/>
              <w:keepNext/>
              <w:jc w:val="center"/>
            </w:pPr>
            <w:r>
              <w:t>87.2 [84.0, 89.8]</w:t>
            </w:r>
          </w:p>
        </w:tc>
        <w:tc>
          <w:tcPr>
            <w:tcW w:type="dxa" w:w="994"/>
            <w:tcMar>
              <w:left w:w="50" w:type="dxa"/>
              <w:right w:w="50" w:type="dxa"/>
            </w:tcMar>
          </w:tcPr>
          <w:p>
            <w:pPr>
              <w:pStyle w:val="tablecopy"/>
              <w:keepNext/>
              <w:jc w:val="center"/>
            </w:pPr>
            <w:r>
              <w:t>+9.74 ± 0.75</w:t>
            </w:r>
          </w:p>
        </w:tc>
      </w:tr>
    </w:tbl>
    <w:p>
      <w:pPr>
        <w:pStyle w:val="tablecopy"/>
        <w:spacing w:before="40" w:after="160"/>
        <w:jc w:val="left"/>
      </w:pPr>
      <w:r>
        <w:t xml:space="preserve">Setting: players / ms per decision. Deals: held-out seed block 100 000; </w:t>
      </w:r>
      <w:r>
        <w:rPr>
          <w:vertAlign w:val="superscript"/>
        </w:rPr>
        <w:t>a</w:t>
      </w:r>
      <w:r>
        <w:t xml:space="preserve"> seed block 7. Margin: our score minus the best opponent's (points, ± 95% CI); chance 33.3% (3p), 25% (4p).</w:t>
      </w:r>
    </w:p>
    <w:p>
      <w:pPr>
        <w:pStyle w:val="BodyText"/>
      </w:pPr>
      <w:r>
        <w:t xml:space="preserve">Table III reports the final agent: on the held-out deals it wins 47.2–52.6% of three-player and 36.5–44.4% of four-player games against v2 and TAG's ISMCTS. On seed block 7 it had won 55.0% at 100 ms (58.1% when re-run on the held-out runs' machine), 2.4 ± 6.1 pp and 5.5 ± 6.1 pp more than on the held-out deals, within chance. At 100 ms it scores more from Nigiri (17.6 points per game, Wasabi included; v2 15.2, ISMCTS 12.9) and Pudding bonuses, while v2 collects Sashimi (9.1 against our 3.0). TAG's own DUCT configuration (decoupled selection and information sets, but its lead heuristic, </w:t>
      </w:r>
      <w:r>
        <w:rPr>
          <w:i/>
        </w:rPr>
        <w:t>K</w:t>
      </w:r>
      <w:r>
        <w:t xml:space="preserve"> = 1 and 30-move random rollouts) wins 21.0% [17.7, 24.8] of its seats in place of v2, the share v2 wins: decoupling and information sets alone, untuned, did not beat our earlier agent. BasicMCTS, RHEA and OSLA win at most 12.8% of their seats (OSLA none: its one-step look-ahead never reaches the reveal).</w:t>
      </w:r>
    </w:p>
    <w:p>
      <w:pPr>
        <w:pStyle w:val="Heading2"/>
      </w:pPr>
      <w:r>
        <w:t>Ablation (RQ1)</w:t>
      </w:r>
    </w:p>
    <w:p>
      <w:pPr>
        <w:keepNext/>
        <w:spacing w:before="120"/>
        <w:jc w:val="center"/>
      </w:pPr>
      <w:r>
        <w:drawing>
          <wp:inline xmlns:a="http://schemas.openxmlformats.org/drawingml/2006/main" xmlns:pic="http://schemas.openxmlformats.org/drawingml/2006/picture">
            <wp:extent cx="3099816" cy="182880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828800"/>
                    </a:xfrm>
                    <a:prstGeom prst="rect"/>
                  </pic:spPr>
                </pic:pic>
              </a:graphicData>
            </a:graphic>
          </wp:inline>
        </w:drawing>
      </w:r>
    </w:p>
    <w:p>
      <w:pPr>
        <w:pStyle w:val="figurecaption"/>
        <w:keepLines/>
      </w:pPr>
      <w:r>
        <w:t>Paired effects (three players, 100 ms, seed block 7, 500 games each; ± 95% CI; filled: significant after a Holm correction within the group). Top: components removed from the final agent (55.0%). Bottom: TAG's lead heuristic and five later changes against its re-run (58.1%).</w:t>
      </w:r>
    </w:p>
    <w:p>
      <w:pPr>
        <w:pStyle w:val="BodyText"/>
      </w:pPr>
      <w:r>
        <w:t xml:space="preserve">Fig. 2 (top) removes one component at a time from the final agent. Every removal lowers both measures; on the score margin all five differences survive a Holm correction, on the win rate only those of H and of S + I (−R: </w:t>
      </w:r>
      <w:r>
        <w:rPr>
          <w:i/>
        </w:rPr>
        <w:t>z</w:t>
      </w:r>
      <w:r>
        <w:t xml:space="preserve"> = 2.0, −B: 1.4, −I: 1.3), so for these five components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in place of H costs 13.6 ± 5.9 pp (</w:t>
      </w:r>
      <w:r>
        <w:rPr>
          <w:i/>
        </w:rPr>
        <w:t>z</w:t>
      </w:r>
      <w:r>
        <w:t xml:space="preserve"> = 4.5) against the re-run, but in place of own score / 50 it recovers 17.8 ± 5.6 pp of the 28.3 pp (same deals, second machine); as round-end leaves hold no unfinished sets, H differs from it mainly by the Pudding standing, the mean-opponent term and its bounded scale (not separated), while the card values act through B. S and I together are worth 10.2 ± 5.7 pp (</w:t>
      </w:r>
      <w:r>
        <w:rPr>
          <w:i/>
        </w:rPr>
        <w:t>z</w:t>
      </w:r>
      <w:r>
        <w:t xml:space="preserve"> = 3.5) here and +6.1 ± 5.9 pp on the held-out deals (pooled +8.2 ± 4.1 pp, </w:t>
      </w:r>
      <w:r>
        <w:rPr>
          <w:i/>
        </w:rPr>
        <w:t>z</w:t>
      </w:r>
      <w:r>
        <w:t xml:space="preserve"> = 3.9). S alone, decoupled selection with v3's determinisation, beats v3 by +6.4 ± 5.7 pp (</w:t>
      </w:r>
      <w:r>
        <w:rPr>
          <w:i/>
        </w:rPr>
        <w:t>z</w:t>
      </w:r>
      <w:r>
        <w:t xml:space="preserve"> = 2.2, unadjusted), and I adds a further, non-significant 3.8 ± 5.7 pp, consistent with Long et al.'s analysis [7] for a game that reveals its hidden information within </w:t>
      </w:r>
      <w:r>
        <w:rPr>
          <w:i/>
        </w:rPr>
        <w:t>n</w:t>
      </w:r>
      <w:r>
        <w:t xml:space="preserve"> − 1 turns. P and M stay (S and I build on them); in a 2</w:t>
      </w:r>
      <w:r>
        <w:rPr>
          <w:vertAlign w:val="superscript"/>
        </w:rPr>
        <w:t>4</w:t>
      </w:r>
      <w:r>
        <w:t xml:space="preserve"> factorial on v3 (R, M, </w:t>
      </w:r>
      <w:r>
        <w:rPr>
          <w:i/>
        </w:rPr>
        <w:t>K</w:t>
      </w:r>
      <w:r>
        <w:t xml:space="preserve"> = 0.5 vs 1.41, </w:t>
      </w:r>
      <w:r>
        <w:rPr>
          <w:i/>
        </w:rPr>
        <w:t>T</w:t>
      </w:r>
      <w:r>
        <w:t xml:space="preserve"> = 8 vs 4; 16 × 500 games) R added 8.7 pp and M 4.1 pp (main effects, each ±2.1), and R × </w:t>
      </w:r>
      <w:r>
        <w:rPr>
          <w:i/>
        </w:rPr>
        <w:t>T</w:t>
      </w:r>
      <w:r>
        <w:t xml:space="preserve"> and M × </w:t>
      </w:r>
      <w:r>
        <w:rPr>
          <w:i/>
        </w:rPr>
        <w:t>K</w:t>
      </w:r>
      <w:r>
        <w:t xml:space="preserve"> interact (</w:t>
      </w:r>
      <w:r>
        <w:rPr>
          <w:i/>
        </w:rPr>
        <w:t>z</w:t>
      </w:r>
      <w:r>
        <w:t xml:space="preserve"> = 4.0 and 2.8).</w:t>
      </w:r>
    </w:p>
    <w:p>
      <w:pPr>
        <w:pStyle w:val="BodyText"/>
      </w:pPr>
      <w:r>
        <w:t xml:space="preserve">Five later changes (Fig. 2, bottom) brought no detectable gain: card constants tuned for three players (X3), denial (rollout players also value taking the next player's favourite card), a win-gap value with σ decay and </w:t>
      </w:r>
      <w:r>
        <w:rPr>
          <w:i/>
        </w:rPr>
        <w:t>w</w:t>
      </w:r>
      <w:r>
        <w:t xml:space="preserve"> = 1 changed the win rate by −1.8 to +0.7 pp (each ±5.8), although X3 is the much stronger greedy policy (45.0% of games against two X0 players; it also changes the leaf evaluation, so this only weakly echoes simulation balancing [6]); rollouts to the game end with a win-gap value cost 23.7 ± 5.8 pp (</w:t>
      </w:r>
      <w:r>
        <w:rPr>
          <w:i/>
        </w:rPr>
        <w:t>z</w:t>
      </w:r>
      <w:r>
        <w:t xml:space="preserve"> = 8.0).</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37160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371600"/>
                    </a:xfrm>
                    <a:prstGeom prst="rect"/>
                  </pic:spPr>
                </pic:pic>
              </a:graphicData>
            </a:graphic>
          </wp:inline>
        </w:drawing>
      </w:r>
    </w:p>
    <w:p>
      <w:pPr>
        <w:pStyle w:val="figurecaption"/>
        <w:keepLines/>
      </w:pPr>
      <w:r>
        <w:t>Three-player win rate against v2 and TAG's ISMCTS. Lines: development runs (seed 1, independent samples; 250 games at 900 ms); open markers: the final agent and v3 on the held-out deals; bars: Wilson 95% intervals.</w:t>
      </w:r>
    </w:p>
    <w:p>
      <w:pPr>
        <w:pStyle w:val="BodyText"/>
      </w:pPr>
      <w:r>
        <w:t xml:space="preserve">In development (Fig. 3; independent samples) the gain from S and I rose from +5.6 ± 6.1 pp at 100 ms to +14.8 ± 8.4 pp at 900 ms (by +9.2 ± 10.4 pp, </w:t>
      </w:r>
      <w:r>
        <w:rPr>
          <w:i/>
        </w:rPr>
        <w:t>z</w:t>
      </w:r>
      <w:r>
        <w:t xml:space="preserve"> = 1.7), as v3 lost 17.3 pp and the final agent 8.1 pp. We hypothesise that v3's decline comes from its sequential tree, in which later players react to cards chosen earlier in the same turn: a wrong model that more iterations exploit more (at 500 ms both ran about 11 000–12 000 iterations per decision). As v3's 50.1% at 100 ms was the best of 16 factorial cells (45.1–49.4% on new seeds), this rise is probably overstated. On the held-out deals S and I gained +6.1 ± 5.9 pp (</w:t>
      </w:r>
      <w:r>
        <w:rPr>
          <w:i/>
        </w:rPr>
        <w:t>z</w:t>
      </w:r>
      <w:r>
        <w:t xml:space="preserve"> = 2.0) at 100 ms (v3: 46.5%). There the final agent's own win rate changed by −5.4 ± 5.9 pp (</w:t>
      </w:r>
      <w:r>
        <w:rPr>
          <w:i/>
        </w:rPr>
        <w:t>z</w:t>
      </w:r>
      <w:r>
        <w:t xml:space="preserve"> = 1.8) at 500 ms against 100 ms; pooled with seed block 7 (250 deals at 900 ms), 500 ms changed it by −5.5 ± 4.2 pp (</w:t>
      </w:r>
      <w:r>
        <w:rPr>
          <w:i/>
        </w:rPr>
        <w:t>z</w:t>
      </w:r>
      <w:r>
        <w:t xml:space="preserve"> = 2.6). On the held−out deals ISMCTS won 26.4% of its seats at 100 ms and 35.9% at 500 ms (+9.5 ± 5.7 pp), v2 21.0% and 16.9%: at 500 ms the extra time favoured ISMCTS over our agent, or our parameters, tuned at 100 ms, suit longer budgets less.</w:t>
      </w:r>
    </w:p>
    <w:p>
      <w:pPr>
        <w:pStyle w:val="Heading2"/>
      </w:pPr>
      <w:r>
        <w:t>Four Players and the Limits of Search (RQ3)</w:t>
      </w:r>
    </w:p>
    <w:p>
      <w:pPr>
        <w:pStyle w:val="BodyText"/>
      </w:pPr>
      <w:r>
        <w:t xml:space="preserve">In four-player development no change gave a significant gain at its own budget (X0: +4.3 ± 4.3 pp at 100 ms; X0, W2 and </w:t>
      </w:r>
      <w:r>
        <w:rPr>
          <w:i/>
        </w:rPr>
        <w:t>K</w:t>
      </w:r>
      <w:r>
        <w:t xml:space="preserve"> = 1: +5.8 ± 7.4 pp at 500 ms, F + L a further +1.0 ± 7.9 pp, but −6.6 ± 6.0 pp at 100 ms); we kept each change where its estimate was positive. With three players at 500 ms (both arms with F + L), X0, W2 and </w:t>
      </w:r>
      <w:r>
        <w:rPr>
          <w:i/>
        </w:rPr>
        <w:t>K</w:t>
      </w:r>
      <w:r>
        <w:t xml:space="preserve"> = 1 cost 7.7 ± 5.4 pp (</w:t>
      </w:r>
      <w:r>
        <w:rPr>
          <w:i/>
        </w:rPr>
        <w:t>z</w:t>
      </w:r>
      <w:r>
        <w:t xml:space="preserve"> = 2.8), an effect 13.5 ± 9.1 pp (</w:t>
      </w:r>
      <w:r>
        <w:rPr>
          <w:i/>
        </w:rPr>
        <w:t>z</w:t>
      </w:r>
      <w:r>
        <w:t xml:space="preserve"> = 2.9) different from that with four: consistent with E3, but exploratory (chosen after the four-player runs; four-player gains not significant; only the three-player arms had F + L). Depth matters – at 500 ms a tree cut to depth 1 lost 17.4 ± 8.2 pp – but 1 000 ms for our agent alone (with </w:t>
      </w:r>
      <w:r>
        <w:rPr>
          <w:i/>
        </w:rPr>
        <w:t>K</w:t>
      </w:r>
      <w:r>
        <w:t xml:space="preserve"> = 1.37) brought no detectable gain (−4.8 ± 8.1 pp), and the 500 ms agent (W2, F + L, </w:t>
      </w:r>
      <w:r>
        <w:rPr>
          <w:i/>
        </w:rPr>
        <w:t>K</w:t>
      </w:r>
      <w:r>
        <w:t xml:space="preserve"> = 1; all agents at 500 ms) changed our win rate against the 100 ms agent by −5.4 ± 5.9 pp on seed block 7 and −7.9 ± 5.7 pp on the held-out deals (pooled −6.7 ± 4.1 pp, </w:t>
      </w:r>
      <w:r>
        <w:rPr>
          <w:i/>
        </w:rPr>
        <w:t>z</w:t>
      </w:r>
      <w:r>
        <w:t xml:space="preserve"> = 3.2), while TAG's ISMCTS rose from 24.1% to 32.1% of its seats, as with three players. Both did better on seed block 7 (46.8%, 41.4%), whose deals overlap those used to tune them. On 73 positions from random-play games the 500 ms tree has on average 704 joint-move children at the root, 53% visited once; doubling the time or the rollouts per leaf changed the card in 2 and 4 of them, no more often than a re-run (4 with the same seed, 7 with another).</w:t>
      </w:r>
    </w:p>
    <w:p>
      <w:pPr>
        <w:pStyle w:val="Heading1"/>
      </w:pPr>
      <w:r>
        <w:t>Conclusions and Future Work</w:t>
      </w:r>
    </w:p>
    <w:p>
      <w:pPr>
        <w:pStyle w:val="BodyText"/>
      </w:pPr>
      <w:r>
        <w:t>For RQ1, every ablation lowers the score margin; after a Holm correction, removing the evaluation H (−28.3 pp; TAG's lead heuristic in its place still costs 13.6 pp) or the decoupled information-set tree (−10.2 pp; +8.2 ± 4.1 pp for it when pooled with the held-out replication) also lowers the win rate. For RQ2, the final agent's win rate changed by −5.5 ± 4.2 pp from 100 to 500 ms (</w:t>
      </w:r>
      <w:r>
        <w:rPr>
          <w:i/>
        </w:rPr>
        <w:t>z</w:t>
      </w:r>
      <w:r>
        <w:t xml:space="preserve"> = 2.6; two deal sets pooled), while TAG's ISMCTS won 9.5 pp more of its seats at 500 ms; in development v3's sequential tree lost more strength at longer budgets than the decoupled one, though the difference between the trends is not significant. For RQ3, settings tuned for four players cost 7.7 ± 5.4 pp with three players (exploratory); the four-player 500 ms agent won 6.7 ± 4.1 pp less than the 100 ms one (pooled; budget and settings mixed); and with four players time beyond 500 ms rarely changes the decision of the wide, shallow joint-move tree.</w:t>
      </w:r>
    </w:p>
    <w:p>
      <w:pPr>
        <w:pStyle w:val="BodyText"/>
      </w:pPr>
      <w:r>
        <w:t>Our opponents were framework agents and our own previous version, the four-player settings rest on 250-game runs and non-significant gains, and CPU-time budgets hide wall-clock effects. As hand-tuned changes to the model no longer move the agent, future work should learn the evaluation from game outcomes; regret matching or EXP3 deserve a test, as decoupled UCT is best overall but not in every game [10] and was the most exploitable in Goofspiel [9]; and opponent models fitted to observed picks (an option in our code, not yet evaluated in full runs) could replace the single greedy policy that now models all players.</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is computed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each draft was marked by a second, independent Claude instance, prompted as “an independent, strict marker for the QMUL module ECS7032P” to mark it against the brief and the rubric, to recompute its numbers from our result files and to list the changes that would raise the mark. Its written reports, one per draft, were the prompts for the revisions (all prompts and these reports: GENAI_PROMPTS.md and the folder genai in our code package);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