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230625112</w:t>
        <w:br/>
      </w:r>
      <w:r>
        <w:rPr>
          <w:i/>
          <w:sz w:val="18"/>
        </w:rPr>
        <w:t>Queen Mary University of London</w:t>
        <w:br/>
      </w:r>
      <w:r>
        <w:rPr>
          <w:i/>
          <w:sz w:val="18"/>
        </w:rPr>
        <w:t>London, UK</w:t>
      </w:r>
      <w:r>
        <w:br w:type="column"/>
      </w:r>
      <w:r>
        <w:rPr>
          <w:i w:val="0"/>
          <w:sz w:val="18"/>
        </w:rPr>
        <w:t>Weronika Podgorska</w:t>
        <w:br/>
      </w:r>
      <w:r>
        <w:rPr>
          <w:i w:val="0"/>
          <w:sz w:val="18"/>
        </w:rPr>
        <w:t>Student no. 230394735</w:t>
        <w:br/>
      </w:r>
      <w:r>
        <w:rPr>
          <w:i/>
          <w:sz w:val="18"/>
        </w:rPr>
        <w:t>Queen Mary University of London</w:t>
        <w:br/>
      </w:r>
      <w:r>
        <w:rPr>
          <w:i/>
          <w:sz w:val="18"/>
        </w:rPr>
        <w:t>London, UK</w:t>
      </w:r>
      <w:r>
        <w:br w:type="column"/>
      </w:r>
      <w:r>
        <w:rPr>
          <w:i w:val="0"/>
          <w:sz w:val="18"/>
        </w:rPr>
        <w:t>Hakan Coskun</w:t>
        <w:br/>
      </w:r>
      <w:r>
        <w:rPr>
          <w:i w:val="0"/>
          <w:sz w:val="18"/>
        </w:rPr>
        <w:t>Student no. 241076864</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 xml:space="preserve">Card-drafting games such as </w:t>
      </w:r>
      <w:r>
        <w:rPr>
          <w:i/>
        </w:rPr>
        <w:t>Sushi Go!</w:t>
      </w:r>
      <w:r>
        <w:t xml:space="preserve"> combine hidden hands, simultaneous moves and delayed scoring, which basic Monte Carlo tree search (MCTS) handles poorly. We extended BasicMCTS of the Tabletop Games framework (TAG) with card-value rollouts, a lead-based evaluation, round-end rollouts, max-n backups and a decoupled information-set tree. On held-out deals it wins 52.6%, 47.2% and 44.8% of three-player games (100, 500, 900 ms; chance 33.3%) against TAG's information-set MCTS (ISMCTS) and our previous agent, and 44.4% and 36.5% of four-player games (100, 500 ms; chance 25%). At 100 ms, the evaluation and the decoupled tree each raise its win rate significantly. With more time for all agents, ISMCTS closes in: our lead per seat falls from 26.2 to 8.5 percentage points (three players, 100–900 ms).</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implemented the game in TAG and described it as combining simultaneous action selection with complete information; in the TAG version we use, an agent's copy re-deals all unseen cards.</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500-game experiments (250 games in some long runs). Our contributions are:</w:t>
      </w:r>
    </w:p>
    <w:p>
      <w:pPr>
        <w:pStyle w:val="bulletlist"/>
        <w:numPr>
          <w:ilvl w:val="0"/>
          <w:numId w:val="2"/>
        </w:numPr>
        <w:ind w:left="576" w:hanging="288"/>
      </w:pPr>
      <w:r>
        <w:t xml:space="preserve">a model of </w:t>
      </w:r>
      <w:r>
        <w:rPr>
          <w:i/>
        </w:rPr>
        <w:t>Sushi Go!</w:t>
      </w:r>
      <w:r>
        <w:t>'s scoring that values every card for all players' rollouts and estimates every player's final score for a bounded, lead-based evaluation, which is the component our agent depends on most;</w:t>
      </w:r>
    </w:p>
    <w:p>
      <w:pPr>
        <w:pStyle w:val="bulletlist"/>
        <w:numPr>
          <w:ilvl w:val="0"/>
          <w:numId w:val="2"/>
        </w:numPr>
        <w:ind w:left="576" w:hanging="288"/>
      </w:pPr>
      <w:r>
        <w:t>ablations and held-out tests showing that decoupled selection over information sets beats a determinised sequential tree (significantly at 100 ms), while TAG's own decoupled information-set agent, with its own heuristic and rollouts, is not detectably better than our previous agent;</w:t>
      </w:r>
    </w:p>
    <w:p>
      <w:pPr>
        <w:pStyle w:val="bulletlist"/>
        <w:numPr>
          <w:ilvl w:val="0"/>
          <w:numId w:val="2"/>
        </w:numPr>
        <w:ind w:left="576" w:hanging="288"/>
      </w:pPr>
      <w:r>
        <w:t>exploratory evidence that settings tuned for four players hurt with three, and that with four players time beyond 500 ms rarely changes the decision of a wide, shallow joint-move tree.</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w:t>
      </w:r>
      <w:r>
        <w:rPr>
          <w:i/>
        </w:rPr>
        <w:t>Sushi Go!</w:t>
      </w:r>
      <w:r>
        <w:t xml:space="preserve">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when Puddings also break ties). As the hands rotate, every hand of a round has been seen after two passes (three with four players),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but a stronger rollout policy does not guarantee better estimates: Silver and Tesauro [6] showed that rollouts should be balanced, i.e., give unbiased value estimates.</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w:t>
      </w:r>
      <w:r>
        <w:rPr>
          <w:i/>
        </w:rPr>
        <w:t>Sushi Go!</w:t>
      </w:r>
      <w:r>
        <w:t xml:space="preserve"> happens within two or three turns of each round. Its known flaws are strategy fusion – the search assumes that it can act differently in states it cannot tell apart – and non-locality [3], [7].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as in TAG's MultiTree MCTS [8].</w:t>
      </w:r>
    </w:p>
    <w:p>
      <w:pPr>
        <w:pStyle w:val="BodyText"/>
      </w:pPr>
      <w:r>
        <w:t>Simultaneous moves can be modelled as hidden sequential moves (partially observable moves in ISMCTS [3]) or handled by decoupled UCT (DUCT): every player chooses its own action at a node from its own bandit statistics and the joint action leads to a child [9]. UCB-based DUCT need not converge to an equilibrium, so Lanctot et al. [9] compared it in Goofspiel with EXP3, regret matching and their online outcome sampling: regret matching and outcome sampling played best, and decoupled UCT's strategies were the most exploitable. Tak et al. [10] compared decoupled and sequential UCT, EXP3 and regret matching in nine games: the best variant depended on the game and the opponent, although decoupled UCT was best overall. With several players, UCT with max-n backups (every player maximises its own value) computes a mixed-strategy equilibrium and played at least as well as earlier algorithms [11].</w:t>
      </w:r>
    </w:p>
    <w:p>
      <w:pPr>
        <w:pStyle w:val="BodyText"/>
      </w:pPr>
      <w:r>
        <w:t xml:space="preserve">MCTS has also been applied to the drafting game 7 Wonders, which passes hands in the same way; many results known from classic games held there too, and Robilliard et al. [12] argued that a hand-made evaluation is hard to build because card values depend on the stage of the game and on the other players' choices; our card-value model is such an attempt. For </w:t>
      </w:r>
      <w:r>
        <w:rPr>
          <w:i/>
        </w:rPr>
        <w:t>Sushi Go!</w:t>
      </w:r>
      <w:r>
        <w:t xml:space="preserve"> and similar drafting games we know of no study that separates the contributions of decoupled selection, information sets and domain knowledge within one agent or measures how they change with the time budget and the number of players; the earlier </w:t>
      </w:r>
      <w:r>
        <w:rPr>
          <w:i/>
        </w:rPr>
        <w:t>Sushi Go!</w:t>
      </w:r>
      <w:r>
        <w:t xml:space="preserve"> study in TAG [4] focused on simultaneous action selection and complete information and concluded that better heuristics should improve the agents, which motivates our card-value model.</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b</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πω</w:t>
      </w:r>
      <w:r>
        <w:rPr>
          <w:rFonts w:ascii="Times New Roman" w:hAnsi="Times New Roman" w:cs="Times New Roman" w:eastAsia="Times New Roman"/>
          <w:i/>
          <w:vertAlign w:val="subscript"/>
        </w:rPr>
        <w:t>t</w:t>
      </w:r>
      <w:r>
        <w:rPr>
          <w:rFonts w:ascii="Times New Roman" w:hAnsi="Times New Roman" w:cs="Times New Roman" w:eastAsia="Times New Roman"/>
          <w:i/>
        </w:rPr>
        <w:t>d</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b</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unused Wasabi (2ν, the bonus for a Nigiri of average value ν = 2) and of Chopsticks (1), each weighted by min(1, (</w:t>
      </w:r>
      <w:r>
        <w:rPr>
          <w:i/>
        </w:rPr>
        <w:t>r</w:t>
      </w:r>
      <w:r>
        <w:t xml:space="preserve"> − </w:t>
      </w:r>
      <w:r>
        <w:rPr>
          <w:i/>
        </w:rPr>
        <w:t>k</w:t>
      </w:r>
      <w:r>
        <w:t xml:space="preserve"> + 1)/</w:t>
      </w:r>
      <w:r>
        <w:rPr>
          <w:i/>
        </w:rPr>
        <w:t>T</w:t>
      </w:r>
      <w:r>
        <w:t xml:space="preserve">), or 0 if </w:t>
      </w:r>
      <w:r>
        <w:rPr>
          <w:i/>
        </w:rPr>
        <w:t>r</w:t>
      </w:r>
      <w:r>
        <w:t xml:space="preserve"> &lt; </w:t>
      </w:r>
      <w:r>
        <w:rPr>
          <w:i/>
        </w:rPr>
        <w:t>k</w:t>
      </w:r>
      <w:r>
        <w:t xml:space="preserve">, when </w:t>
      </w:r>
      <w:r>
        <w:rPr>
          <w:i/>
        </w:rPr>
        <w:t>k</w:t>
      </w:r>
      <w:r>
        <w:t xml:space="preserve"> more cards are needed and </w:t>
      </w:r>
      <w:r>
        <w:rPr>
          <w:i/>
        </w:rPr>
        <w:t>r</w:t>
      </w:r>
      <w:r>
        <w:t xml:space="preserve"> picks are left; </w:t>
      </w:r>
      <w:r>
        <w:rPr>
          <w:i/>
        </w:rPr>
        <w:t>m</w:t>
      </w:r>
      <w:r>
        <w:rPr>
          <w:i/>
          <w:vertAlign w:val="subscript"/>
        </w:rPr>
        <w:t>p</w:t>
      </w:r>
      <w:r>
        <w:t xml:space="preserve"> the Maki points </w:t>
      </w:r>
      <w:r>
        <w:rPr>
          <w:i/>
        </w:rPr>
        <w:t>p</w:t>
      </w:r>
      <w:r>
        <w:t xml:space="preserve"> would get if the round ended now; and </w:t>
      </w:r>
      <w:r>
        <w:rPr>
          <w:i/>
        </w:rPr>
        <w:t>d</w:t>
      </w:r>
      <w:r>
        <w:rPr>
          <w:i/>
          <w:vertAlign w:val="subscript"/>
        </w:rPr>
        <w:t>p</w:t>
      </w:r>
      <w:r>
        <w:t xml:space="preserve"> the Pudding (dessert) points if the game ended now, weighted by ω</w:t>
      </w:r>
      <w:r>
        <w:rPr>
          <w:i/>
          <w:vertAlign w:val="subscript"/>
        </w:rPr>
        <w:t>t</w:t>
      </w:r>
      <w:r>
        <w:t xml:space="preserve"> = </w:t>
      </w:r>
      <w:r>
        <w:rPr>
          <w:i/>
        </w:rPr>
        <w:t>t</w:t>
      </w:r>
      <w:r>
        <w:t xml:space="preserve">/3 in round </w:t>
      </w:r>
      <w:r>
        <w:rPr>
          <w:i/>
        </w:rPr>
        <w:t>t</w:t>
      </w:r>
      <w:r>
        <w:t xml:space="preserve"> (α = 0.5, </w:t>
      </w:r>
      <w:r>
        <w:rPr>
          <w:i/>
        </w:rPr>
        <w:t>T</w:t>
      </w:r>
      <w:r>
        <w:t xml:space="preserve"> = 4, π = 1).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30" w:type="dxa"/>
              <w:right w:w="30" w:type="dxa"/>
            </w:tcMar>
            <w:tcBorders>
              <w:bottom w:val="single" w:sz="6" w:space="0" w:color="000000"/>
            </w:tcBorders>
          </w:tcPr>
          <w:p>
            <w:pPr>
              <w:pStyle w:val="tablecolhead"/>
              <w:keepNext/>
              <w:jc w:val="left"/>
            </w:pPr>
            <w:r>
              <w:t>Id</w:t>
            </w:r>
          </w:p>
        </w:tc>
        <w:tc>
          <w:tcPr>
            <w:tcW w:type="dxa" w:w="3053"/>
            <w:tcMar>
              <w:left w:w="30" w:type="dxa"/>
              <w:right w:w="30" w:type="dxa"/>
            </w:tcMar>
            <w:tcBorders>
              <w:bottom w:val="single" w:sz="6" w:space="0" w:color="000000"/>
            </w:tcBorders>
          </w:tcPr>
          <w:p>
            <w:pPr>
              <w:pStyle w:val="tablecolhead"/>
              <w:keepNext/>
              <w:jc w:val="left"/>
            </w:pPr>
            <w:r>
              <w:t>Modification</w:t>
            </w:r>
          </w:p>
        </w:tc>
        <w:tc>
          <w:tcPr>
            <w:tcW w:type="dxa" w:w="1094"/>
            <w:tcMar>
              <w:left w:w="30" w:type="dxa"/>
              <w:right w:w="30" w:type="dxa"/>
            </w:tcMar>
            <w:tcBorders>
              <w:bottom w:val="single" w:sz="6" w:space="0" w:color="000000"/>
            </w:tcBorders>
          </w:tcPr>
          <w:p>
            <w:pPr>
              <w:pStyle w:val="tablecolhead"/>
              <w:keepNext/>
              <w:jc w:val="center"/>
            </w:pPr>
            <w:r>
              <w:t>3 p / 4 p</w:t>
            </w:r>
          </w:p>
        </w:tc>
      </w:tr>
      <w:tr>
        <w:trPr>
          <w:cantSplit/>
        </w:trPr>
        <w:tc>
          <w:tcPr>
            <w:tcW w:type="dxa" w:w="720"/>
            <w:tcMar>
              <w:left w:w="30" w:type="dxa"/>
              <w:right w:w="30" w:type="dxa"/>
            </w:tcMar>
          </w:tcPr>
          <w:p>
            <w:pPr>
              <w:pStyle w:val="tablecopy"/>
              <w:keepNext/>
              <w:jc w:val="left"/>
            </w:pPr>
            <w:r>
              <w:t>H</w:t>
            </w:r>
          </w:p>
        </w:tc>
        <w:tc>
          <w:tcPr>
            <w:tcW w:type="dxa" w:w="3053"/>
            <w:tcMar>
              <w:left w:w="30" w:type="dxa"/>
              <w:right w:w="30" w:type="dxa"/>
            </w:tcMar>
          </w:tcPr>
          <w:p>
            <w:pPr>
              <w:pStyle w:val="tablecopy"/>
              <w:keepNext/>
              <w:jc w:val="left"/>
            </w:pPr>
            <w:r>
              <w:t>heuristic (2)–(3) from model (1)</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B</w:t>
            </w:r>
          </w:p>
        </w:tc>
        <w:tc>
          <w:tcPr>
            <w:tcW w:type="dxa" w:w="3053"/>
            <w:tcMar>
              <w:left w:w="30" w:type="dxa"/>
              <w:right w:w="30" w:type="dxa"/>
            </w:tcMar>
          </w:tcPr>
          <w:p>
            <w:pPr>
              <w:pStyle w:val="tablecopy"/>
              <w:keepNext/>
              <w:jc w:val="left"/>
            </w:pPr>
            <w:r>
              <w:t>ε-greedy card-value rollouts for every player</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R</w:t>
            </w:r>
          </w:p>
        </w:tc>
        <w:tc>
          <w:tcPr>
            <w:tcW w:type="dxa" w:w="3053"/>
            <w:tcMar>
              <w:left w:w="30" w:type="dxa"/>
              <w:right w:w="30" w:type="dxa"/>
            </w:tcMar>
          </w:tcPr>
          <w:p>
            <w:pPr>
              <w:pStyle w:val="tablecopy"/>
              <w:keepNext/>
              <w:jc w:val="left"/>
            </w:pPr>
            <w:r>
              <w:t>rollouts end when the round is scored</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P</w:t>
            </w:r>
          </w:p>
        </w:tc>
        <w:tc>
          <w:tcPr>
            <w:tcW w:type="dxa" w:w="3053"/>
            <w:tcMar>
              <w:left w:w="30" w:type="dxa"/>
              <w:right w:w="30" w:type="dxa"/>
            </w:tcMar>
          </w:tcPr>
          <w:p>
            <w:pPr>
              <w:pStyle w:val="tablecopy"/>
              <w:keepNext/>
              <w:jc w:val="left"/>
            </w:pPr>
            <w:r>
              <w:t>one branch per distinct card</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M</w:t>
            </w:r>
          </w:p>
        </w:tc>
        <w:tc>
          <w:tcPr>
            <w:tcW w:type="dxa" w:w="3053"/>
            <w:tcMar>
              <w:left w:w="30" w:type="dxa"/>
              <w:right w:w="30" w:type="dxa"/>
            </w:tcMar>
          </w:tcPr>
          <w:p>
            <w:pPr>
              <w:pStyle w:val="tablecopy"/>
              <w:keepNext/>
              <w:jc w:val="left"/>
            </w:pPr>
            <w:r>
              <w:t>max-n backups [11]</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S</w:t>
            </w:r>
          </w:p>
        </w:tc>
        <w:tc>
          <w:tcPr>
            <w:tcW w:type="dxa" w:w="3053"/>
            <w:tcMar>
              <w:left w:w="30" w:type="dxa"/>
              <w:right w:w="30" w:type="dxa"/>
            </w:tcMar>
          </w:tcPr>
          <w:p>
            <w:pPr>
              <w:pStyle w:val="tablecopy"/>
              <w:keepNext/>
              <w:jc w:val="left"/>
            </w:pPr>
            <w:r>
              <w:t>decoupled UCT, one node per turn [9]</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I</w:t>
            </w:r>
          </w:p>
        </w:tc>
        <w:tc>
          <w:tcPr>
            <w:tcW w:type="dxa" w:w="3053"/>
            <w:tcMar>
              <w:left w:w="30" w:type="dxa"/>
              <w:right w:w="30" w:type="dxa"/>
            </w:tcMar>
          </w:tcPr>
          <w:p>
            <w:pPr>
              <w:pStyle w:val="tablecopy"/>
              <w:keepNext/>
              <w:jc w:val="left"/>
            </w:pPr>
            <w:r>
              <w:t>single-observer information-set search [3]</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X0</w:t>
            </w:r>
          </w:p>
        </w:tc>
        <w:tc>
          <w:tcPr>
            <w:tcW w:type="dxa" w:w="3053"/>
            <w:tcMar>
              <w:left w:w="30" w:type="dxa"/>
              <w:right w:w="30" w:type="dxa"/>
            </w:tcMar>
          </w:tcPr>
          <w:p>
            <w:pPr>
              <w:pStyle w:val="tablecopy"/>
              <w:keepNext/>
              <w:jc w:val="left"/>
            </w:pPr>
            <w:r>
              <w:t xml:space="preserve">four-player card constants </w:t>
            </w:r>
            <w:r>
              <w:rPr>
                <w:vertAlign w:val="superscript"/>
              </w:rPr>
              <w:t>a</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W2</w:t>
            </w:r>
          </w:p>
        </w:tc>
        <w:tc>
          <w:tcPr>
            <w:tcW w:type="dxa" w:w="3053"/>
            <w:tcMar>
              <w:left w:w="30" w:type="dxa"/>
              <w:right w:w="30" w:type="dxa"/>
            </w:tcMar>
          </w:tcPr>
          <w:p>
            <w:pPr>
              <w:pStyle w:val="tablecopy"/>
              <w:keepNext/>
              <w:jc w:val="left"/>
            </w:pPr>
            <w:r>
              <w:t>win-gap value for 4 players (Section III-D)</w:t>
            </w:r>
          </w:p>
        </w:tc>
        <w:tc>
          <w:tcPr>
            <w:tcW w:type="dxa" w:w="1094"/>
            <w:tcMar>
              <w:left w:w="30" w:type="dxa"/>
              <w:right w:w="30" w:type="dxa"/>
            </w:tcMar>
          </w:tcPr>
          <w:p>
            <w:pPr>
              <w:pStyle w:val="tablecopy"/>
              <w:keepNext/>
              <w:jc w:val="center"/>
            </w:pPr>
            <w:r>
              <w:t xml:space="preserve">– / ✓ </w:t>
            </w:r>
            <w:r>
              <w:rPr>
                <w:vertAlign w:val="superscript"/>
              </w:rPr>
              <w:t>b</w:t>
            </w:r>
          </w:p>
        </w:tc>
      </w:tr>
      <w:tr>
        <w:trPr>
          <w:cantSplit/>
        </w:trPr>
        <w:tc>
          <w:tcPr>
            <w:tcW w:type="dxa" w:w="720"/>
            <w:tcMar>
              <w:left w:w="30" w:type="dxa"/>
              <w:right w:w="30" w:type="dxa"/>
            </w:tcMar>
          </w:tcPr>
          <w:p>
            <w:pPr>
              <w:pStyle w:val="tablecopy"/>
              <w:keepNext/>
              <w:jc w:val="left"/>
            </w:pPr>
            <w:r>
              <w:t>F, L</w:t>
            </w:r>
          </w:p>
        </w:tc>
        <w:tc>
          <w:tcPr>
            <w:tcW w:type="dxa" w:w="3053"/>
            <w:tcMar>
              <w:left w:w="30" w:type="dxa"/>
              <w:right w:w="30" w:type="dxa"/>
            </w:tcMar>
          </w:tcPr>
          <w:p>
            <w:pPr>
              <w:pStyle w:val="tablecopy"/>
              <w:keepNext/>
              <w:jc w:val="left"/>
            </w:pPr>
            <w:r>
              <w:t>fast simulator, 8 rollouts per leaf</w:t>
            </w:r>
          </w:p>
        </w:tc>
        <w:tc>
          <w:tcPr>
            <w:tcW w:type="dxa" w:w="1094"/>
            <w:tcMar>
              <w:left w:w="30" w:type="dxa"/>
              <w:right w:w="30" w:type="dxa"/>
            </w:tcMar>
          </w:tcPr>
          <w:p>
            <w:pPr>
              <w:pStyle w:val="tablecopy"/>
              <w:keepNext/>
              <w:jc w:val="center"/>
            </w:pPr>
            <w:r>
              <w:t xml:space="preserve">– / ✓ </w:t>
            </w:r>
            <w:r>
              <w:rPr>
                <w:vertAlign w:val="superscript"/>
              </w:rPr>
              <w:t>b</w:t>
            </w:r>
          </w:p>
        </w:tc>
      </w:tr>
      <w:tr>
        <w:trPr>
          <w:cantSplit/>
        </w:trPr>
        <w:tc>
          <w:tcPr>
            <w:tcW w:type="dxa" w:w="720"/>
            <w:tcMar>
              <w:left w:w="30" w:type="dxa"/>
              <w:right w:w="30" w:type="dxa"/>
            </w:tcMar>
          </w:tcPr>
          <w:p>
            <w:pPr>
              <w:pStyle w:val="tablecopy"/>
              <w:keepNext/>
              <w:jc w:val="left"/>
            </w:pPr>
            <w:r>
              <w:t>A</w:t>
            </w:r>
          </w:p>
        </w:tc>
        <w:tc>
          <w:tcPr>
            <w:tcW w:type="dxa" w:w="3053"/>
            <w:tcMar>
              <w:left w:w="30" w:type="dxa"/>
              <w:right w:w="30" w:type="dxa"/>
            </w:tcMar>
          </w:tcPr>
          <w:p>
            <w:pPr>
              <w:pStyle w:val="tablecopy"/>
              <w:keepNext/>
              <w:jc w:val="left"/>
            </w:pPr>
            <w:r>
              <w:t>progressive bias [2]</w:t>
            </w:r>
          </w:p>
        </w:tc>
        <w:tc>
          <w:tcPr>
            <w:tcW w:type="dxa" w:w="1094"/>
            <w:tcMar>
              <w:left w:w="30" w:type="dxa"/>
              <w:right w:w="30" w:type="dxa"/>
            </w:tcMar>
          </w:tcPr>
          <w:p>
            <w:pPr>
              <w:pStyle w:val="tablecopy"/>
              <w:keepNext/>
              <w:jc w:val="center"/>
            </w:pPr>
            <w:r>
              <w:t>dropped in v3</w:t>
            </w:r>
          </w:p>
        </w:tc>
      </w:tr>
      <w:tr>
        <w:tc>
          <w:tcPr>
            <w:tcW w:type="dxa" w:w="720"/>
            <w:tcMar>
              <w:left w:w="30" w:type="dxa"/>
              <w:right w:w="30" w:type="dxa"/>
            </w:tcMar>
          </w:tcPr>
          <w:p>
            <w:pPr>
              <w:pStyle w:val="tablecopy"/>
              <w:keepNext/>
              <w:jc w:val="left"/>
            </w:pPr>
            <w:r>
              <w:t>D</w:t>
            </w:r>
          </w:p>
        </w:tc>
        <w:tc>
          <w:tcPr>
            <w:tcW w:type="dxa" w:w="3053"/>
            <w:tcMar>
              <w:left w:w="30" w:type="dxa"/>
              <w:right w:w="30" w:type="dxa"/>
            </w:tcMar>
          </w:tcPr>
          <w:p>
            <w:pPr>
              <w:pStyle w:val="tablecopy"/>
              <w:keepNext/>
              <w:jc w:val="left"/>
            </w:pPr>
            <w:r>
              <w:t>ensemble of up to 4 determinised trees [3]</w:t>
            </w:r>
          </w:p>
        </w:tc>
        <w:tc>
          <w:tcPr>
            <w:tcW w:type="dxa" w:w="1094"/>
            <w:tcMar>
              <w:left w:w="30" w:type="dxa"/>
              <w:right w:w="30" w:type="dxa"/>
            </w:tcMar>
          </w:tcPr>
          <w:p>
            <w:pPr>
              <w:pStyle w:val="tablecopy"/>
              <w:keepNext/>
              <w:jc w:val="center"/>
            </w:pPr>
            <w:r>
              <w:t>replaced by I</w:t>
            </w:r>
          </w:p>
        </w:tc>
      </w:tr>
    </w:tbl>
    <w:p>
      <w:pPr>
        <w:pStyle w:val="tablecopy"/>
        <w:spacing w:before="40" w:after="160"/>
        <w:jc w:val="left"/>
      </w:pPr>
      <w:r>
        <w:rPr>
          <w:vertAlign w:val="superscript"/>
        </w:rPr>
        <w:t>a</w:t>
      </w:r>
      <w:r>
        <w:t xml:space="preserve"> (σ, </w:t>
      </w:r>
      <w:r>
        <w:rPr>
          <w:i/>
        </w:rPr>
        <w:t>w</w:t>
      </w:r>
      <w:r>
        <w:t xml:space="preserve">, α, </w:t>
      </w:r>
      <w:r>
        <w:rPr>
          <w:i/>
        </w:rPr>
        <w:t>T</w:t>
      </w:r>
      <w:r>
        <w:t xml:space="preserve">, β, </w:t>
      </w:r>
      <w:r>
        <w:rPr>
          <w:i/>
        </w:rPr>
        <w:t>T</w:t>
      </w:r>
      <w:r>
        <w:rPr>
          <w:vertAlign w:val="subscript"/>
        </w:rPr>
        <w:t>m</w:t>
      </w:r>
      <w:r>
        <w:t xml:space="preserve">, κ, δ, π, ν, γ) = (15, 0.7, 0.5, 6, 0.5, 3, 0.25, 1.5, 1.25, 3, 3), default (15, 0.7, 0.5, 4, 1, 0, 0, 0, 1, 2, 0). β: Sashimi triple needing two cards; Maki standing weight 1/(1 + </w:t>
      </w:r>
      <w:r>
        <w:rPr>
          <w:i/>
        </w:rPr>
        <w:t>r</w:t>
      </w:r>
      <w:r>
        <w:t>/</w:t>
      </w:r>
      <w:r>
        <w:rPr>
          <w:i/>
        </w:rPr>
        <w:t>T</w:t>
      </w:r>
      <w:r>
        <w:rPr>
          <w:vertAlign w:val="subscript"/>
        </w:rPr>
        <w:t>m</w:t>
      </w:r>
      <w:r>
        <w:t xml:space="preserve">) (1 if </w:t>
      </w:r>
      <w:r>
        <w:rPr>
          <w:i/>
        </w:rPr>
        <w:t>T</w:t>
      </w:r>
      <w:r>
        <w:rPr>
          <w:vertAlign w:val="subscript"/>
        </w:rPr>
        <w:t>m</w:t>
      </w:r>
      <w:r>
        <w:t xml:space="preserve"> = 0), κ per icon otherwise; δ: next Dumpling; γ: cards needed per missing card. </w:t>
      </w:r>
      <w:r>
        <w:rPr>
          <w:vertAlign w:val="superscript"/>
        </w:rPr>
        <w:t>b</w:t>
      </w:r>
      <w:r>
        <w:t xml:space="preserve"> 500 ms or more.</w:t>
      </w:r>
    </w:p>
    <w:p>
      <w:pPr>
        <w:keepNext/>
        <w:spacing w:before="120"/>
        <w:jc w:val="center"/>
      </w:pPr>
      <w:r>
        <w:drawing>
          <wp:inline xmlns:a="http://schemas.openxmlformats.org/drawingml/2006/main" xmlns:pic="http://schemas.openxmlformats.org/drawingml/2006/picture">
            <wp:extent cx="3099816" cy="1371600"/>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371600"/>
                    </a:xfrm>
                    <a:prstGeom prst="rect"/>
                  </pic:spPr>
                </pic:pic>
              </a:graphicData>
            </a:graphic>
          </wp:inline>
        </w:drawing>
      </w:r>
    </w:p>
    <w:p>
      <w:pPr>
        <w:pStyle w:val="figurecaption"/>
        <w:keepLines/>
      </w:pPr>
      <w:r>
        <w:t>The sequential tree of v3 (left) and a turn node of the final agent (right): every player picks by UCB on its own card statistics, and the hidden cards are re-sampled in every iteration.</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second card of a Chopsticks move in the same way, and greedily in the tree); the same policy models the opponents. </w:t>
      </w:r>
      <w:r>
        <w:rPr>
          <w:b/>
        </w:rPr>
        <w:t>R:</w:t>
      </w:r>
      <w:r>
        <w:t xml:space="preserve"> a rollout stops when the current round has been scored; only Pudding carries over, which (1) captures, so at the leaves </w:t>
      </w:r>
      <w:r>
        <w:rPr>
          <w:i/>
        </w:rPr>
        <w:t>u</w:t>
      </w:r>
      <w:r>
        <w:rPr>
          <w:i/>
          <w:vertAlign w:val="subscript"/>
        </w:rPr>
        <w:t>p</w:t>
      </w:r>
      <w:r>
        <w:t xml:space="preserve"> = </w:t>
      </w:r>
      <w:r>
        <w:rPr>
          <w:i/>
        </w:rPr>
        <w:t>m</w:t>
      </w:r>
      <w:r>
        <w:rPr>
          <w:i/>
          <w:vertAlign w:val="subscript"/>
        </w:rPr>
        <w:t>p</w:t>
      </w:r>
      <w:r>
        <w:t xml:space="preserve"> = 0 and only banked points and the Pudding standing count.</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[11], instead of BasicMCTS's paranoid assumption that every opponent minimises ours.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[9];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each iteration adds one node, and the agent finally plays the card it chose most often at the root. Statistics are keyed by card kind (type, Maki icons, use of Chopsticks);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(without I, the node's visits).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tuner of greedy card-value policies. Its files for 500 ms or more also use </w:t>
      </w:r>
      <w:r>
        <w:rPr>
          <w:b/>
        </w:rPr>
        <w:t>W2</w:t>
      </w:r>
      <w:r>
        <w:t xml:space="preserve"> – </w:t>
      </w:r>
      <w:r>
        <w:rPr>
          <w:i/>
        </w:rPr>
        <w:t>w</w:t>
      </w:r>
      <w:r>
        <w:t xml:space="preserve"> = 1; finished games valued by tanh((</w:t>
      </w:r>
      <w:r>
        <w:rPr>
          <w:i/>
        </w:rPr>
        <w:t>b</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b</w:t>
      </w:r>
      <w:r>
        <w:rPr>
          <w:i/>
          <w:vertAlign w:val="subscript"/>
        </w:rPr>
        <w:t>j</w:t>
      </w:r>
      <w:r>
        <w:t>)/2) with Pudding as tie-break; σ multiplied by (ρ/2)</w:t>
      </w:r>
      <w:r>
        <w:rPr>
          <w:vertAlign w:val="superscript"/>
        </w:rPr>
        <w:t>0.5</w:t>
      </w:r>
      <w:r>
        <w:t xml:space="preserve"> for ρ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30" w:type="dxa"/>
              <w:right w:w="30" w:type="dxa"/>
            </w:tcMar>
            <w:tcBorders>
              <w:bottom w:val="single" w:sz="6" w:space="0" w:color="000000"/>
            </w:tcBorders>
          </w:tcPr>
          <w:p>
            <w:pPr>
              <w:pStyle w:val="tablecolhead"/>
              <w:keepNext/>
              <w:jc w:val="left"/>
            </w:pPr>
            <w:r>
              <w:t>Item</w:t>
            </w:r>
          </w:p>
        </w:tc>
        <w:tc>
          <w:tcPr>
            <w:tcW w:type="dxa" w:w="3830"/>
            <w:tcMar>
              <w:left w:w="30" w:type="dxa"/>
              <w:right w:w="30" w:type="dxa"/>
            </w:tcMar>
            <w:tcBorders>
              <w:bottom w:val="single" w:sz="6" w:space="0" w:color="000000"/>
            </w:tcBorders>
          </w:tcPr>
          <w:p>
            <w:pPr>
              <w:pStyle w:val="tablecolhead"/>
              <w:keepNext/>
              <w:jc w:val="left"/>
            </w:pPr>
            <w:r>
              <w:t>Setting</w:t>
            </w:r>
          </w:p>
        </w:tc>
      </w:tr>
      <w:tr>
        <w:trPr>
          <w:cantSplit/>
        </w:trPr>
        <w:tc>
          <w:tcPr>
            <w:tcW w:type="dxa" w:w="1037"/>
            <w:tcMar>
              <w:left w:w="30" w:type="dxa"/>
              <w:right w:w="30" w:type="dxa"/>
            </w:tcMar>
          </w:tcPr>
          <w:p>
            <w:pPr>
              <w:pStyle w:val="tablecopy"/>
              <w:keepNext/>
              <w:jc w:val="left"/>
            </w:pPr>
            <w:r>
              <w:t>Framework</w:t>
            </w:r>
          </w:p>
        </w:tc>
        <w:tc>
          <w:tcPr>
            <w:tcW w:type="dxa" w:w="3830"/>
            <w:tcMar>
              <w:left w:w="30" w:type="dxa"/>
              <w:right w:w="30" w:type="dxa"/>
            </w:tcMar>
          </w:tcPr>
          <w:p>
            <w:pPr>
              <w:pStyle w:val="tablecopy"/>
              <w:keepNext/>
              <w:jc w:val="left"/>
            </w:pPr>
            <w:r>
              <w:t xml:space="preserve">TAG as provided for the module (unchanged), </w:t>
            </w:r>
            <w:r>
              <w:rPr>
                <w:i/>
              </w:rPr>
              <w:t>Sushi Go!</w:t>
            </w:r>
            <w:r>
              <w:t xml:space="preserve"> with its default rules; OpenJDK 21</w:t>
            </w:r>
          </w:p>
        </w:tc>
      </w:tr>
      <w:tr>
        <w:trPr>
          <w:cantSplit/>
        </w:trPr>
        <w:tc>
          <w:tcPr>
            <w:tcW w:type="dxa" w:w="1037"/>
            <w:tcMar>
              <w:left w:w="30" w:type="dxa"/>
              <w:right w:w="30" w:type="dxa"/>
            </w:tcMar>
          </w:tcPr>
          <w:p>
            <w:pPr>
              <w:pStyle w:val="tablecopy"/>
              <w:keepNext/>
              <w:jc w:val="left"/>
            </w:pPr>
            <w:r>
              <w:t>Opponents</w:t>
            </w:r>
          </w:p>
        </w:tc>
        <w:tc>
          <w:tcPr>
            <w:tcW w:type="dxa" w:w="3830"/>
            <w:tcMar>
              <w:left w:w="30" w:type="dxa"/>
              <w:right w:w="30" w:type="dxa"/>
            </w:tcMar>
          </w:tcPr>
          <w:p>
            <w:pPr>
              <w:pStyle w:val="tablecopy"/>
              <w:keepNext/>
              <w:jc w:val="left"/>
            </w:pPr>
            <w:r>
              <w:t xml:space="preserve">v2: our previous agent (H, A, B, D, </w:t>
            </w:r>
            <w:r>
              <w:rPr>
                <w:i/>
              </w:rPr>
              <w:t>K</w:t>
            </w:r>
            <w:r>
              <w:t xml:space="preserve"> 1.41). TAG ISMCTS: SushiGo_3+P_HiBudget at our budget (one tree per player [8], UCB-Tuned [2], </w:t>
            </w:r>
            <w:r>
              <w:rPr>
                <w:i/>
              </w:rPr>
              <w:t>K</w:t>
            </w:r>
            <w:r>
              <w:t xml:space="preserve"> 1, random rollouts to the end, score heuristic). TAG DUCT: SushiGoDUCT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30" w:type="dxa"/>
              <w:right w:w="30" w:type="dxa"/>
            </w:tcMar>
          </w:tcPr>
          <w:p>
            <w:pPr>
              <w:pStyle w:val="tablecopy"/>
              <w:keepNext/>
              <w:jc w:val="left"/>
            </w:pPr>
            <w:r>
              <w:t>Budget</w:t>
            </w:r>
          </w:p>
        </w:tc>
        <w:tc>
          <w:tcPr>
            <w:tcW w:type="dxa" w:w="3830"/>
            <w:tcMar>
              <w:left w:w="30" w:type="dxa"/>
              <w:right w:w="30" w:type="dxa"/>
            </w:tcMar>
          </w:tcPr>
          <w:p>
            <w:pPr>
              <w:pStyle w:val="tablecopy"/>
              <w:keepNext/>
              <w:jc w:val="left"/>
            </w:pPr>
            <w:r>
              <w:t>CPU time per decision, equal for all agents: 100 ms (most development), 500 and 900 ms; submitted agent files: 900 ms (1 s limit) or 430 ms (500 ms limit), with wall-clock guards</w:t>
            </w:r>
          </w:p>
        </w:tc>
      </w:tr>
      <w:tr>
        <w:trPr>
          <w:cantSplit/>
        </w:trPr>
        <w:tc>
          <w:tcPr>
            <w:tcW w:type="dxa" w:w="1037"/>
            <w:tcMar>
              <w:left w:w="30" w:type="dxa"/>
              <w:right w:w="30" w:type="dxa"/>
            </w:tcMar>
          </w:tcPr>
          <w:p>
            <w:pPr>
              <w:pStyle w:val="tablecopy"/>
              <w:keepNext/>
              <w:jc w:val="left"/>
            </w:pPr>
            <w:r>
              <w:t>Seating</w:t>
            </w:r>
          </w:p>
        </w:tc>
        <w:tc>
          <w:tcPr>
            <w:tcW w:type="dxa" w:w="3830"/>
            <w:tcMar>
              <w:left w:w="30" w:type="dxa"/>
              <w:right w:w="30" w:type="dxa"/>
            </w:tcMar>
          </w:tcPr>
          <w:p>
            <w:pPr>
              <w:pStyle w:val="tablecopy"/>
              <w:keepNext/>
              <w:jc w:val="left"/>
            </w:pPr>
            <w:r>
              <w:t xml:space="preserve">our agent in seat </w:t>
            </w:r>
            <w:r>
              <w:rPr>
                <w:i/>
              </w:rPr>
              <w:t>g</w:t>
            </w:r>
            <w:r>
              <w:t xml:space="preserve"> mod 3 in game </w:t>
            </w:r>
            <w:r>
              <w:rPr>
                <w:i/>
              </w:rPr>
              <w:t>g</w:t>
            </w:r>
            <w:r>
              <w:t xml:space="preserve"> (4 players: </w:t>
            </w:r>
            <w:r>
              <w:rPr>
                <w:i/>
              </w:rPr>
              <w:t>g</w:t>
            </w:r>
            <w:r>
              <w:t xml:space="preserve"> mod 4); the two opponents swap seats every 3 games (4 players: 2 + 1 copies, swapped every 4 games)</w:t>
            </w:r>
          </w:p>
        </w:tc>
      </w:tr>
      <w:tr>
        <w:trPr>
          <w:cantSplit/>
        </w:trPr>
        <w:tc>
          <w:tcPr>
            <w:tcW w:type="dxa" w:w="1037"/>
            <w:tcMar>
              <w:left w:w="30" w:type="dxa"/>
              <w:right w:w="30" w:type="dxa"/>
            </w:tcMar>
          </w:tcPr>
          <w:p>
            <w:pPr>
              <w:pStyle w:val="tablecopy"/>
              <w:keepNext/>
              <w:jc w:val="left"/>
            </w:pPr>
            <w:r>
              <w:t>Deals</w:t>
            </w:r>
          </w:p>
        </w:tc>
        <w:tc>
          <w:tcPr>
            <w:tcW w:type="dxa" w:w="3830"/>
            <w:tcMar>
              <w:left w:w="30" w:type="dxa"/>
              <w:right w:w="3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(seed block </w:t>
            </w:r>
            <w:r>
              <w:rPr>
                <w:i/>
              </w:rPr>
              <w:t>s</w:t>
            </w:r>
            <w:r>
              <w:t xml:space="preserve">); in all seed-7 and held-out runs and the later development runs a fixed deck order is shuffled with it (equal </w:t>
            </w:r>
            <w:r>
              <w:rPr>
                <w:i/>
              </w:rPr>
              <w:t>s</w:t>
            </w:r>
            <w:r>
              <w:t>, equal deals: paired runs); earlier runs used TAG's own deal (independent samples)</w:t>
            </w:r>
          </w:p>
        </w:tc>
      </w:tr>
      <w:tr>
        <w:trPr>
          <w:cantSplit/>
        </w:trPr>
        <w:tc>
          <w:tcPr>
            <w:tcW w:type="dxa" w:w="1037"/>
            <w:tcMar>
              <w:left w:w="30" w:type="dxa"/>
              <w:right w:w="30" w:type="dxa"/>
            </w:tcMar>
          </w:tcPr>
          <w:p>
            <w:pPr>
              <w:pStyle w:val="tablecopy"/>
              <w:keepNext/>
              <w:jc w:val="left"/>
            </w:pPr>
            <w:r>
              <w:t>Seeds</w:t>
            </w:r>
          </w:p>
        </w:tc>
        <w:tc>
          <w:tcPr>
            <w:tcW w:type="dxa" w:w="3830"/>
            <w:tcMar>
              <w:left w:w="30" w:type="dxa"/>
              <w:right w:w="30" w:type="dxa"/>
            </w:tcMar>
          </w:tcPr>
          <w:p>
            <w:pPr>
              <w:pStyle w:val="tablecopy"/>
              <w:keepNext/>
              <w:jc w:val="left"/>
            </w:pPr>
            <w:r>
              <w:t xml:space="preserve">development </w:t>
            </w:r>
            <w:r>
              <w:rPr>
                <w:i/>
              </w:rPr>
              <w:t>s</w:t>
            </w:r>
            <w:r>
              <w:t xml:space="preserve"> = 1, 2 (v3 also 1001, 2001, 3001); ablation and later candidate tests </w:t>
            </w:r>
            <w:r>
              <w:rPr>
                <w:i/>
              </w:rPr>
              <w:t>s</w:t>
            </w:r>
            <w:r>
              <w:t xml:space="preserve"> = 7; held-out </w:t>
            </w:r>
            <w:r>
              <w:rPr>
                <w:i/>
              </w:rPr>
              <w:t>s</w:t>
            </w:r>
            <w:r>
              <w:t xml:space="preserve"> = 100 000, disjoint from all other deals</w:t>
            </w:r>
          </w:p>
        </w:tc>
      </w:tr>
      <w:tr>
        <w:trPr>
          <w:cantSplit/>
        </w:trPr>
        <w:tc>
          <w:tcPr>
            <w:tcW w:type="dxa" w:w="1037"/>
            <w:tcMar>
              <w:left w:w="30" w:type="dxa"/>
              <w:right w:w="30" w:type="dxa"/>
            </w:tcMar>
          </w:tcPr>
          <w:p>
            <w:pPr>
              <w:pStyle w:val="tablecopy"/>
              <w:keepNext/>
              <w:jc w:val="left"/>
            </w:pPr>
            <w:r>
              <w:t>Games</w:t>
            </w:r>
          </w:p>
        </w:tc>
        <w:tc>
          <w:tcPr>
            <w:tcW w:type="dxa" w:w="3830"/>
            <w:tcMar>
              <w:left w:w="30" w:type="dxa"/>
              <w:right w:w="30" w:type="dxa"/>
            </w:tcMar>
          </w:tcPr>
          <w:p>
            <w:pPr>
              <w:pStyle w:val="tablecopy"/>
              <w:keepNext/>
              <w:jc w:val="left"/>
            </w:pPr>
            <w:r>
              <w:t>500 per condition; 250 at 900 ms (development and seed block 7) and in four-player development at 500 ms (45–70 s of CPU time per game)</w:t>
            </w:r>
          </w:p>
        </w:tc>
      </w:tr>
      <w:tr>
        <w:tc>
          <w:tcPr>
            <w:tcW w:type="dxa" w:w="1037"/>
            <w:tcMar>
              <w:left w:w="30" w:type="dxa"/>
              <w:right w:w="30" w:type="dxa"/>
            </w:tcMar>
          </w:tcPr>
          <w:p>
            <w:pPr>
              <w:pStyle w:val="tablecopy"/>
              <w:jc w:val="left"/>
            </w:pPr>
            <w:r>
              <w:t>Hardware, records</w:t>
            </w:r>
          </w:p>
        </w:tc>
        <w:tc>
          <w:tcPr>
            <w:tcW w:type="dxa" w:w="3830"/>
            <w:tcMar>
              <w:left w:w="30" w:type="dxa"/>
              <w:right w:w="30" w:type="dxa"/>
            </w:tcMar>
          </w:tcPr>
          <w:p>
            <w:pPr>
              <w:pStyle w:val="tablecopy"/>
              <w:jc w:val="left"/>
            </w:pPr>
            <w:r>
              <w:t>development, ablation and first seed-7 runs: 18-core laptop; later runs: 4-core machine; per-game results and logs of all 167 runs: available from the authors</w:t>
            </w:r>
          </w:p>
        </w:tc>
      </w:tr>
    </w:tbl>
    <w:p>
      <w:pPr>
        <w:pStyle w:val="tablecopy"/>
        <w:spacing w:after="80"/>
      </w:pPr>
    </w:p>
    <w:p>
      <w:pPr>
        <w:pStyle w:val="BodyText"/>
      </w:pPr>
      <w:r>
        <w:t>Each game is an independent trial whose outcome for our agent is 1 for a win, 1/</w:t>
      </w:r>
      <w:r>
        <w:rPr>
          <w:i/>
        </w:rPr>
        <w:t>j</w:t>
      </w:r>
      <w:r>
        <w:t xml:space="preserve"> for a </w:t>
      </w:r>
      <w:r>
        <w:rPr>
          <w:i/>
        </w:rPr>
        <w:t>j</w:t>
      </w:r>
      <w:r>
        <w:t xml:space="preserve">-way shared first place and 0 otherwise. Win rates are reported with Wilson 95% confidence intervals (CI) [13]; the score margin (our score minus the best opponent's) as mean ± 1.96 standard errors (SE); differences between runs as the mean of the per-game differences on the same deals ± 1.96 SE (for independent samples, the difference of the means with the two-sample SE; two deal sets are pooled by inverse-variance weighting) and </w:t>
      </w:r>
      <w:r>
        <w:rPr>
          <w:i/>
        </w:rPr>
        <w:t>z</w:t>
      </w:r>
      <w:r>
        <w:t xml:space="preserve"> = |difference|/SE, in percentage points (pp) for win rates. With 500 games a win rate near 50% has a 95% interval of ±4.4 pp, and a difference between two runs about ±5.7 pp even when paired, because the outcomes of two versions of our agent on the same deal correlate only weakly (at most 0.22 in our paired runs); such a comparison detects a difference of about 8 pp with 80% power. We report unadjusted intervals, apply a Holm correction [14] within each group of Fig. 2, and treat the four-player comparisons (60 of our 167 runs) as exploratory. We expected (E1) every component to improve both measures, (E2) the decoupled information-set tree to matter more at longer budgets and (E3) the best settings to depend on the number of players; E2 came from development runs and is tested on held-out deals.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576"/>
        <w:gridCol w:w="1540"/>
        <w:gridCol w:w="1137"/>
        <w:gridCol w:w="936"/>
        <w:gridCol w:w="691"/>
      </w:tblGrid>
      <w:tr>
        <w:trPr>
          <w:cantSplit/>
        </w:trPr>
        <w:tc>
          <w:tcPr>
            <w:tcW w:type="dxa" w:w="576"/>
            <w:tcMar>
              <w:left w:w="30" w:type="dxa"/>
              <w:right w:w="30" w:type="dxa"/>
            </w:tcMar>
            <w:tcBorders>
              <w:bottom w:val="single" w:sz="6" w:space="0" w:color="000000"/>
            </w:tcBorders>
          </w:tcPr>
          <w:p>
            <w:pPr>
              <w:pStyle w:val="tablecolhead"/>
              <w:keepNext/>
              <w:jc w:val="left"/>
            </w:pPr>
            <w:r>
              <w:t>Setting</w:t>
            </w:r>
          </w:p>
        </w:tc>
        <w:tc>
          <w:tcPr>
            <w:tcW w:type="dxa" w:w="1541"/>
            <w:tcMar>
              <w:left w:w="30" w:type="dxa"/>
              <w:right w:w="30" w:type="dxa"/>
            </w:tcMar>
            <w:tcBorders>
              <w:bottom w:val="single" w:sz="6" w:space="0" w:color="000000"/>
            </w:tcBorders>
          </w:tcPr>
          <w:p>
            <w:pPr>
              <w:pStyle w:val="tablecolhead"/>
              <w:keepNext/>
              <w:jc w:val="left"/>
            </w:pPr>
            <w:r>
              <w:t>Opponents</w:t>
            </w:r>
          </w:p>
        </w:tc>
        <w:tc>
          <w:tcPr>
            <w:tcW w:type="dxa" w:w="1138"/>
            <w:tcMar>
              <w:left w:w="30" w:type="dxa"/>
              <w:right w:w="30" w:type="dxa"/>
            </w:tcMar>
            <w:tcBorders>
              <w:bottom w:val="single" w:sz="6" w:space="0" w:color="000000"/>
            </w:tcBorders>
          </w:tcPr>
          <w:p>
            <w:pPr>
              <w:pStyle w:val="tablecolhead"/>
              <w:keepNext/>
              <w:jc w:val="center"/>
            </w:pPr>
            <w:r>
              <w:t>Win % [CI]</w:t>
            </w:r>
          </w:p>
        </w:tc>
        <w:tc>
          <w:tcPr>
            <w:tcW w:type="dxa" w:w="936"/>
            <w:tcMar>
              <w:left w:w="30" w:type="dxa"/>
              <w:right w:w="30" w:type="dxa"/>
            </w:tcMar>
            <w:tcBorders>
              <w:bottom w:val="single" w:sz="6" w:space="0" w:color="000000"/>
            </w:tcBorders>
          </w:tcPr>
          <w:p>
            <w:pPr>
              <w:pStyle w:val="tablecolhead"/>
              <w:keepNext/>
              <w:jc w:val="center"/>
            </w:pPr>
            <w:r>
              <w:t>Margin</w:t>
            </w:r>
          </w:p>
        </w:tc>
        <w:tc>
          <w:tcPr>
            <w:tcW w:type="dxa" w:w="691"/>
            <w:tcMar>
              <w:left w:w="30" w:type="dxa"/>
              <w:right w:w="30" w:type="dxa"/>
            </w:tcMar>
            <w:tcBorders>
              <w:bottom w:val="single" w:sz="6" w:space="0" w:color="000000"/>
            </w:tcBorders>
          </w:tcPr>
          <w:p>
            <w:pPr>
              <w:pStyle w:val="tablecolhead"/>
              <w:keepNext/>
              <w:jc w:val="center"/>
            </w:pPr>
            <w:r>
              <w:t>ISMCTS</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52.6 [48.2, 56.9]</w:t>
            </w:r>
          </w:p>
        </w:tc>
        <w:tc>
          <w:tcPr>
            <w:tcW w:type="dxa" w:w="936"/>
            <w:tcMar>
              <w:left w:w="30" w:type="dxa"/>
              <w:right w:w="30" w:type="dxa"/>
            </w:tcMar>
          </w:tcPr>
          <w:p>
            <w:pPr>
              <w:pStyle w:val="tablecopy"/>
              <w:keepNext/>
              <w:jc w:val="center"/>
            </w:pPr>
            <w:r>
              <w:t>+0.73 ± 0.46</w:t>
            </w:r>
          </w:p>
        </w:tc>
        <w:tc>
          <w:tcPr>
            <w:tcW w:type="dxa" w:w="691"/>
            <w:tcMar>
              <w:left w:w="30" w:type="dxa"/>
              <w:right w:w="30" w:type="dxa"/>
            </w:tcMar>
          </w:tcPr>
          <w:p>
            <w:pPr>
              <w:pStyle w:val="tablecopy"/>
              <w:keepNext/>
              <w:jc w:val="center"/>
            </w:pPr>
            <w:r>
              <w:t>26.4</w:t>
            </w:r>
          </w:p>
        </w:tc>
      </w:tr>
      <w:tr>
        <w:trPr>
          <w:cantSplit/>
        </w:trPr>
        <w:tc>
          <w:tcPr>
            <w:tcW w:type="dxa" w:w="576"/>
            <w:tcMar>
              <w:left w:w="30" w:type="dxa"/>
              <w:right w:w="30" w:type="dxa"/>
            </w:tcMar>
          </w:tcPr>
          <w:p>
            <w:pPr>
              <w:pStyle w:val="tablecopy"/>
              <w:keepNext/>
              <w:jc w:val="left"/>
            </w:pPr>
            <w:r>
              <w:t>3p/500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47.2 [42.9, 51.6]</w:t>
            </w:r>
          </w:p>
        </w:tc>
        <w:tc>
          <w:tcPr>
            <w:tcW w:type="dxa" w:w="936"/>
            <w:tcMar>
              <w:left w:w="30" w:type="dxa"/>
              <w:right w:w="30" w:type="dxa"/>
            </w:tcMar>
          </w:tcPr>
          <w:p>
            <w:pPr>
              <w:pStyle w:val="tablecopy"/>
              <w:keepNext/>
              <w:jc w:val="center"/>
            </w:pPr>
            <w:r>
              <w:t>−0.10 ± 0.40</w:t>
            </w:r>
          </w:p>
        </w:tc>
        <w:tc>
          <w:tcPr>
            <w:tcW w:type="dxa" w:w="691"/>
            <w:tcMar>
              <w:left w:w="30" w:type="dxa"/>
              <w:right w:w="30" w:type="dxa"/>
            </w:tcMar>
          </w:tcPr>
          <w:p>
            <w:pPr>
              <w:pStyle w:val="tablecopy"/>
              <w:keepNext/>
              <w:jc w:val="center"/>
            </w:pPr>
            <w:r>
              <w:t>35.9</w:t>
            </w:r>
          </w:p>
        </w:tc>
      </w:tr>
      <w:tr>
        <w:trPr>
          <w:cantSplit/>
        </w:trPr>
        <w:tc>
          <w:tcPr>
            <w:tcW w:type="dxa" w:w="576"/>
            <w:tcMar>
              <w:left w:w="30" w:type="dxa"/>
              <w:right w:w="30" w:type="dxa"/>
            </w:tcMar>
          </w:tcPr>
          <w:p>
            <w:pPr>
              <w:pStyle w:val="tablecopy"/>
              <w:keepNext/>
              <w:jc w:val="left"/>
            </w:pPr>
            <w:r>
              <w:t>3p/900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44.8 [40.5, 49.2]</w:t>
            </w:r>
          </w:p>
        </w:tc>
        <w:tc>
          <w:tcPr>
            <w:tcW w:type="dxa" w:w="936"/>
            <w:tcMar>
              <w:left w:w="30" w:type="dxa"/>
              <w:right w:w="30" w:type="dxa"/>
            </w:tcMar>
          </w:tcPr>
          <w:p>
            <w:pPr>
              <w:pStyle w:val="tablecopy"/>
              <w:keepNext/>
              <w:jc w:val="center"/>
            </w:pPr>
            <w:r>
              <w:t>−0.35 ± 0.39</w:t>
            </w:r>
          </w:p>
        </w:tc>
        <w:tc>
          <w:tcPr>
            <w:tcW w:type="dxa" w:w="691"/>
            <w:tcMar>
              <w:left w:w="30" w:type="dxa"/>
              <w:right w:w="30" w:type="dxa"/>
            </w:tcMar>
          </w:tcPr>
          <w:p>
            <w:pPr>
              <w:pStyle w:val="tablecopy"/>
              <w:keepNext/>
              <w:jc w:val="center"/>
            </w:pPr>
            <w:r>
              <w:t>36.3</w:t>
            </w:r>
          </w:p>
        </w:tc>
      </w:tr>
      <w:tr>
        <w:trPr>
          <w:cantSplit/>
        </w:trPr>
        <w:tc>
          <w:tcPr>
            <w:tcW w:type="dxa" w:w="576"/>
            <w:tcMar>
              <w:left w:w="30" w:type="dxa"/>
              <w:right w:w="30" w:type="dxa"/>
            </w:tcMar>
          </w:tcPr>
          <w:p>
            <w:pPr>
              <w:pStyle w:val="tablecopy"/>
              <w:keepNext/>
              <w:jc w:val="left"/>
            </w:pPr>
            <w:r>
              <w:t>4p/100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44.4 [40.1, 48.8]</w:t>
            </w:r>
          </w:p>
        </w:tc>
        <w:tc>
          <w:tcPr>
            <w:tcW w:type="dxa" w:w="936"/>
            <w:tcMar>
              <w:left w:w="30" w:type="dxa"/>
              <w:right w:w="30" w:type="dxa"/>
            </w:tcMar>
          </w:tcPr>
          <w:p>
            <w:pPr>
              <w:pStyle w:val="tablecopy"/>
              <w:keepNext/>
              <w:jc w:val="center"/>
            </w:pPr>
            <w:r>
              <w:t>−0.61 ± 0.43</w:t>
            </w:r>
          </w:p>
        </w:tc>
        <w:tc>
          <w:tcPr>
            <w:tcW w:type="dxa" w:w="691"/>
            <w:tcMar>
              <w:left w:w="30" w:type="dxa"/>
              <w:right w:w="30" w:type="dxa"/>
            </w:tcMar>
          </w:tcPr>
          <w:p>
            <w:pPr>
              <w:pStyle w:val="tablecopy"/>
              <w:keepNext/>
              <w:jc w:val="center"/>
            </w:pPr>
            <w:r>
              <w:t>24.1</w:t>
            </w:r>
          </w:p>
        </w:tc>
      </w:tr>
      <w:tr>
        <w:trPr>
          <w:cantSplit/>
        </w:trPr>
        <w:tc>
          <w:tcPr>
            <w:tcW w:type="dxa" w:w="576"/>
            <w:tcMar>
              <w:left w:w="30" w:type="dxa"/>
              <w:right w:w="30" w:type="dxa"/>
            </w:tcMar>
          </w:tcPr>
          <w:p>
            <w:pPr>
              <w:pStyle w:val="tablecopy"/>
              <w:keepNext/>
              <w:jc w:val="left"/>
            </w:pPr>
            <w:r>
              <w:t>4p/500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36.5 [32.4, 40.8]</w:t>
            </w:r>
          </w:p>
        </w:tc>
        <w:tc>
          <w:tcPr>
            <w:tcW w:type="dxa" w:w="936"/>
            <w:tcMar>
              <w:left w:w="30" w:type="dxa"/>
              <w:right w:w="30" w:type="dxa"/>
            </w:tcMar>
          </w:tcPr>
          <w:p>
            <w:pPr>
              <w:pStyle w:val="tablecopy"/>
              <w:keepNext/>
              <w:jc w:val="center"/>
            </w:pPr>
            <w:r>
              <w:t>−1.83 ± 0.45</w:t>
            </w:r>
          </w:p>
        </w:tc>
        <w:tc>
          <w:tcPr>
            <w:tcW w:type="dxa" w:w="691"/>
            <w:tcMar>
              <w:left w:w="30" w:type="dxa"/>
              <w:right w:w="30" w:type="dxa"/>
            </w:tcMar>
          </w:tcPr>
          <w:p>
            <w:pPr>
              <w:pStyle w:val="tablecopy"/>
              <w:keepNext/>
              <w:jc w:val="center"/>
            </w:pPr>
            <w:r>
              <w:t>32.1</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DUCT, ISMCTS</w:t>
            </w:r>
          </w:p>
        </w:tc>
        <w:tc>
          <w:tcPr>
            <w:tcW w:type="dxa" w:w="1138"/>
            <w:tcMar>
              <w:left w:w="30" w:type="dxa"/>
              <w:right w:w="30" w:type="dxa"/>
            </w:tcMar>
          </w:tcPr>
          <w:p>
            <w:pPr>
              <w:pStyle w:val="tablecopy"/>
              <w:keepNext/>
              <w:jc w:val="center"/>
            </w:pPr>
            <w:r>
              <w:t>55.0 [50.6, 59.3]</w:t>
            </w:r>
          </w:p>
        </w:tc>
        <w:tc>
          <w:tcPr>
            <w:tcW w:type="dxa" w:w="936"/>
            <w:tcMar>
              <w:left w:w="30" w:type="dxa"/>
              <w:right w:w="30" w:type="dxa"/>
            </w:tcMar>
          </w:tcPr>
          <w:p>
            <w:pPr>
              <w:pStyle w:val="tablecopy"/>
              <w:keepNext/>
              <w:jc w:val="center"/>
            </w:pPr>
            <w:r>
              <w:t>+0.72 ± 0.40</w:t>
            </w:r>
          </w:p>
        </w:tc>
        <w:tc>
          <w:tcPr>
            <w:tcW w:type="dxa" w:w="691"/>
            <w:tcMar>
              <w:left w:w="30" w:type="dxa"/>
              <w:right w:w="30" w:type="dxa"/>
            </w:tcMar>
          </w:tcPr>
          <w:p>
            <w:pPr>
              <w:pStyle w:val="tablecopy"/>
              <w:keepNext/>
              <w:jc w:val="center"/>
            </w:pPr>
            <w:r>
              <w:t>24.0</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ISMCTS × 2 </w:t>
            </w:r>
            <w:r>
              <w:rPr>
                <w:vertAlign w:val="superscript"/>
              </w:rPr>
              <w:t>a</w:t>
            </w:r>
          </w:p>
        </w:tc>
        <w:tc>
          <w:tcPr>
            <w:tcW w:type="dxa" w:w="1138"/>
            <w:tcMar>
              <w:left w:w="30" w:type="dxa"/>
              <w:right w:w="30" w:type="dxa"/>
            </w:tcMar>
          </w:tcPr>
          <w:p>
            <w:pPr>
              <w:pStyle w:val="tablecopy"/>
              <w:keepNext/>
              <w:jc w:val="center"/>
            </w:pPr>
            <w:r>
              <w:t>51.3 [46.9, 55.7]</w:t>
            </w:r>
          </w:p>
        </w:tc>
        <w:tc>
          <w:tcPr>
            <w:tcW w:type="dxa" w:w="936"/>
            <w:tcMar>
              <w:left w:w="30" w:type="dxa"/>
              <w:right w:w="30" w:type="dxa"/>
            </w:tcMar>
          </w:tcPr>
          <w:p>
            <w:pPr>
              <w:pStyle w:val="tablecopy"/>
              <w:keepNext/>
              <w:jc w:val="center"/>
            </w:pPr>
            <w:r>
              <w:t>+1.41 ± 0.51</w:t>
            </w:r>
          </w:p>
        </w:tc>
        <w:tc>
          <w:tcPr>
            <w:tcW w:type="dxa" w:w="691"/>
            <w:tcMar>
              <w:left w:w="30" w:type="dxa"/>
              <w:right w:w="30" w:type="dxa"/>
            </w:tcMar>
          </w:tcPr>
          <w:p>
            <w:pPr>
              <w:pStyle w:val="tablecopy"/>
              <w:keepNext/>
              <w:jc w:val="center"/>
            </w:pPr>
            <w:r>
              <w:t>24.3</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BasicMCTS, RHEA </w:t>
            </w:r>
            <w:r>
              <w:rPr>
                <w:vertAlign w:val="superscript"/>
              </w:rPr>
              <w:t>a</w:t>
            </w:r>
          </w:p>
        </w:tc>
        <w:tc>
          <w:tcPr>
            <w:tcW w:type="dxa" w:w="1138"/>
            <w:tcMar>
              <w:left w:w="30" w:type="dxa"/>
              <w:right w:w="30" w:type="dxa"/>
            </w:tcMar>
          </w:tcPr>
          <w:p>
            <w:pPr>
              <w:pStyle w:val="tablecopy"/>
              <w:keepNext/>
              <w:jc w:val="center"/>
            </w:pPr>
            <w:r>
              <w:t>84.2 [80.7, 87.1]</w:t>
            </w:r>
          </w:p>
        </w:tc>
        <w:tc>
          <w:tcPr>
            <w:tcW w:type="dxa" w:w="936"/>
            <w:tcMar>
              <w:left w:w="30" w:type="dxa"/>
              <w:right w:w="30" w:type="dxa"/>
            </w:tcMar>
          </w:tcPr>
          <w:p>
            <w:pPr>
              <w:pStyle w:val="tablecopy"/>
              <w:keepNext/>
              <w:jc w:val="center"/>
            </w:pPr>
            <w:r>
              <w:t>+6.68 ± 0.60</w:t>
            </w:r>
          </w:p>
        </w:tc>
        <w:tc>
          <w:tcPr>
            <w:tcW w:type="dxa" w:w="691"/>
            <w:tcMar>
              <w:left w:w="30" w:type="dxa"/>
              <w:right w:w="30" w:type="dxa"/>
            </w:tcMar>
          </w:tcPr>
          <w:p>
            <w:pPr>
              <w:pStyle w:val="tablecopy"/>
              <w:keepNext/>
              <w:jc w:val="center"/>
            </w:pPr>
            <w:r>
              <w:t>–</w:t>
            </w:r>
          </w:p>
        </w:tc>
      </w:tr>
      <w:t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OSLA, BasicMCTS </w:t>
            </w:r>
            <w:r>
              <w:rPr>
                <w:vertAlign w:val="superscript"/>
              </w:rPr>
              <w:t>a</w:t>
            </w:r>
          </w:p>
        </w:tc>
        <w:tc>
          <w:tcPr>
            <w:tcW w:type="dxa" w:w="1138"/>
            <w:tcMar>
              <w:left w:w="30" w:type="dxa"/>
              <w:right w:w="30" w:type="dxa"/>
            </w:tcMar>
          </w:tcPr>
          <w:p>
            <w:pPr>
              <w:pStyle w:val="tablecopy"/>
              <w:keepNext/>
              <w:jc w:val="center"/>
            </w:pPr>
            <w:r>
              <w:t>87.2 [84.0, 89.8]</w:t>
            </w:r>
          </w:p>
        </w:tc>
        <w:tc>
          <w:tcPr>
            <w:tcW w:type="dxa" w:w="936"/>
            <w:tcMar>
              <w:left w:w="30" w:type="dxa"/>
              <w:right w:w="30" w:type="dxa"/>
            </w:tcMar>
          </w:tcPr>
          <w:p>
            <w:pPr>
              <w:pStyle w:val="tablecopy"/>
              <w:keepNext/>
              <w:jc w:val="center"/>
            </w:pPr>
            <w:r>
              <w:t>+9.74 ± 0.75</w:t>
            </w:r>
          </w:p>
        </w:tc>
        <w:tc>
          <w:tcPr>
            <w:tcW w:type="dxa" w:w="691"/>
            <w:tcMar>
              <w:left w:w="30" w:type="dxa"/>
              <w:right w:w="30" w:type="dxa"/>
            </w:tcMar>
          </w:tcPr>
          <w:p>
            <w:pPr>
              <w:pStyle w:val="tablecopy"/>
              <w:keepNext/>
              <w:jc w:val="center"/>
            </w:pPr>
            <w:r>
              <w:t>–</w:t>
            </w:r>
          </w:p>
        </w:tc>
      </w:tr>
    </w:tbl>
    <w:p>
      <w:pPr>
        <w:pStyle w:val="tablecopy"/>
        <w:spacing w:before="40" w:after="160"/>
        <w:jc w:val="left"/>
      </w:pPr>
      <w:r>
        <w:t xml:space="preserve">Setting: players / ms per decision; 500 games each. Deals: held-out seed block 100 000; </w:t>
      </w:r>
      <w:r>
        <w:rPr>
          <w:vertAlign w:val="superscript"/>
        </w:rPr>
        <w:t>a</w:t>
      </w:r>
      <w:r>
        <w:t xml:space="preserve"> seed block 7. Margin: our score minus the best opponent's (± 95% CI). ISMCTS: win % per seat. Chance 33.3% (3p), 25% (4p).</w:t>
      </w:r>
    </w:p>
    <w:p>
      <w:pPr>
        <w:pStyle w:val="BodyText"/>
      </w:pPr>
      <w:r>
        <w:t>Table III reports the final agent; in every setting its win rate is significantly above chance. On seed block 7 it had won 55.0% at 100 ms (58.1% when re-run on the second machine), within sampling error of the held-out result (</w:t>
      </w:r>
      <w:r>
        <w:rPr>
          <w:i/>
        </w:rPr>
        <w:t>z</w:t>
      </w:r>
      <w:r>
        <w:t xml:space="preserve"> ≤ 1.8). At 100 ms it scores more than both opponents from Nigiri (17.6 points per game against 15.3 and 12.9) and Pudding bonuses, v2 more from Sashimi. TAG's own DUCT agent (Table II) wins 21.0% [17.7, 24.8] of its seats in place of v2, the same share as v2 (0.0 ± 5.0 pp): with TAG's heuristic and rollouts, decoupled information-set search was not detectably better than our previous agent. BasicMCTS, RHEA and OSLA win at most 12.8% of their seats.</w:t>
      </w:r>
    </w:p>
    <w:p>
      <w:pPr>
        <w:pStyle w:val="Heading2"/>
      </w:pPr>
      <w:r>
        <w:t>Ablation (RQ1)</w:t>
      </w:r>
    </w:p>
    <w:p>
      <w:pPr>
        <w:keepNext/>
        <w:spacing w:before="120"/>
        <w:jc w:val="center"/>
      </w:pPr>
      <w:r>
        <w:drawing>
          <wp:inline xmlns:a="http://schemas.openxmlformats.org/drawingml/2006/main" xmlns:pic="http://schemas.openxmlformats.org/drawingml/2006/picture">
            <wp:extent cx="3099816" cy="173736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1737360"/>
                    </a:xfrm>
                    <a:prstGeom prst="rect"/>
                  </pic:spPr>
                </pic:pic>
              </a:graphicData>
            </a:graphic>
          </wp:inline>
        </w:drawing>
      </w:r>
    </w:p>
    <w:p>
      <w:pPr>
        <w:pStyle w:val="figurecaption"/>
        <w:keepLines/>
      </w:pPr>
      <w:r>
        <w:t>Paired effects (three players, 100 ms, seed block 7, 500 games each; ± 95% CI; filled: significant after a Holm correction within the group). Top: components removed from the final agent (55.0%). Bottom: TAG's lead heuristic and five later changes against its re-run (58.1%).</w:t>
      </w:r>
    </w:p>
    <w:p>
      <w:pPr>
        <w:pStyle w:val="BodyText"/>
      </w:pPr>
      <w:r>
        <w:t xml:space="preserve">Fig. 2 (top) removes one component at a time from the final agent. Every removal lowers both measures; on the score margin all five differences survive a Holm correction, on the win rate only those of H and of S + I, so for these five ablations E1 holds for the margin and only partly for wins. Without H the leaves are valued by TAG's default heuristic (own score / 50); as </w:t>
      </w:r>
      <w:r>
        <w:rPr>
          <w:i/>
        </w:rPr>
        <w:t>K</w:t>
      </w:r>
      <w:r>
        <w:t xml:space="preserve"> was not retuned to its scale, the 28.3 ± 5.8 pp loss mixes the value of H with mis-scaled exploration. TAG's lead heuristic (own score minus the best opponent's, </w:t>
      </w:r>
      <w:r>
        <w:rPr>
          <w:i/>
        </w:rPr>
        <w:t>K</w:t>
      </w:r>
      <w:r>
        <w:t xml:space="preserve"> rescaled to 7.5) in place of H wins 44.5%: 13.6 ± 5.9 pp (</w:t>
      </w:r>
      <w:r>
        <w:rPr>
          <w:i/>
        </w:rPr>
        <w:t>z</w:t>
      </w:r>
      <w:r>
        <w:t xml:space="preserve"> = 4.5) less than H on the same machine (58.1%), but far more than own score / 50 (26.7%). S and I together are worth 10.2 ± 5.7 pp (</w:t>
      </w:r>
      <w:r>
        <w:rPr>
          <w:i/>
        </w:rPr>
        <w:t>z</w:t>
      </w:r>
      <w:r>
        <w:t xml:space="preserve"> = 3.5) here and +6.1 ± 5.9 pp on the held-out deals (pooled +8.2 ± 4.1 pp, </w:t>
      </w:r>
      <w:r>
        <w:rPr>
          <w:i/>
        </w:rPr>
        <w:t>z</w:t>
      </w:r>
      <w:r>
        <w:t xml:space="preserve"> = 3.9). S alone, decoupled selection with v3's determinisation, beats v3 by +6.4 ± 5.7 pp (</w:t>
      </w:r>
      <w:r>
        <w:rPr>
          <w:i/>
        </w:rPr>
        <w:t>z</w:t>
      </w:r>
      <w:r>
        <w:t xml:space="preserve"> = 2.2, unadjusted), and I adds a further, non-significant 3.8 ± 5.7 pp, consistent with Long et al.'s analysis [7] for a game that reveals its hidden information within two turns of each round. P and M were not ablated in the final agent (S requires M; I already merges identical cards); a 2</w:t>
      </w:r>
      <w:r>
        <w:rPr>
          <w:vertAlign w:val="superscript"/>
        </w:rPr>
        <w:t>4</w:t>
      </w:r>
      <w:r>
        <w:t xml:space="preserve"> factorial around v3 (16 × 500 games, independent deals) supported R (+8.7 ± 2.1 pp) and M (+4.1 ± 2.1 pp).</w:t>
      </w:r>
    </w:p>
    <w:p>
      <w:pPr>
        <w:pStyle w:val="BodyText"/>
      </w:pPr>
      <w:r>
        <w:t>Five later changes (Fig. 2, bottom) brought no detectable gain: four changed the win rate by −1.8 to +0.7 pp (each ±5.8), although one of them, card constants tuned for three players (X3), is the much stronger greedy policy (45.0% of games against two X0 players), consistent with simulation balancing [6]; in another, denial, every simulated player also values taking the card the next player wants most. Game-end rollouts with a win-gap value cost 23.7 ± 5.8 pp (</w:t>
      </w:r>
      <w:r>
        <w:rPr>
          <w:i/>
        </w:rPr>
        <w:t>z</w:t>
      </w:r>
      <w:r>
        <w:t xml:space="preserve"> = 8.0).</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28016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280160"/>
                    </a:xfrm>
                    <a:prstGeom prst="rect"/>
                  </pic:spPr>
                </pic:pic>
              </a:graphicData>
            </a:graphic>
          </wp:inline>
        </w:drawing>
      </w:r>
    </w:p>
    <w:p>
      <w:pPr>
        <w:pStyle w:val="figurecaption"/>
        <w:keepLines/>
      </w:pPr>
      <w:r>
        <w:t>Three-player win rate against v2 and TAG's ISMCTS. Lines: development (seed 1, independent samples; 250 games at 900 ms); open markers: held-out deals; bars: Wilson 95% intervals.</w:t>
      </w:r>
    </w:p>
    <w:p>
      <w:pPr>
        <w:pStyle w:val="BodyText"/>
      </w:pPr>
      <w:r>
        <w:t xml:space="preserve">In development (Fig. 3; independent samples) the gain from S and I grew from +5.6 to +9.0 and +14.8 pp at 100, 500 and 900 ms (100 to 900 ms: +9.2 ± 10.4 pp, </w:t>
      </w:r>
      <w:r>
        <w:rPr>
          <w:i/>
        </w:rPr>
        <w:t>z</w:t>
      </w:r>
      <w:r>
        <w:t xml:space="preserve"> = 1.7), suggesting that v3's sequential tree, in which later players react to cards chosen earlier in the same turn, is a wrong model that more iterations exploit more. The held-out deals do not support this (E2): adding S and I to v3 gained +6.1 ± 5.9 pp at 100 ms and +5.3 ± 5.5 pp at 500 ms (difference −0.8 ± 8.1 pp, </w:t>
      </w:r>
      <w:r>
        <w:rPr>
          <w:i/>
        </w:rPr>
        <w:t>z</w:t>
      </w:r>
      <w:r>
        <w:t xml:space="preserve"> = 0.2; 80% power only for 12 pp), as v3 and the final agent lost 4.6 and 5.4 pp from 100 to 500 ms. The development rise is probably overstated: v3's 50.1% at 100 ms topped 16 factorial cells (45.1–49.4% on new seeds).</w:t>
      </w:r>
    </w:p>
    <w:p>
      <w:pPr>
        <w:pStyle w:val="BodyText"/>
      </w:pPr>
      <w:r>
        <w:t>Giving every agent more time lowered our win rate: on the held-out deals it changed by −5.4 ± 5.9 pp (</w:t>
      </w:r>
      <w:r>
        <w:rPr>
          <w:i/>
        </w:rPr>
        <w:t>z</w:t>
      </w:r>
      <w:r>
        <w:t xml:space="preserve"> = 1.8) at 500 ms and −7.8 ± 5.8 pp (</w:t>
      </w:r>
      <w:r>
        <w:rPr>
          <w:i/>
        </w:rPr>
        <w:t>z</w:t>
      </w:r>
      <w:r>
        <w:t xml:space="preserve"> = 2.6) at 900 ms against 100 ms; pooled with seed block 7, 500 ms changed it by −5.5 ± 4.2 pp (</w:t>
      </w:r>
      <w:r>
        <w:rPr>
          <w:i/>
        </w:rPr>
        <w:t>z</w:t>
      </w:r>
      <w:r>
        <w:t xml:space="preserve"> = 2.6) and 900 ms by −4.9 ± 4.8 pp (</w:t>
      </w:r>
      <w:r>
        <w:rPr>
          <w:i/>
        </w:rPr>
        <w:t>z</w:t>
      </w:r>
      <w:r>
        <w:t xml:space="preserve"> = 1.97), although on its 250 deals seed block 7 alone gave +1.6 ± 8.7 pp at 900 ms. ISMCTS's share of its seats rose by 9.5 ± 5.7 pp from 100 to 500 ms (Table III): the extra time favoured ISMCTS over our agent. Our agent's iterations per decision rose from 2400 to 21 200, yet its win rate fell; plausibly, more iterations cannot correct the bias of our hand-made rollouts and evaluation, while ISMCTS, without such a model, gained up to 500 ms; our parameters were also tuned at 100 ms.</w:t>
      </w:r>
    </w:p>
    <w:p>
      <w:pPr>
        <w:pStyle w:val="Heading2"/>
      </w:pPr>
      <w:r>
        <w:t>Four Players and the Limits of Search (RQ3)</w:t>
      </w:r>
    </w:p>
    <w:p>
      <w:pPr>
        <w:pStyle w:val="BodyText"/>
      </w:pPr>
      <w:r>
        <w:t xml:space="preserve">With four players S and I added +6.4 ± 5.2 pp over v3 at 100 ms and +3.0 ± 8.4 pp at 500 ms (development, independent samples). No setting tuned for four players gained significantly in development (+1.0 to +5.8 pp at the budgets where we kept them, each ±4–8 pp; F + L lost 6.6 ± 6.0 pp at 100 ms); we kept each where its estimate was positive. The same settings (X0, W2, </w:t>
      </w:r>
      <w:r>
        <w:rPr>
          <w:i/>
        </w:rPr>
        <w:t>K</w:t>
      </w:r>
      <w:r>
        <w:t xml:space="preserve"> = 1) cost 7.7 ± 5.4 pp with three players at 500 ms, 13.5 ± 9.1 pp (</w:t>
      </w:r>
      <w:r>
        <w:rPr>
          <w:i/>
        </w:rPr>
        <w:t>z</w:t>
      </w:r>
      <w:r>
        <w:t xml:space="preserve"> = 2.9) different from their effect with four: consistent with E3, but post hoc and with F + L in the three-player arms only.</w:t>
      </w:r>
    </w:p>
    <w:p>
      <w:pPr>
        <w:pStyle w:val="BodyText"/>
      </w:pPr>
      <w:r>
        <w:t xml:space="preserve">With four players, extra time for our agent alone brought no detectable gain: against 500 ms opponents, 500 instead of 100 ms changed its win rate by +3.6 ± 8.4 pp (same settings) and 1000 instead of 500 ms (with </w:t>
      </w:r>
      <w:r>
        <w:rPr>
          <w:i/>
        </w:rPr>
        <w:t>K</w:t>
      </w:r>
      <w:r>
        <w:t xml:space="preserve"> = 1.37) by −4.8 ± 8.1 pp (250 development games each; 80% power only for about 12 pp), although depth matters: at 500 ms a tree cut to depth 1 lost 17.4 ± 8.2 pp. Our 500 ms agent with every agent at 500 ms won 6.7 ± 4.1 pp less than our 100 ms agent with every agent at 100 ms (</w:t>
      </w:r>
      <w:r>
        <w:rPr>
          <w:i/>
        </w:rPr>
        <w:t>z</w:t>
      </w:r>
      <w:r>
        <w:t xml:space="preserve"> = 3.2; seed block 7 and held-out deals pooled), while TAG's ISMCTS rose from 24.1% to 32.1% of its seats; at 500 ms our 36.5% is no longer clearly above its share. Both agents did better on seed block 7 (100 ms: 46.8%, 500 ms: 41.4%), whose deals overlap those used to tune them. The tree statistics suggest why 1000 ms did not help: on 73 random-play positions the 500 ms tree has 704 joint-move children at the root on average, 53% visited once, and doubling time or rollouts per leaf changed the card in 2 and 4 positions, no more often than reruns (4 and 7).</w:t>
      </w:r>
    </w:p>
    <w:p>
      <w:pPr>
        <w:pStyle w:val="Heading1"/>
      </w:pPr>
      <w:r>
        <w:t>Conclusions and Future Work</w:t>
      </w:r>
    </w:p>
    <w:p>
      <w:pPr>
        <w:pStyle w:val="BodyText"/>
      </w:pPr>
      <w:r>
        <w:t>For RQ1, the lead-based evaluation H matters most (28.3 pp without it, 13.6 pp with TAG's lead heuristic), then the decoupled information-set tree (+8.2 ± 4.1 pp over v3's sequential, determinised tree, two deal sets pooled); round-end rollouts, card-value rollouts and information sets alone raise the final agent's score margin but not detectably its win rate. For RQ2, our agent's lead shrinks with time: with every agent at 500 ms it won 5.5 ± 4.2 pp less than at 100 ms (and, less clearly, 4.9 ± 4.8 pp less at 900 ms), while TAG's ISMCTS won 9.5 pp more of its seats, and the decoupled tree's value showed no sign of growing (−0.8 ± 8.1 pp, held-out). For RQ3, settings tuned for four players hurt with three, and with four players time beyond 500 ms rarely changes the wide, shallow tree's decision (both exploratory).</w:t>
      </w:r>
    </w:p>
    <w:p>
      <w:pPr>
        <w:pStyle w:val="BodyText"/>
      </w:pPr>
      <w:r>
        <w:t>Our opponents were framework agents and our own previous version; the leave-one-out ablation used only three players at 100 ms; the four-player 500 ms settings were kept on non-significant 250-game gains; every agent got the same extra time, so RQ2 measures our agent's scaling relative to ISMCTS's; and CPU-time budgets hide wall-clock effects. As hand-tuned changes to the model no longer move the agent, future work should learn the evaluation from game outcomes; regret matching and EXP3 deserve a test, as decoupled UCT is best overall but not in every game [10] and was the most exploitable in Goofspiel [9]; and opponent models fitted to observed picks (an untested option in our code) could replace the greedy policy that now models all players.</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comes from the result files of our runs.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successive drafts were marked by a second, independent Claude instance, prompted as “an independent, strict marker for the QMUL module ECS7032P” to mark each draft against the brief and the rubric, to recompute its numbers from our result files and to list the changes that would raise the mark. Its written reports were the prompts for the revisions (the prompts of this report and these reports: GENAI_PROMPTS.md and the folder genai in our code package); they asked, among other things, for validation on deals disjoint from development, a correct description of the availability-count UCB, all replicate runs, intervals and hedges for non-significant trends, the comparison with TAG's DUCT agent, the lead-heuristic ablation, v3 on the held-out deals, the four-player diagnostics, correct figure references, this statement's citation and prompts, claims no stronger than the statistics and the selection bias of v3's development run. The later candidate changes were tested with the prompt (translated from Turkish; original in GENAI_PROMPTS.md) “The problem is that the lecturer will hold a tournament of our agents in class; as before, we need to improve the agents' performance quickly while following the lecturer's restrictions and recording what we did in the README; you have 4.5 hours to develop the agents, so test everything in parallel, as fast as possible while improving performance, and do not leave the loop until it is finished.”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232–239.</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 xml:space="preserve">S. Holm, “A simple sequentially rejective multiple test procedure,” </w:t>
      </w:r>
      <w:r>
        <w:rPr>
          <w:i/>
        </w:rPr>
        <w:t>Scand. J. Statist.</w:t>
      </w:r>
      <w:r>
        <w:t>, vol. 6, no. 2, pp. 65–70, 1979.</w:t>
      </w:r>
    </w:p>
    <w:p>
      <w:pPr>
        <w:pStyle w:val="references"/>
      </w:pPr>
      <w:r>
        <w:t>Anthropic, “Claude” [large language model, used through the Claude Code tool], Oct. 2026. [Online]. Available: https://claude.ai (accessed Oct. 28, 2026).</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6"/>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Halit Ozger, Weronika Podgorska, Hakan Coskun (ECS7032P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