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In </w:t>
      </w:r>
      <w:r>
        <w:rPr>
          <w:i/>
        </w:rPr>
        <w:t>Sushi Go!</w:t>
      </w:r>
      <w:r>
        <w:t>, players pick cards simultaneously from hidden hands that are passed on, which basic Monte Carlo tree search (MCTS) does not model. To BasicMCTS of the Tabletop Games (TAG) framework we added rollouts guided by a card-value model, a lead-based evaluation, round-end rollouts, max-n backups, decoupled selection and information-set search. On held-out deals the agent wins 52.6%, 47.2% and [pending]% of 500 three-player games at 100, 500 and 900 ms against TAG's information-set MCTS and our previous agent (chance 33.3%), and 44.4% of four-player games at 100 ms (chance 25%). In leave-one-out ablations every component improves the score margin significantly, the evaluation and the decoupled information-set tree also the win rate; settings tuned for four players cost 7.7 percentage points with three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the current version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runs at 900 ms and in four-player development at 500 ms).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on BasicMCTS with round-end rollouts, max-n backups, decoupled UCT and information-set search, compared with TAG's own decoupled information-set MCTS;</w:t>
      </w:r>
    </w:p>
    <w:p>
      <w:pPr>
        <w:pStyle w:val="bulletlist"/>
        <w:numPr>
          <w:ilvl w:val="0"/>
          <w:numId w:val="2"/>
        </w:numPr>
        <w:ind w:left="576" w:hanging="288"/>
      </w:pPr>
      <w:r>
        <w:t>exploratory evidence that settings tuned for four players hurt with three, and a diagnosis of why time beyond 500 ms helps little with four (a wide, shallow joint-move tree);</w:t>
      </w:r>
    </w:p>
    <w:p>
      <w:pPr>
        <w:pStyle w:val="bulletlist"/>
        <w:numPr>
          <w:ilvl w:val="0"/>
          <w:numId w:val="2"/>
        </w:numPr>
        <w:ind w:left="576" w:hanging="288"/>
      </w:pPr>
      <w:r>
        <w:t>leave-one-out and factorial ablations, held-out validation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in Goofspiel with EXP3, regret matching and their online outcome sampling: regret matching and outcome sampling played best, and decoupled UCT's strategies were the most exploitable. Tak et al. [11]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[12].</w:t>
      </w:r>
    </w:p>
    <w:p>
      <w:pPr>
        <w:pStyle w:val="BodyText"/>
      </w:pPr>
      <w:r>
        <w:t xml:space="preserve">MCTS has also been applied to the drafting game 7 Wonders, which passes hands in the same way, and many results known from classic games held there too [13]. TAG's advanced MCTS agent already offers information sets, one tree per player and a decoupled option; we build on BasicMCTS, which has none of them, so that the contribution of each idea can be measured.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scales a Sashimi triple still needing two cards; the Maki standing has weight 1/(1 + </w:t>
      </w:r>
      <w:r>
        <w:rPr>
          <w:i/>
        </w:rPr>
        <w:t>r</w:t>
      </w:r>
      <w:r>
        <w:t>/</w:t>
      </w:r>
      <w:r>
        <w:rPr>
          <w:i/>
        </w:rPr>
        <w:t>T</w:t>
      </w:r>
      <w:r>
        <w:rPr>
          <w:vertAlign w:val="subscript"/>
        </w:rPr>
        <w:t>m</w:t>
      </w:r>
      <w:r>
        <w:t xml:space="preserve">) (1 if </w:t>
      </w:r>
      <w:r>
        <w:rPr>
          <w:i/>
        </w:rPr>
        <w:t>T</w:t>
      </w:r>
      <w:r>
        <w:rPr>
          <w:vertAlign w:val="subscript"/>
        </w:rPr>
        <w:t>m</w:t>
      </w:r>
      <w:r>
        <w:t xml:space="preserve"> = 0), κ per icon the rest; δ weights the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444752"/>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444752"/>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is chosen in the same way);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[9], UCB-Tuned, </w:t>
            </w:r>
            <w:r>
              <w:rPr>
                <w:i/>
              </w:rPr>
              <w:t>K</w:t>
            </w:r>
            <w:r>
              <w:t xml:space="preserve"> 1, random rollouts,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 xml:space="preserve">500 per condition; 250 at 900 ms (development, </w:t>
            </w:r>
            <w:r>
              <w:rPr>
                <w:i/>
              </w:rPr>
              <w:t>s</w:t>
            </w:r>
            <w:r>
              <w:t xml:space="preserve"> =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on a 4-core machine (4 in parallel). Agent files, per-game results and scripts: from the authors</w:t>
            </w:r>
          </w:p>
        </w:tc>
      </w:tr>
    </w:tbl>
    <w:p>
      <w:pPr>
        <w:pStyle w:val="tablecopy"/>
        <w:spacing w:after="80"/>
      </w:pPr>
    </w:p>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such a comparison detects a difference of about 8 pp with 80% power. The score margin, usually the more sensitive measure (</w:t>
      </w:r>
      <w:r>
        <w:rPr>
          <w:i/>
        </w:rPr>
        <w:t>z</w:t>
      </w:r>
      <w:r>
        <w:t xml:space="preserve"> values 1.0–2.3 times as large in the ablation), served to screen ideas. We report unadjusted intervals, apply a Holm correction within the ablation and within the later candidate tests, and treat the four-player comparisons (59 of our 163 runs) as exploratory. We expected (H1) every component to improve both measures, (H2) the decoupled information-set tree to matter more at longer budgets and (H3) the best settings to depend on the number of players; H2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47.2 [42.9, 51.6]</w:t>
            </w:r>
          </w:p>
        </w:tc>
        <w:tc>
          <w:tcPr>
            <w:tcW w:type="dxa" w:w="9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51.3 [46.9, 55.7]</w:t>
            </w:r>
          </w:p>
        </w:tc>
        <w:tc>
          <w:tcPr>
            <w:tcW w:type="dxa" w:w="9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Deals: held-out seed block 100 000; </w:t>
      </w:r>
      <w:r>
        <w:rPr>
          <w:vertAlign w:val="superscript"/>
        </w:rPr>
        <w:t>a</w:t>
      </w:r>
      <w:r>
        <w:t xml:space="preserve"> seed block 7. Margin: our score minus the best opponent's in points, ± 95% CI. Chance: 33.3% (3 players), 25% (4 players).</w:t>
      </w:r>
    </w:p>
    <w:p>
      <w:pPr>
        <w:pStyle w:val="BodyText"/>
      </w:pPr>
      <w:r>
        <w:t>Table III reports the final agent: on the held-out deals it wins 47.2–52.6% of three-player and 44.4% of four-player games against v2 and TAG's ISMCTS. On seed block 7, whose deals overlap the development deals, it had won 55.0% at 100 ms (58.1% when re-run on the machine of the held-out runs), 2.4 ± 6.1 pp and 5.5 ± 6.1 pp more than on the held-out deals, neither significant. TAG's DUCT agent, with decoupled selection and information sets but neither our card-value model nor round-end rollouts, wins 21.0% of its seats when it replaces v2, the same share as v2. BasicMCTS, RHEA and OSLA win at most 12.8% of their seats; OSLA none, as its one-step look-ahead never reaches the simultaneous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201168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2011680"/>
                    </a:xfrm>
                    <a:prstGeom prst="rect"/>
                  </pic:spPr>
                </pic:pic>
              </a:graphicData>
            </a:graphic>
          </wp:inline>
        </w:drawing>
      </w:r>
    </w:p>
    <w:p>
      <w:pPr>
        <w:pStyle w:val="figurecaption"/>
        <w:keepLines/>
      </w:pPr>
      <w:r>
        <w:t>Paired effects with three players at 100 ms (seed block 7, 500 games each), ± 95% CI; filled markers survive a Holm correction within their group. Top: one component removed from the final agent (base: final agent, 55.0%). Bottom: TAG's lead heuristic and five later candidate changes, against a re-run of the final agent on the machine of the held-out runs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with </w:t>
      </w:r>
      <w:r>
        <w:rPr>
          <w:i/>
        </w:rPr>
        <w:t>K</w:t>
      </w:r>
      <w:r>
        <w:t xml:space="preserve"> rescaled to 7.5 costs 13.6 ± 5.9 pp (</w:t>
      </w:r>
      <w:r>
        <w:rPr>
          <w:i/>
        </w:rPr>
        <w:t>z</w:t>
      </w:r>
      <w:r>
        <w:t xml:space="preserve"> = 4.5): valuing the lead recovers roughly half of H's effect (two estimates against different base runs). As round-end leaves hold no unfinished sets, H differs from it only by the Pudding standing, the mean-opponent term and its bounded scale, which were not separated; the card values act through the rollout policy B. S and I together are worth 10.2 ± 5.7 pp (</w:t>
      </w:r>
      <w:r>
        <w:rPr>
          <w:i/>
        </w:rPr>
        <w:t>z</w:t>
      </w:r>
      <w:r>
        <w:t xml:space="preserve"> = 3.5). S alone, decoupled selection with v3's determinisation, beats v3 by +6.4 ± 5.7 pp (</w:t>
      </w:r>
      <w:r>
        <w:rPr>
          <w:i/>
        </w:rPr>
        <w:t>z</w:t>
      </w:r>
      <w:r>
        <w:t xml:space="preserve"> = 2.2), and I adds a further 3.8 ± 5.7 pp, a small gain, as Long et al.'s analysis [7] suggests for a game that reveals its hidden information within </w:t>
      </w:r>
      <w:r>
        <w:rPr>
          <w:i/>
        </w:rPr>
        <w:t>n</w:t>
      </w:r>
      <w:r>
        <w:t xml:space="preserve"> − 1 turns. P and M cannot be removed, but a 2</w:t>
      </w:r>
      <w:r>
        <w:rPr>
          <w:vertAlign w:val="superscript"/>
        </w:rPr>
        <w:t>4</w:t>
      </w:r>
      <w:r>
        <w:t xml:space="preserve"> factorial on v3 (R; M; </w:t>
      </w:r>
      <w:r>
        <w:rPr>
          <w:i/>
        </w:rPr>
        <w:t>K</w:t>
      </w:r>
      <w:r>
        <w:t xml:space="preserve"> = 0.5 vs 1.41; completion horizon </w:t>
      </w:r>
      <w:r>
        <w:rPr>
          <w:i/>
        </w:rPr>
        <w:t>T</w:t>
      </w:r>
      <w:r>
        <w:t xml:space="preserve"> = 8 vs 4; 16 × 500 games) gave main effects of +8.7 pp for R (</w:t>
      </w:r>
      <w:r>
        <w:rPr>
          <w:i/>
        </w:rPr>
        <w:t>z</w:t>
      </w:r>
      <w:r>
        <w:t xml:space="preserve"> = 8.1), +5.2 for </w:t>
      </w:r>
      <w:r>
        <w:rPr>
          <w:i/>
        </w:rPr>
        <w:t>K</w:t>
      </w:r>
      <w:r>
        <w:t xml:space="preserve">, +4.1 for M and +3.6 for </w:t>
      </w:r>
      <w:r>
        <w:rPr>
          <w:i/>
        </w:rPr>
        <w:t>T</w:t>
      </w:r>
      <w:r>
        <w:t xml:space="preserve"> = 8 (each ±2.1); of the six interactions only R × </w:t>
      </w:r>
      <w:r>
        <w:rPr>
          <w:i/>
        </w:rPr>
        <w:t>T</w:t>
      </w:r>
      <w:r>
        <w:t xml:space="preserve"> (−4.2: with R, </w:t>
      </w:r>
      <w:r>
        <w:rPr>
          <w:i/>
        </w:rPr>
        <w:t>T</w:t>
      </w:r>
      <w:r>
        <w:t xml:space="preserve"> = 8 no longer helps) and M × </w:t>
      </w:r>
      <w:r>
        <w:rPr>
          <w:i/>
        </w:rPr>
        <w:t>K</w:t>
      </w:r>
      <w:r>
        <w:t xml:space="preserve"> (+3.2) exceed |</w:t>
      </w:r>
      <w:r>
        <w:rPr>
          <w:i/>
        </w:rPr>
        <w:t>z</w:t>
      </w:r>
      <w:r>
        <w:t>| = 2.</w:t>
      </w:r>
    </w:p>
    <w:p>
      <w:pPr>
        <w:pStyle w:val="BodyText"/>
      </w:pPr>
      <w:r>
        <w:t>Of five later candidate changes (Fig. 2, bottom), four changed the win rate by at most 1.8 pp (each ±5.8), among them card constants tuned for three players (X3), a stronger greedy policy (45.0% of greedy games against two X0 players); rollouts to the game end with a win-gap value cost 23.7 ± 5.8 pp (</w:t>
      </w:r>
      <w:r>
        <w:rPr>
          <w:i/>
        </w:rPr>
        <w:t>z</w:t>
      </w:r>
      <w:r>
        <w:t xml:space="preserve"> = 8.0), the only change that survives a Holm correction. As X3 also changes the Pudding weight of the leaf evaluation, its null result only weakly echoes simulation balancing [6].</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55448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554480"/>
                    </a:xfrm>
                    <a:prstGeom prst="rect"/>
                  </pic:spPr>
                </pic:pic>
              </a:graphicData>
            </a:graphic>
          </wp:inline>
        </w:drawing>
      </w:r>
    </w:p>
    <w:p>
      <w:pPr>
        <w:pStyle w:val="figurecaption"/>
        <w:keepLines/>
      </w:pPr>
      <w:r>
        <w:t>Win rate with three players against v2 and TAG's ISMCTS by CPU time per decision. Lines: development runs (seed 1, independent samples; 250 games at 900 ms). Open markers: the final agent and v3 on the held-out deals (seed block 100 000). Bars: Wilson 95% intervals.</w:t>
      </w:r>
    </w:p>
    <w:p>
      <w:pPr>
        <w:pStyle w:val="BodyText"/>
      </w:pPr>
      <w:r>
        <w:t>In development runs (Fig. 3; independent samples) v3 doubled v2's win rate at 100 ms (24.8% → 50.1%) but lost 17.3 ± 7.2 pp from 100 to 900 ms, the final agent 8.1 ± 7.5 pp; the gain from S and I rose from +5.6 ± 6.1 pp to +14.8 ± 8.4 pp, by +9.2 ± 10.4 pp (</w:t>
      </w:r>
      <w:r>
        <w:rPr>
          <w:i/>
        </w:rPr>
        <w:t>z</w:t>
      </w:r>
      <w:r>
        <w:t xml:space="preserve"> = 1.7). We hypothesise that v3's decline comes from its sequential tree, in which later players react to cards chosen earlier in the same turn: a wrong model that more iterations exploit more. S alone gained +1.3 ± 6.1 pp at 100 ms but +6.2 ± 6.1 pp at 500 ms, and v3 and the final agent ran similar numbers of iterations (11 170 and 11 865 per decision at 500 ms). As v3's 50.1% at 100 ms was the best of the 16 factorial cells (45.1–49.4% on three new seed sets), the development rise is probably overstated. On seed block 7 the final agent won 55.0%, 49.4% and 56.0% at 100, 500 and 900 ms: its development decline did not replicate. The final agent's own win rate on the held-out deals did not change significantly with the budget (−5.4 ± 5.9 pp at 500 ms against 100 ms, same deals), but its score margin fell by 0.83 ± 0.58 points. Much of the fall of the curves comes from the opponent: TAG's ISMCTS won 23.1% of its seats against the final agent at 100 ms but 37.4% at 900 ms (against v3: 33.0% → 46.0%).</w:t>
      </w:r>
    </w:p>
    <w:p>
      <w:pPr>
        <w:pStyle w:val="Heading2"/>
      </w:pPr>
      <w:r>
        <w:t>Four Players and the Limits of Search (RQ3)</w:t>
      </w:r>
    </w:p>
    <w:p>
      <w:pPr>
        <w:pStyle w:val="BodyText"/>
      </w:pPr>
      <w:r>
        <w:t xml:space="preserve">In four-player development no change gave a significant gain at its own budget: X0 added +4.3 ± 4.3 pp at 100 ms (two runs of each pooled), X0 with W2 and </w:t>
      </w:r>
      <w:r>
        <w:rPr>
          <w:i/>
        </w:rPr>
        <w:t>K</w:t>
      </w:r>
      <w:r>
        <w:t xml:space="preserve"> = 1 added +5.8 ± 7.4 pp at 500 ms (two runs pooled) and F + L a further +1.0 ± 7.9 pp, whereas F + L cost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This supports H3, although the gains with four players were not significant; as the contrast was chosen after the four-player runs, it is exploratory. Depth matters – at 500 ms a tree cut to depth 1 lost 17.4 ± 8.2 pp – and so does time up to 500 ms: with 100 ms (and its 100 ms settings) our agent won 9.0 ± 7.7 pp less (</w:t>
      </w:r>
      <w:r>
        <w:rPr>
          <w:i/>
        </w:rPr>
        <w:t>z</w:t>
      </w:r>
      <w:r>
        <w:t xml:space="preserve"> = 2.3), but 1 000 ms (with </w:t>
      </w:r>
      <w:r>
        <w:rPr>
          <w:i/>
        </w:rPr>
        <w:t>K</w:t>
      </w:r>
      <w:r>
        <w:t xml:space="preserve"> = 1.37) gave −4.8 ± 8.1 pp. On 73 positions from random games the 500 ms tree has 704 joint-move children at the root on average, 53% of them visited once (mean depth 1.5); doubling the time or the rollouts per leaf changed the card in 2 and 4 of them, no more often than a re-run with the same seed (4) or another seed (7).</w:t>
      </w:r>
    </w:p>
    <w:p>
      <w:pPr>
        <w:pStyle w:val="Heading1"/>
      </w:pPr>
      <w:r>
        <w:t>Conclusions and Future Work</w:t>
      </w:r>
    </w:p>
    <w:p>
      <w:pPr>
        <w:pStyle w:val="BodyText"/>
      </w:pPr>
      <w:r>
        <w:t>For RQ1, removing any component lowers the final agent's score margin significantly, but after a Holm correction only removing the evaluation H (worth 13.6 pp over TAG's lead heuristic) or the decoupled information-set tree (10.2 pp over v3's sequential, determinised tree) also lowers its win rate. On held-out deals the final agent wins 52.6%, 47.2% and [pending] of three-player games at 100, 500 and 900 ms against TAG's ISMCTS and our previous agent, and 44.4% of four-player games at 100 ms. For RQ2, in development v3's sequential tree lost more strength at longer budgets than the decoupled one, though the difference between the trends is not significant. For RQ3, settings tuned for four players cost 7.7 ± 5.4 pp with three players while their gain with four was not significant (an exploratory result),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e.g. by regressing final ranks on features of round-end states; regret matching or EXP3 deserve a test, as decoupled UCT is best overall but not in every game [11] and was the most exploitable in Goofspiel [10]; and opponent models fitted to observed picks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(available on request), were the prompts for the revisions;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